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34FD" w14:textId="77777777" w:rsidR="000028DC" w:rsidRDefault="00540119">
      <w:pPr>
        <w:pStyle w:val="Title"/>
        <w:spacing w:after="140" w:before="160"/>
      </w:pPr>
      <w:r>
        <w:rPr>
          <w:rFonts w:ascii="Calibri" w:hAnsi="Calibri"/>
          <w:color w:val="000000"/>
          <w:sz w:val="20"/>
        </w:rPr>
        <w:t>AQ-1 Prototype Implementation &amp; Deployment</w:t>
      </w:r>
    </w:p>
    <w:p w14:paraId="08368EBA" w14:textId="77777777" w:rsidR="002E4417" w:rsidRDefault="002E4417" w:rsidP="002E4417">
      <w:pPr>
        <w:pStyle w:val="Subtitle"/>
        <w:spacing w:after="140" w:before="160"/>
      </w:pPr>
      <w:r>
        <w:rPr>
          <w:rFonts w:ascii="Calibri" w:hAnsi="Calibri"/>
          <w:color w:val="000000"/>
          <w:sz w:val="20"/>
        </w:rPr>
        <w:t>Technical Artefact 2</w:t>
      </w:r>
    </w:p>
    <w:p w14:paraId="300E2D9E" w14:textId="77777777" w:rsidR="000028DC" w:rsidRDefault="00540119">
      <w:pPr>
        <w:pStyle w:val="Heading1"/>
        <w:spacing w:after="140" w:before="160"/>
      </w:pPr>
      <w:r>
        <w:rPr>
          <w:rFonts w:ascii="Calibri" w:hAnsi="Calibri"/>
          <w:color w:val="000000"/>
          <w:sz w:val="20"/>
        </w:rPr>
        <w:t>1. Prototype Scope &amp; Implementation Overview</w:t>
      </w:r>
    </w:p>
    <w:p w14:paraId="2AF8DB25" w14:textId="77777777" w:rsidR="000028DC" w:rsidRDefault="00540119">
      <w:pPr>
        <w:pStyle w:val="Heading2"/>
        <w:spacing w:after="140" w:before="160"/>
      </w:pPr>
      <w:r>
        <w:rPr>
          <w:rFonts w:ascii="Calibri" w:hAnsi="Calibri"/>
          <w:color w:val="000000"/>
          <w:sz w:val="20"/>
        </w:rPr>
        <w:t>1.1 Purpose and implementation context</w:t>
      </w:r>
    </w:p>
    <w:p w14:paraId="27FBDEA1" w14:textId="77777777" w:rsidR="000028DC" w:rsidRDefault="00540119">
      <w:pPr>
        <w:spacing w:after="100" w:before="40"/>
      </w:pPr>
      <w:r>
        <w:rPr>
          <w:rFonts w:ascii="Calibri" w:hAnsi="Calibri"/>
          <w:color w:val="000000"/>
          <w:sz w:val="20"/>
        </w:rPr>
        <w:t>Our AQ-1 project shows how an aquaculture monitoring system can collect sensor readings, send them through MQTT and check whether the data can be trusted. We built a small university prototype rather than installing a system on a real fish farm.</w:t>
      </w:r>
    </w:p>
    <w:p w14:paraId="04988535" w14:textId="77777777" w:rsidR="000028DC" w:rsidRDefault="00540119">
      <w:pPr>
        <w:spacing w:after="100" w:before="40"/>
      </w:pPr>
      <w:r>
        <w:rPr>
          <w:rFonts w:ascii="Calibri" w:hAnsi="Calibri"/>
          <w:color w:val="000000"/>
          <w:sz w:val="20"/>
        </w:rPr>
        <w:t>We use an ESP32-C3 with a DS18B20 temperature sensor, together with simulated dissolved oxygen (DO-001) and pH (PH-001) sensors in GNS3. The main demo focuses on temperature and dissolved oxygen. A Python gateway checks message signatures, while Node-RED and SQLite support monitoring.</w:t>
      </w:r>
    </w:p>
    <w:p w14:paraId="6A3AF700" w14:textId="77777777" w:rsidR="000028DC" w:rsidRDefault="00540119">
      <w:pPr>
        <w:pStyle w:val="Heading2"/>
        <w:spacing w:after="140" w:before="160"/>
      </w:pPr>
      <w:r>
        <w:rPr>
          <w:rFonts w:ascii="Calibri" w:hAnsi="Calibri"/>
          <w:color w:val="000000"/>
          <w:sz w:val="20"/>
        </w:rPr>
        <w:t>1.2 Implemented demonstration functions</w:t>
      </w:r>
    </w:p>
    <w:p w14:paraId="7322B667" w14:textId="77777777" w:rsidR="000028DC" w:rsidRDefault="00540119">
      <w:pPr>
        <w:spacing w:after="100" w:before="40"/>
      </w:pPr>
      <w:r>
        <w:rPr>
          <w:rFonts w:ascii="Calibri" w:hAnsi="Calibri"/>
          <w:color w:val="000000"/>
          <w:sz w:val="20"/>
        </w:rPr>
        <w:t>In the demonstration, the sensors send readings, the gateway checks their HMAC signatures and the monitoring interface shows trusted data. The gateway also checks message sequence numbers and identifies missing valid readings. Invalid messages should not update trusted values. SAFE/HOLD is only a warning shown in the software; it does not control real pumps or aerators.</w:t>
      </w:r>
    </w:p>
    <w:p w14:paraId="15BC93D8" w14:textId="77777777" w:rsidR="000028DC" w:rsidRDefault="00540119">
      <w:pPr>
        <w:spacing w:after="100" w:before="40"/>
      </w:pPr>
      <w:r>
        <w:rPr>
          <w:rFonts w:ascii="Calibri" w:hAnsi="Calibri"/>
          <w:color w:val="000000"/>
          <w:sz w:val="20"/>
        </w:rPr>
        <w:t>We planned to show normal data, a tampered message, a replay and a sensor outage. We also considered testing from another team computer, with the local GNS3 attacker as a backup. We have not treated the remote test as completed without evidence.</w:t>
      </w:r>
    </w:p>
    <w:p w14:paraId="7E8073D9" w14:textId="77777777" w:rsidR="000028DC" w:rsidRDefault="00540119">
      <w:pPr>
        <w:pStyle w:val="Heading2"/>
        <w:spacing w:after="140" w:before="160"/>
      </w:pPr>
      <w:r>
        <w:rPr>
          <w:rFonts w:ascii="Calibri" w:hAnsi="Calibri"/>
          <w:color w:val="000000"/>
          <w:sz w:val="20"/>
        </w:rPr>
        <w:t>1.3 Deployment boundary</w:t>
      </w:r>
    </w:p>
    <w:p w14:paraId="20E93662" w14:textId="77777777" w:rsidR="000028DC" w:rsidRDefault="00540119">
      <w:pPr>
        <w:spacing w:after="100" w:before="40"/>
      </w:pPr>
      <w:r>
        <w:rPr>
          <w:rFonts w:ascii="Calibri" w:hAnsi="Calibri"/>
          <w:color w:val="000000"/>
          <w:sz w:val="20"/>
        </w:rPr>
        <w:t>We ran the virtual part in GNS3 on VMware, using Alpine-based Docker nodes for the sensors, gateway and attacker. The project package also includes Node-RED and SQLite files. The final demonstration uses the public HiveMQ broker at broker.hivemq.com:1883; we used Mosquitto during earlier development.</w:t>
      </w:r>
    </w:p>
    <w:p w14:paraId="2DD80C78" w14:textId="77777777" w:rsidR="000028DC" w:rsidRDefault="00540119">
      <w:pPr>
        <w:pStyle w:val="Heading2"/>
        <w:spacing w:after="140" w:before="160"/>
      </w:pPr>
      <w:r>
        <w:rPr>
          <w:rFonts w:ascii="Calibri" w:hAnsi="Calibri"/>
          <w:color w:val="000000"/>
          <w:sz w:val="20"/>
        </w:rPr>
        <w:t>1.4 Demonstration scope and limitations</w:t>
      </w:r>
    </w:p>
    <w:tbl>
      <w:tblPr>
        <w:tblStyle w:val="TableGrid"/>
        <w:tblW w:w="0" w:type="auto"/>
        <w:jc w:val="center"/>
        <w:tblLook w:val="04A0" w:firstRow="1" w:lastRow="0" w:firstColumn="1" w:lastColumn="0" w:noHBand="0" w:noVBand="1"/>
      </w:tblPr>
      <w:tblGrid>
        <w:gridCol w:w="4320"/>
        <w:gridCol w:w="4320"/>
      </w:tblGrid>
      <w:tr w:rsidR="000028DC" w14:paraId="45087FD0" w14:textId="77777777">
        <w:trPr>
          <w:tblHeader/>
          <w:jc w:val="center"/>
        </w:trPr>
        <w:tc>
          <w:tcPr>
            <w:tcW w:w="4320" w:type="dxa"/>
            <w:tcMar>
              <w:top w:w="65" w:type="dxa"/>
              <w:left w:w="100" w:type="dxa"/>
              <w:bottom w:w="65" w:type="dxa"/>
              <w:right w:w="100" w:type="dxa"/>
            </w:tcMar>
            <w:vAlign w:val="center"/>
          </w:tcPr>
          <w:p w14:paraId="54631A47" w14:textId="77777777" w:rsidR="000028DC" w:rsidRPr="002E4417" w:rsidRDefault="00540119">
            <w:pPr>
              <w:spacing w:before="40" w:after="100"/>
              <w:rPr>
                <w:b/>
                <w:bCs/>
              </w:rPr>
            </w:pPr>
            <w:r w:rsidRPr="002E4417">
              <w:rPr>
                <w:rFonts w:ascii="Calibri" w:hAnsi="Calibri"/>
                <w:b/>
                <w:bCs/>
                <w:color w:val="000000"/>
                <w:sz w:val="17"/>
              </w:rPr>
              <w:t>Included in the prototype / showcase</w:t>
            </w:r>
          </w:p>
        </w:tc>
        <w:tc>
          <w:tcPr>
            <w:tcW w:w="4320" w:type="dxa"/>
            <w:tcMar>
              <w:top w:w="65" w:type="dxa"/>
              <w:left w:w="100" w:type="dxa"/>
              <w:bottom w:w="65" w:type="dxa"/>
              <w:right w:w="100" w:type="dxa"/>
            </w:tcMar>
            <w:vAlign w:val="center"/>
          </w:tcPr>
          <w:p w14:paraId="78F408F4" w14:textId="77777777" w:rsidR="000028DC" w:rsidRPr="002E4417" w:rsidRDefault="00540119">
            <w:pPr>
              <w:spacing w:before="40" w:after="100"/>
              <w:rPr>
                <w:b/>
                <w:bCs/>
              </w:rPr>
            </w:pPr>
            <w:r w:rsidRPr="002E4417">
              <w:rPr>
                <w:rFonts w:ascii="Calibri" w:hAnsi="Calibri"/>
                <w:b/>
                <w:bCs/>
                <w:color w:val="000000"/>
                <w:sz w:val="17"/>
              </w:rPr>
              <w:t>Outside the demonstrated farm deployment</w:t>
            </w:r>
          </w:p>
        </w:tc>
      </w:tr>
      <w:tr w:rsidR="000028DC" w14:paraId="3A817AD4" w14:textId="77777777">
        <w:trPr>
          <w:jc w:val="center"/>
        </w:trPr>
        <w:tc>
          <w:tcPr>
            <w:tcW w:w="4320" w:type="dxa"/>
            <w:tcMar>
              <w:top w:w="65" w:type="dxa"/>
              <w:left w:w="100" w:type="dxa"/>
              <w:bottom w:w="65" w:type="dxa"/>
              <w:right w:w="100" w:type="dxa"/>
            </w:tcMar>
            <w:vAlign w:val="center"/>
          </w:tcPr>
          <w:p w14:paraId="721C1C1C" w14:textId="77777777" w:rsidR="00F006B3" w:rsidRDefault="00540119">
            <w:pPr>
              <w:spacing w:before="40" w:after="100"/>
            </w:pPr>
            <w:r>
              <w:rPr>
                <w:rFonts w:ascii="Calibri" w:hAnsi="Calibri"/>
                <w:b w:val="0"/>
                <w:color w:val="000000"/>
                <w:sz w:val="17"/>
              </w:rPr>
              <w:t>Physical temperature, simulated DO and optional simulated pH sources</w:t>
            </w:r>
          </w:p>
        </w:tc>
        <w:tc>
          <w:tcPr>
            <w:tcW w:w="4320" w:type="dxa"/>
            <w:tcMar>
              <w:top w:w="65" w:type="dxa"/>
              <w:left w:w="100" w:type="dxa"/>
              <w:bottom w:w="65" w:type="dxa"/>
              <w:right w:w="100" w:type="dxa"/>
            </w:tcMar>
            <w:vAlign w:val="center"/>
          </w:tcPr>
          <w:p w14:paraId="3B6F5E4D" w14:textId="77777777" w:rsidR="000028DC" w:rsidRDefault="00540119">
            <w:pPr>
              <w:spacing w:before="40" w:after="100"/>
            </w:pPr>
            <w:r>
              <w:rPr>
                <w:rFonts w:ascii="Calibri" w:hAnsi="Calibri"/>
                <w:b w:val="0"/>
                <w:color w:val="000000"/>
                <w:sz w:val="17"/>
              </w:rPr>
              <w:t>Six permanently installed stations and 18 live farm measurements</w:t>
            </w:r>
          </w:p>
        </w:tc>
      </w:tr>
      <w:tr w:rsidR="000028DC" w14:paraId="7130C41B" w14:textId="77777777">
        <w:trPr>
          <w:jc w:val="center"/>
        </w:trPr>
        <w:tc>
          <w:tcPr>
            <w:tcW w:w="4320" w:type="dxa"/>
            <w:tcMar>
              <w:top w:w="65" w:type="dxa"/>
              <w:left w:w="100" w:type="dxa"/>
              <w:bottom w:w="65" w:type="dxa"/>
              <w:right w:w="100" w:type="dxa"/>
            </w:tcMar>
            <w:vAlign w:val="center"/>
          </w:tcPr>
          <w:p w14:paraId="1451DC1A" w14:textId="77777777" w:rsidR="00F006B3" w:rsidRDefault="00540119">
            <w:pPr>
              <w:spacing w:before="40" w:after="100"/>
            </w:pPr>
            <w:r>
              <w:rPr>
                <w:rFonts w:ascii="Calibri" w:hAnsi="Calibri"/>
                <w:b w:val="0"/>
                <w:color w:val="000000"/>
                <w:sz w:val="17"/>
              </w:rPr>
              <w:t>MQTT, signed JSON, HMAC verification and sequence replay checks</w:t>
            </w:r>
          </w:p>
        </w:tc>
        <w:tc>
          <w:tcPr>
            <w:tcW w:w="4320" w:type="dxa"/>
            <w:tcMar>
              <w:top w:w="65" w:type="dxa"/>
              <w:left w:w="100" w:type="dxa"/>
              <w:bottom w:w="65" w:type="dxa"/>
              <w:right w:w="100" w:type="dxa"/>
            </w:tcMar>
            <w:vAlign w:val="center"/>
          </w:tcPr>
          <w:p w14:paraId="2375970E" w14:textId="77777777" w:rsidR="000028DC" w:rsidRDefault="00540119">
            <w:pPr>
              <w:spacing w:before="40" w:after="100"/>
            </w:pPr>
            <w:r>
              <w:rPr>
                <w:rFonts w:ascii="Calibri" w:hAnsi="Calibri"/>
                <w:b w:val="0"/>
                <w:color w:val="000000"/>
                <w:sz w:val="17"/>
              </w:rPr>
              <w:t>Fully commissioned industrial fieldbus and production-grade key management</w:t>
            </w:r>
          </w:p>
        </w:tc>
      </w:tr>
      <w:tr w:rsidR="000028DC" w14:paraId="534F3E9D" w14:textId="77777777">
        <w:trPr>
          <w:jc w:val="center"/>
        </w:trPr>
        <w:tc>
          <w:tcPr>
            <w:tcW w:w="4320" w:type="dxa"/>
            <w:tcMar>
              <w:top w:w="65" w:type="dxa"/>
              <w:left w:w="100" w:type="dxa"/>
              <w:bottom w:w="65" w:type="dxa"/>
              <w:right w:w="100" w:type="dxa"/>
            </w:tcMar>
            <w:vAlign w:val="center"/>
          </w:tcPr>
          <w:p w14:paraId="76E03FB5" w14:textId="77777777" w:rsidR="00F006B3" w:rsidRDefault="00540119">
            <w:pPr>
              <w:spacing w:before="40" w:after="100"/>
            </w:pPr>
            <w:r>
              <w:rPr>
                <w:rFonts w:ascii="Calibri" w:hAnsi="Calibri"/>
                <w:b w:val="0"/>
                <w:color w:val="000000"/>
                <w:sz w:val="17"/>
              </w:rPr>
              <w:t xml:space="preserve">Node-RED / SQLite monitoring and software </w:t>
            </w:r>
            <w:r>
              <w:rPr>
                <w:rFonts w:ascii="Calibri" w:hAnsi="Calibri"/>
                <w:b w:val="0"/>
                <w:color w:val="000000"/>
                <w:sz w:val="17"/>
              </w:rPr>
              <w:lastRenderedPageBreak/>
              <w:t>SAFE/HOLD alerts</w:t>
            </w:r>
          </w:p>
        </w:tc>
        <w:tc>
          <w:tcPr>
            <w:tcW w:w="4320" w:type="dxa"/>
            <w:tcMar>
              <w:top w:w="65" w:type="dxa"/>
              <w:left w:w="100" w:type="dxa"/>
              <w:bottom w:w="65" w:type="dxa"/>
              <w:right w:w="100" w:type="dxa"/>
            </w:tcMar>
            <w:vAlign w:val="center"/>
          </w:tcPr>
          <w:p w14:paraId="13F9055B" w14:textId="77777777" w:rsidR="000028DC" w:rsidRDefault="00540119">
            <w:pPr>
              <w:spacing w:before="40" w:after="100"/>
            </w:pPr>
            <w:r>
              <w:rPr>
                <w:rFonts w:ascii="Calibri" w:hAnsi="Calibri"/>
                <w:b w:val="0"/>
                <w:color w:val="000000"/>
                <w:sz w:val="17"/>
              </w:rPr>
              <w:lastRenderedPageBreak/>
              <w:t>Actuation of real aerators, pumps or feeders</w:t>
            </w:r>
          </w:p>
        </w:tc>
      </w:tr>
      <w:tr w:rsidR="000028DC" w14:paraId="475787BA" w14:textId="77777777">
        <w:trPr>
          <w:jc w:val="center"/>
        </w:trPr>
        <w:tc>
          <w:tcPr>
            <w:tcW w:w="4320" w:type="dxa"/>
            <w:tcMar>
              <w:top w:w="65" w:type="dxa"/>
              <w:left w:w="100" w:type="dxa"/>
              <w:bottom w:w="65" w:type="dxa"/>
              <w:right w:w="100" w:type="dxa"/>
            </w:tcMar>
            <w:vAlign w:val="center"/>
          </w:tcPr>
          <w:p w14:paraId="2221DC9C" w14:textId="77777777" w:rsidR="000028DC" w:rsidRDefault="00540119">
            <w:pPr>
              <w:spacing w:before="40" w:after="100"/>
            </w:pPr>
            <w:r>
              <w:rPr>
                <w:rFonts w:ascii="Calibri" w:hAnsi="Calibri"/>
                <w:b w:val="0"/>
                <w:color w:val="000000"/>
                <w:sz w:val="17"/>
              </w:rPr>
              <w:t>Isolated attacker role and optional cross-team attack path</w:t>
            </w:r>
          </w:p>
        </w:tc>
        <w:tc>
          <w:tcPr>
            <w:tcW w:w="4320" w:type="dxa"/>
            <w:tcMar>
              <w:top w:w="65" w:type="dxa"/>
              <w:left w:w="100" w:type="dxa"/>
              <w:bottom w:w="65" w:type="dxa"/>
              <w:right w:w="100" w:type="dxa"/>
            </w:tcMar>
            <w:vAlign w:val="center"/>
          </w:tcPr>
          <w:p w14:paraId="081922C5" w14:textId="77777777" w:rsidR="000028DC" w:rsidRDefault="00540119">
            <w:pPr>
              <w:spacing w:before="40" w:after="100"/>
            </w:pPr>
            <w:r>
              <w:rPr>
                <w:rFonts w:ascii="Calibri" w:hAnsi="Calibri"/>
                <w:b w:val="0"/>
                <w:color w:val="000000"/>
                <w:sz w:val="17"/>
              </w:rPr>
              <w:t>Public-network attack testing or a production security assessment</w:t>
            </w:r>
          </w:p>
        </w:tc>
      </w:tr>
      <w:tr w:rsidR="000028DC" w14:paraId="69D16432" w14:textId="77777777">
        <w:trPr>
          <w:jc w:val="center"/>
        </w:trPr>
        <w:tc>
          <w:tcPr>
            <w:tcW w:w="4320" w:type="dxa"/>
            <w:tcMar>
              <w:top w:w="65" w:type="dxa"/>
              <w:left w:w="100" w:type="dxa"/>
              <w:bottom w:w="65" w:type="dxa"/>
              <w:right w:w="100" w:type="dxa"/>
            </w:tcMar>
            <w:vAlign w:val="center"/>
          </w:tcPr>
          <w:p w14:paraId="03FED233" w14:textId="77777777" w:rsidR="000028DC" w:rsidRDefault="00540119">
            <w:pPr>
              <w:spacing w:before="40" w:after="100"/>
            </w:pPr>
            <w:r>
              <w:rPr>
                <w:rFonts w:ascii="Calibri" w:hAnsi="Calibri"/>
                <w:b w:val="0"/>
                <w:color w:val="000000"/>
                <w:sz w:val="17"/>
              </w:rPr>
              <w:t>VM-based networking across the demonstration environment</w:t>
            </w:r>
          </w:p>
        </w:tc>
        <w:tc>
          <w:tcPr>
            <w:tcW w:w="4320" w:type="dxa"/>
            <w:tcMar>
              <w:top w:w="65" w:type="dxa"/>
              <w:left w:w="100" w:type="dxa"/>
              <w:bottom w:w="65" w:type="dxa"/>
              <w:right w:w="100" w:type="dxa"/>
            </w:tcMar>
            <w:vAlign w:val="center"/>
          </w:tcPr>
          <w:p w14:paraId="61D2AA05" w14:textId="77777777" w:rsidR="000028DC" w:rsidRDefault="00540119">
            <w:pPr>
              <w:spacing w:before="40" w:after="100"/>
            </w:pPr>
            <w:r>
              <w:rPr>
                <w:rFonts w:ascii="Calibri" w:hAnsi="Calibri"/>
                <w:b w:val="0"/>
                <w:color w:val="000000"/>
                <w:sz w:val="17"/>
              </w:rPr>
              <w:t>Full three-pond fibre, power and enclosure installation</w:t>
            </w:r>
          </w:p>
        </w:tc>
      </w:tr>
    </w:tbl>
    <w:p w14:paraId="20FDBEF6" w14:textId="77777777" w:rsidR="000028DC" w:rsidRDefault="00540119">
      <w:pPr>
        <w:pStyle w:val="Heading2"/>
        <w:spacing w:after="140" w:before="160"/>
      </w:pPr>
      <w:r>
        <w:rPr>
          <w:rFonts w:ascii="Calibri" w:hAnsi="Calibri"/>
          <w:color w:val="000000"/>
          <w:sz w:val="20"/>
        </w:rPr>
        <w:t>1.5 Evidence and traceability</w:t>
      </w:r>
    </w:p>
    <w:p w14:paraId="4193B351" w14:textId="77777777" w:rsidR="000028DC" w:rsidRDefault="00540119">
      <w:pPr>
        <w:spacing w:after="100" w:before="40"/>
      </w:pPr>
      <w:r>
        <w:rPr>
          <w:rFonts w:ascii="Calibri" w:hAnsi="Calibri"/>
          <w:color w:val="000000"/>
          <w:sz w:val="20"/>
        </w:rPr>
        <w:t>The project repository and the figure locations provide traceability for the described implementation. Figures distinguish architecture, message handling and dashboard behaviour.</w:t>
      </w:r>
    </w:p>
    <w:p w14:paraId="5A52FCFF" w14:textId="77777777" w:rsidR="00EC78C6" w:rsidRDefault="00EC78C6" w:rsidP="00EC78C6">
      <w:pPr>
        <w:spacing w:after="100" w:before="40"/>
        <w:jc w:val="center"/>
      </w:pPr>
      <w:r>
        <w:rPr>
          <w:rFonts w:ascii="Calibri" w:hAnsi="Calibri"/>
          <w:noProof/>
          <w:color w:val="000000"/>
          <w:sz w:val="20"/>
        </w:rPr>
        <w:drawing>
          <wp:inline distT="0" distB="0" distL="0" distR="0" wp14:anchorId="6FD98106" wp14:editId="56DE3E95">
            <wp:extent cx="4221480" cy="1798320"/>
            <wp:effectExtent l="0" t="0" r="7620" b="0"/>
            <wp:docPr id="2099089616" name="Picture 209908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9616" name="Picture 2099089616"/>
                    <pic:cNvPicPr/>
                  </pic:nvPicPr>
                  <pic:blipFill>
                    <a:blip r:embed="rId8"/>
                    <a:stretch>
                      <a:fillRect/>
                    </a:stretch>
                  </pic:blipFill>
                  <pic:spPr>
                    <a:xfrm>
                      <a:off x="0" y="0"/>
                      <a:ext cx="4221480" cy="1798320"/>
                    </a:xfrm>
                    <a:prstGeom prst="rect">
                      <a:avLst/>
                    </a:prstGeom>
                  </pic:spPr>
                </pic:pic>
              </a:graphicData>
            </a:graphic>
          </wp:inline>
        </w:drawing>
      </w:r>
    </w:p>
    <w:p w14:paraId="3CC0A2EC" w14:textId="77777777" w:rsidR="000028DC" w:rsidRDefault="00540119">
      <w:pPr>
        <w:pStyle w:val="AQCaption"/>
        <w:spacing w:after="140" w:before="160"/>
        <w:jc w:val="center"/>
      </w:pPr>
      <w:r>
        <w:rPr>
          <w:color w:val="000000"/>
        </w:rPr>
        <w:t>Figure 1: Showcase data paths for physical TEMP-001 and simulated DO-001/PH-001 through MQTT verification and monitoring.</w:t>
      </w:r>
    </w:p>
    <w:p w14:paraId="4536FADF" w14:textId="77777777" w:rsidR="00EC78C6" w:rsidRDefault="00EC78C6">
      <w:pPr>
        <w:spacing w:after="100" w:before="40"/>
        <w:jc w:val="center"/>
        <w:rPr>
          <w:i/>
        </w:rPr>
      </w:pPr>
      <w:r w:rsidRPr="00EC78C6">
        <w:rPr>
          <w:rFonts w:ascii="Calibri" w:hAnsi="Calibri"/>
          <w:i/>
          <w:noProof/>
          <w:color w:val="000000"/>
          <w:sz w:val="20"/>
        </w:rPr>
        <w:drawing>
          <wp:inline distT="0" distB="0" distL="0" distR="0" wp14:anchorId="07675F3D" wp14:editId="56E441A6">
            <wp:extent cx="3848100" cy="3567444"/>
            <wp:effectExtent l="0" t="0" r="0" b="0"/>
            <wp:docPr id="52199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8151" name=""/>
                    <pic:cNvPicPr/>
                  </pic:nvPicPr>
                  <pic:blipFill>
                    <a:blip r:embed="rId9"/>
                    <a:stretch>
                      <a:fillRect/>
                    </a:stretch>
                  </pic:blipFill>
                  <pic:spPr>
                    <a:xfrm>
                      <a:off x="0" y="0"/>
                      <a:ext cx="3849846" cy="3569063"/>
                    </a:xfrm>
                    <a:prstGeom prst="rect">
                      <a:avLst/>
                    </a:prstGeom>
                  </pic:spPr>
                </pic:pic>
              </a:graphicData>
            </a:graphic>
          </wp:inline>
        </w:drawing>
      </w:r>
    </w:p>
    <w:p w14:paraId="69430D42" w14:textId="77777777" w:rsidR="000028DC" w:rsidRDefault="00540119">
      <w:pPr>
        <w:pStyle w:val="AQCaption"/>
        <w:spacing w:after="140" w:before="160"/>
        <w:jc w:val="center"/>
      </w:pPr>
      <w:r>
        <w:rPr>
          <w:color w:val="000000"/>
        </w:rPr>
        <w:t>Figure 2: Gateway console recording acceptance of authenticated sensor messages.</w:t>
      </w:r>
    </w:p>
    <w:p w14:paraId="4C608B6C" w14:textId="77777777" w:rsidR="00EC78C6" w:rsidRDefault="00EC78C6">
      <w:pPr>
        <w:spacing w:after="100" w:before="40"/>
        <w:jc w:val="center"/>
      </w:pPr>
    </w:p>
    <w:p w14:paraId="2ED17E09" w14:textId="77777777" w:rsidR="00EC78C6" w:rsidRDefault="00EC78C6">
      <w:pPr>
        <w:spacing w:after="100" w:before="40"/>
        <w:jc w:val="center"/>
        <w:rPr>
          <w:i/>
          <w:color w:val="6E6E6E"/>
        </w:rPr>
      </w:pPr>
      <w:r w:rsidRPr="00EC78C6">
        <w:rPr>
          <w:rFonts w:ascii="Calibri" w:hAnsi="Calibri"/>
          <w:i/>
          <w:noProof/>
          <w:color w:val="000000"/>
          <w:sz w:val="20"/>
        </w:rPr>
        <w:lastRenderedPageBreak/>
        <w:drawing>
          <wp:inline distT="0" distB="0" distL="0" distR="0" wp14:anchorId="1D62C36F" wp14:editId="70F02C93">
            <wp:extent cx="3219899" cy="1505160"/>
            <wp:effectExtent l="0" t="0" r="0" b="0"/>
            <wp:docPr id="209908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9615" name=""/>
                    <pic:cNvPicPr/>
                  </pic:nvPicPr>
                  <pic:blipFill>
                    <a:blip r:embed="rId10"/>
                    <a:stretch>
                      <a:fillRect/>
                    </a:stretch>
                  </pic:blipFill>
                  <pic:spPr>
                    <a:xfrm>
                      <a:off x="0" y="0"/>
                      <a:ext cx="3219899" cy="1505160"/>
                    </a:xfrm>
                    <a:prstGeom prst="rect">
                      <a:avLst/>
                    </a:prstGeom>
                  </pic:spPr>
                </pic:pic>
              </a:graphicData>
            </a:graphic>
          </wp:inline>
        </w:drawing>
      </w:r>
    </w:p>
    <w:p w14:paraId="35DCE3E8" w14:textId="77777777" w:rsidR="000028DC" w:rsidRDefault="00540119">
      <w:pPr>
        <w:pStyle w:val="AQCaption"/>
        <w:spacing w:after="140" w:before="160"/>
        <w:jc w:val="center"/>
      </w:pPr>
      <w:r>
        <w:rPr>
          <w:color w:val="000000"/>
        </w:rPr>
        <w:t>Figure 3: Gateway outage warning and software safe-state indication.</w:t>
      </w:r>
    </w:p>
    <w:p w14:paraId="761FFD71" w14:textId="77777777" w:rsidR="000028DC" w:rsidRDefault="00540119">
      <w:pPr>
        <w:spacing w:after="100" w:before="40"/>
      </w:pPr>
      <w:r>
        <w:rPr>
          <w:rFonts w:ascii="Calibri" w:hAnsi="Calibri"/>
          <w:color w:val="000000"/>
          <w:sz w:val="20"/>
        </w:rPr>
        <w:t>Repository: https://github.com/nininehaa/aq1-secure-aquaculture-iot.git</w:t>
      </w:r>
    </w:p>
    <w:p w14:paraId="444AC0CD" w14:textId="77777777" w:rsidR="000028DC" w:rsidRDefault="00540119">
      <w:pPr>
        <w:spacing w:after="100" w:before="40"/>
      </w:pPr>
      <w:r>
        <w:rPr>
          <w:rFonts w:ascii="Calibri" w:hAnsi="Calibri"/>
          <w:color w:val="000000"/>
          <w:sz w:val="20"/>
        </w:rPr>
        <w:t>Figures 1–3 identify the deployment topology and examples of genuine gateway acceptance and outage reporting. Screenshots are captured from the project environment; where a figure demonstrates only one security condition, its caption is restricted to that observation.</w:t>
      </w:r>
    </w:p>
    <w:p w14:paraId="02D34FEB" w14:textId="77777777" w:rsidR="005848E1" w:rsidRDefault="00540119">
      <w:pPr>
        <w:spacing w:after="100" w:before="40"/>
      </w:pPr>
      <w:r>
        <w:rPr>
          <w:rFonts w:ascii="Calibri" w:hAnsi="Calibri"/>
          <w:color w:val="000000"/>
          <w:sz w:val="20"/>
        </w:rPr>
        <w:br w:type="page"/>
      </w:r>
    </w:p>
    <w:p w14:paraId="7FAD9CDF" w14:textId="77777777" w:rsidR="005848E1" w:rsidRDefault="00540119">
      <w:pPr>
        <w:pStyle w:val="Heading1"/>
        <w:spacing w:after="140" w:before="160"/>
      </w:pPr>
      <w:r>
        <w:rPr>
          <w:rFonts w:ascii="Calibri" w:hAnsi="Calibri"/>
          <w:color w:val="000000"/>
          <w:sz w:val="20"/>
        </w:rPr>
        <w:lastRenderedPageBreak/>
        <w:t>2. Hardware, Software &amp; Development Environment</w:t>
      </w:r>
    </w:p>
    <w:p w14:paraId="42680130" w14:textId="77777777" w:rsidR="005848E1" w:rsidRDefault="00540119">
      <w:pPr>
        <w:pStyle w:val="Heading2"/>
        <w:spacing w:after="140" w:before="160"/>
      </w:pPr>
      <w:r>
        <w:rPr>
          <w:rFonts w:ascii="Calibri" w:hAnsi="Calibri"/>
          <w:color w:val="000000"/>
          <w:sz w:val="20"/>
        </w:rPr>
        <w:t>2.1 Implementation platform</w:t>
      </w:r>
    </w:p>
    <w:p w14:paraId="2B0267AE" w14:textId="77777777" w:rsidR="005848E1" w:rsidRDefault="00540119">
      <w:pPr>
        <w:spacing w:after="100" w:before="40"/>
      </w:pPr>
      <w:r>
        <w:rPr>
          <w:rFonts w:ascii="Calibri" w:hAnsi="Calibri"/>
          <w:color w:val="000000"/>
          <w:sz w:val="20"/>
        </w:rPr>
        <w:t>We used Windows laptops with VMware and GNS3. GNS3 runs the separate Alpine Docker nodes for the sensors, gateway and attacker. Node-RED and the database come in a separate package. This setup lets us repeat the demo without real farm equipment.</w:t>
      </w:r>
    </w:p>
    <w:p w14:paraId="16503E81" w14:textId="77777777" w:rsidR="005848E1" w:rsidRDefault="00540119">
      <w:pPr>
        <w:pStyle w:val="Heading2"/>
        <w:spacing w:after="140" w:before="160"/>
      </w:pPr>
      <w:r>
        <w:rPr>
          <w:rFonts w:ascii="Calibri" w:hAnsi="Calibri"/>
          <w:color w:val="000000"/>
          <w:sz w:val="20"/>
        </w:rPr>
        <w:t>2.2 Prototype equipment and computing roles</w:t>
      </w:r>
    </w:p>
    <w:p w14:paraId="1F7A887F" w14:textId="77777777" w:rsidR="005848E1" w:rsidRDefault="00540119">
      <w:pPr>
        <w:spacing w:after="100" w:before="40"/>
      </w:pPr>
      <w:r>
        <w:rPr>
          <w:rFonts w:ascii="Calibri" w:hAnsi="Calibri"/>
          <w:color w:val="000000"/>
          <w:sz w:val="20"/>
        </w:rPr>
        <w:t>The real hardware is an ESP32-C3 and waterproof DS18B20 temperature sensor. DO-001 and PH-001 are Python sensor simulations in GNS3. The attacker node is only used for our authorised security demonstration, and Node-RED displays readings and alerts.</w:t>
      </w:r>
    </w:p>
    <w:tbl>
      <w:tblPr>
        <w:tblStyle w:val="TableGrid"/>
        <w:tblW w:w="0" w:type="auto"/>
        <w:jc w:val="center"/>
        <w:tblLook w:val="04A0" w:firstRow="1" w:lastRow="0" w:firstColumn="1" w:lastColumn="0" w:noHBand="0" w:noVBand="1"/>
      </w:tblPr>
      <w:tblGrid>
        <w:gridCol w:w="3216"/>
        <w:gridCol w:w="3216"/>
        <w:gridCol w:w="3216"/>
      </w:tblGrid>
      <w:tr w:rsidR="005848E1" w14:paraId="3C05E5F2" w14:textId="77777777">
        <w:trPr>
          <w:tblHeader/>
          <w:jc w:val="center"/>
        </w:trPr>
        <w:tc>
          <w:tcPr>
            <w:tcW w:w="3216" w:type="dxa"/>
            <w:tcMar>
              <w:top w:w="65" w:type="dxa"/>
              <w:left w:w="100" w:type="dxa"/>
              <w:bottom w:w="65" w:type="dxa"/>
              <w:right w:w="100" w:type="dxa"/>
            </w:tcMar>
            <w:vAlign w:val="center"/>
          </w:tcPr>
          <w:p w14:paraId="3AD33B5E" w14:textId="77777777" w:rsidR="005848E1" w:rsidRPr="0018583B" w:rsidRDefault="00540119">
            <w:pPr>
              <w:spacing w:before="40" w:after="100"/>
              <w:rPr>
                <w:szCs w:val="24"/>
              </w:rPr>
            </w:pPr>
            <w:r w:rsidRPr="0018583B">
              <w:rPr>
                <w:rFonts w:ascii="Calibri" w:hAnsi="Calibri"/>
                <w:b/>
                <w:color w:val="000000"/>
                <w:sz w:val="17"/>
                <w:szCs w:val="24"/>
              </w:rPr>
              <w:t>Component / role</w:t>
            </w:r>
          </w:p>
        </w:tc>
        <w:tc>
          <w:tcPr>
            <w:tcW w:w="3216" w:type="dxa"/>
            <w:tcMar>
              <w:top w:w="65" w:type="dxa"/>
              <w:left w:w="100" w:type="dxa"/>
              <w:bottom w:w="65" w:type="dxa"/>
              <w:right w:w="100" w:type="dxa"/>
            </w:tcMar>
            <w:vAlign w:val="center"/>
          </w:tcPr>
          <w:p w14:paraId="549946B6" w14:textId="77777777" w:rsidR="005848E1" w:rsidRPr="0018583B" w:rsidRDefault="00540119">
            <w:pPr>
              <w:spacing w:before="40" w:after="100"/>
              <w:rPr>
                <w:szCs w:val="24"/>
              </w:rPr>
            </w:pPr>
            <w:r w:rsidRPr="0018583B">
              <w:rPr>
                <w:rFonts w:ascii="Calibri" w:hAnsi="Calibri"/>
                <w:b/>
                <w:color w:val="000000"/>
                <w:sz w:val="17"/>
                <w:szCs w:val="24"/>
              </w:rPr>
              <w:t>Implementation choice</w:t>
            </w:r>
          </w:p>
        </w:tc>
        <w:tc>
          <w:tcPr>
            <w:tcW w:w="3216" w:type="dxa"/>
            <w:tcMar>
              <w:top w:w="65" w:type="dxa"/>
              <w:left w:w="100" w:type="dxa"/>
              <w:bottom w:w="65" w:type="dxa"/>
              <w:right w:w="100" w:type="dxa"/>
            </w:tcMar>
            <w:vAlign w:val="center"/>
          </w:tcPr>
          <w:p w14:paraId="173A8B7D" w14:textId="77777777" w:rsidR="005848E1" w:rsidRPr="0018583B" w:rsidRDefault="00540119">
            <w:pPr>
              <w:spacing w:before="40" w:after="100"/>
              <w:rPr>
                <w:szCs w:val="24"/>
              </w:rPr>
            </w:pPr>
            <w:r w:rsidRPr="0018583B">
              <w:rPr>
                <w:rFonts w:ascii="Calibri" w:hAnsi="Calibri"/>
                <w:b/>
                <w:color w:val="000000"/>
                <w:sz w:val="17"/>
                <w:szCs w:val="24"/>
              </w:rPr>
              <w:t>Purpose / evidence to record</w:t>
            </w:r>
          </w:p>
        </w:tc>
      </w:tr>
      <w:tr w:rsidR="005848E1" w14:paraId="3B28ACE9" w14:textId="77777777">
        <w:trPr>
          <w:jc w:val="center"/>
        </w:trPr>
        <w:tc>
          <w:tcPr>
            <w:tcW w:w="3216" w:type="dxa"/>
            <w:tcMar>
              <w:top w:w="65" w:type="dxa"/>
              <w:left w:w="100" w:type="dxa"/>
              <w:bottom w:w="65" w:type="dxa"/>
              <w:right w:w="100" w:type="dxa"/>
            </w:tcMar>
            <w:vAlign w:val="center"/>
          </w:tcPr>
          <w:p w14:paraId="49533CD8" w14:textId="77777777" w:rsidR="005848E1" w:rsidRPr="0018583B" w:rsidRDefault="00540119">
            <w:pPr>
              <w:spacing w:before="40" w:after="100"/>
              <w:rPr>
                <w:szCs w:val="24"/>
              </w:rPr>
            </w:pPr>
            <w:r w:rsidRPr="0018583B">
              <w:rPr>
                <w:rFonts w:ascii="Calibri" w:hAnsi="Calibri"/>
                <w:b w:val="0"/>
                <w:color w:val="000000"/>
                <w:sz w:val="17"/>
                <w:szCs w:val="24"/>
              </w:rPr>
              <w:t>Host computers</w:t>
            </w:r>
          </w:p>
        </w:tc>
        <w:tc>
          <w:tcPr>
            <w:tcW w:w="3216" w:type="dxa"/>
            <w:tcMar>
              <w:top w:w="65" w:type="dxa"/>
              <w:left w:w="100" w:type="dxa"/>
              <w:bottom w:w="65" w:type="dxa"/>
              <w:right w:w="100" w:type="dxa"/>
            </w:tcMar>
            <w:vAlign w:val="center"/>
          </w:tcPr>
          <w:p w14:paraId="195212B2" w14:textId="77777777" w:rsidR="005848E1" w:rsidRPr="0018583B" w:rsidRDefault="00540119">
            <w:pPr>
              <w:spacing w:before="40" w:after="100"/>
              <w:rPr>
                <w:szCs w:val="24"/>
              </w:rPr>
            </w:pPr>
            <w:r w:rsidRPr="0018583B">
              <w:rPr>
                <w:rFonts w:ascii="Calibri" w:hAnsi="Calibri"/>
                <w:b w:val="0"/>
                <w:color w:val="000000"/>
                <w:sz w:val="17"/>
                <w:szCs w:val="24"/>
              </w:rPr>
              <w:t>Team Windows computers with VMware Workstation Pro</w:t>
            </w:r>
          </w:p>
        </w:tc>
        <w:tc>
          <w:tcPr>
            <w:tcW w:w="3216" w:type="dxa"/>
            <w:tcMar>
              <w:top w:w="65" w:type="dxa"/>
              <w:left w:w="100" w:type="dxa"/>
              <w:bottom w:w="65" w:type="dxa"/>
              <w:right w:w="100" w:type="dxa"/>
            </w:tcMar>
            <w:vAlign w:val="center"/>
          </w:tcPr>
          <w:p w14:paraId="7CA4038A" w14:textId="77777777" w:rsidR="005848E1" w:rsidRPr="0018583B" w:rsidRDefault="00540119">
            <w:pPr>
              <w:spacing w:before="40" w:after="100"/>
              <w:rPr>
                <w:szCs w:val="24"/>
              </w:rPr>
            </w:pPr>
            <w:r w:rsidRPr="0018583B">
              <w:rPr>
                <w:rFonts w:ascii="Calibri" w:hAnsi="Calibri"/>
                <w:b w:val="0"/>
                <w:color w:val="000000"/>
                <w:sz w:val="17"/>
                <w:szCs w:val="24"/>
              </w:rPr>
              <w:t>Run and interconnect demonstration VMs; record host specifications and network interfaces</w:t>
            </w:r>
          </w:p>
        </w:tc>
      </w:tr>
      <w:tr w:rsidR="005848E1" w14:paraId="4C3D11D2" w14:textId="77777777">
        <w:trPr>
          <w:jc w:val="center"/>
        </w:trPr>
        <w:tc>
          <w:tcPr>
            <w:tcW w:w="3216" w:type="dxa"/>
            <w:tcMar>
              <w:top w:w="65" w:type="dxa"/>
              <w:left w:w="100" w:type="dxa"/>
              <w:bottom w:w="65" w:type="dxa"/>
              <w:right w:w="100" w:type="dxa"/>
            </w:tcMar>
            <w:vAlign w:val="center"/>
          </w:tcPr>
          <w:p w14:paraId="227E3027" w14:textId="77777777" w:rsidR="005848E1" w:rsidRPr="0018583B" w:rsidRDefault="00540119">
            <w:pPr>
              <w:spacing w:before="40" w:after="100"/>
              <w:rPr>
                <w:szCs w:val="24"/>
              </w:rPr>
            </w:pPr>
            <w:r w:rsidRPr="0018583B">
              <w:rPr>
                <w:rFonts w:ascii="Calibri" w:hAnsi="Calibri"/>
                <w:b w:val="0"/>
                <w:color w:val="000000"/>
                <w:sz w:val="17"/>
                <w:szCs w:val="24"/>
              </w:rPr>
              <w:t>Temperature source</w:t>
            </w:r>
          </w:p>
        </w:tc>
        <w:tc>
          <w:tcPr>
            <w:tcW w:w="3216" w:type="dxa"/>
            <w:tcMar>
              <w:top w:w="65" w:type="dxa"/>
              <w:left w:w="100" w:type="dxa"/>
              <w:bottom w:w="65" w:type="dxa"/>
              <w:right w:w="100" w:type="dxa"/>
            </w:tcMar>
            <w:vAlign w:val="center"/>
          </w:tcPr>
          <w:p w14:paraId="5E0A02E9" w14:textId="77777777" w:rsidR="00F006B3" w:rsidRDefault="00540119">
            <w:pPr>
              <w:spacing w:before="40" w:after="100"/>
            </w:pPr>
            <w:r>
              <w:rPr>
                <w:rFonts w:ascii="Calibri" w:hAnsi="Calibri"/>
                <w:b w:val="0"/>
                <w:color w:val="000000"/>
                <w:sz w:val="17"/>
              </w:rPr>
              <w:t>ESP32-C3 with waterproof DS18B20; GPIO4 one-wire interface; Arduino firmware and photograph</w:t>
            </w:r>
          </w:p>
        </w:tc>
        <w:tc>
          <w:tcPr>
            <w:tcW w:w="3216" w:type="dxa"/>
            <w:tcMar>
              <w:top w:w="65" w:type="dxa"/>
              <w:left w:w="100" w:type="dxa"/>
              <w:bottom w:w="65" w:type="dxa"/>
              <w:right w:w="100" w:type="dxa"/>
            </w:tcMar>
            <w:vAlign w:val="center"/>
          </w:tcPr>
          <w:p w14:paraId="411E8E12" w14:textId="77777777" w:rsidR="005848E1" w:rsidRPr="0018583B" w:rsidRDefault="00540119">
            <w:pPr>
              <w:spacing w:before="40" w:after="100"/>
              <w:rPr>
                <w:szCs w:val="24"/>
              </w:rPr>
            </w:pPr>
            <w:r w:rsidRPr="0018583B">
              <w:rPr>
                <w:rFonts w:ascii="Calibri" w:hAnsi="Calibri"/>
                <w:b w:val="0"/>
                <w:color w:val="000000"/>
                <w:sz w:val="17"/>
                <w:szCs w:val="24"/>
              </w:rPr>
              <w:t>Provide real sensor input; add wiring, firmware and photograph</w:t>
            </w:r>
          </w:p>
        </w:tc>
      </w:tr>
      <w:tr w:rsidR="005848E1" w14:paraId="52D87A57" w14:textId="77777777">
        <w:trPr>
          <w:jc w:val="center"/>
        </w:trPr>
        <w:tc>
          <w:tcPr>
            <w:tcW w:w="3216" w:type="dxa"/>
            <w:tcMar>
              <w:top w:w="65" w:type="dxa"/>
              <w:left w:w="100" w:type="dxa"/>
              <w:bottom w:w="65" w:type="dxa"/>
              <w:right w:w="100" w:type="dxa"/>
            </w:tcMar>
            <w:vAlign w:val="center"/>
          </w:tcPr>
          <w:p w14:paraId="5DE1717D" w14:textId="77777777" w:rsidR="005848E1" w:rsidRPr="0018583B" w:rsidRDefault="00540119">
            <w:pPr>
              <w:spacing w:before="40" w:after="100"/>
              <w:rPr>
                <w:szCs w:val="24"/>
              </w:rPr>
            </w:pPr>
            <w:r w:rsidRPr="0018583B">
              <w:rPr>
                <w:rFonts w:ascii="Calibri" w:hAnsi="Calibri"/>
                <w:b w:val="0"/>
                <w:color w:val="000000"/>
                <w:sz w:val="17"/>
                <w:szCs w:val="24"/>
              </w:rPr>
              <w:t>DO source</w:t>
            </w:r>
          </w:p>
        </w:tc>
        <w:tc>
          <w:tcPr>
            <w:tcW w:w="3216" w:type="dxa"/>
            <w:tcMar>
              <w:top w:w="65" w:type="dxa"/>
              <w:left w:w="100" w:type="dxa"/>
              <w:bottom w:w="65" w:type="dxa"/>
              <w:right w:w="100" w:type="dxa"/>
            </w:tcMar>
            <w:vAlign w:val="center"/>
          </w:tcPr>
          <w:p w14:paraId="2CCBBE33" w14:textId="77777777" w:rsidR="00F006B3" w:rsidRDefault="00540119">
            <w:pPr>
              <w:spacing w:before="40" w:after="100"/>
            </w:pPr>
            <w:r>
              <w:rPr>
                <w:rFonts w:ascii="Calibri" w:hAnsi="Calibri"/>
                <w:b w:val="0"/>
                <w:color w:val="000000"/>
                <w:sz w:val="17"/>
              </w:rPr>
              <w:t>Python DO-001 publisher (GNS3 Alpine Docker node); real hardware not used</w:t>
            </w:r>
          </w:p>
        </w:tc>
        <w:tc>
          <w:tcPr>
            <w:tcW w:w="3216" w:type="dxa"/>
            <w:tcMar>
              <w:top w:w="65" w:type="dxa"/>
              <w:left w:w="100" w:type="dxa"/>
              <w:bottom w:w="65" w:type="dxa"/>
              <w:right w:w="100" w:type="dxa"/>
            </w:tcMar>
            <w:vAlign w:val="center"/>
          </w:tcPr>
          <w:p w14:paraId="1F4C72B0" w14:textId="77777777" w:rsidR="005848E1" w:rsidRPr="0018583B" w:rsidRDefault="00540119">
            <w:pPr>
              <w:spacing w:before="40" w:after="100"/>
              <w:rPr>
                <w:szCs w:val="24"/>
              </w:rPr>
            </w:pPr>
            <w:r w:rsidRPr="0018583B">
              <w:rPr>
                <w:rFonts w:ascii="Calibri" w:hAnsi="Calibri"/>
                <w:b w:val="0"/>
                <w:color w:val="000000"/>
                <w:sz w:val="17"/>
                <w:szCs w:val="24"/>
              </w:rPr>
              <w:t>Generate identified DO readings for MQTT publication</w:t>
            </w:r>
          </w:p>
        </w:tc>
      </w:tr>
      <w:tr w:rsidR="005848E1" w14:paraId="2005DA1C" w14:textId="77777777">
        <w:trPr>
          <w:jc w:val="center"/>
        </w:trPr>
        <w:tc>
          <w:tcPr>
            <w:tcW w:w="3216" w:type="dxa"/>
            <w:tcMar>
              <w:top w:w="65" w:type="dxa"/>
              <w:left w:w="100" w:type="dxa"/>
              <w:bottom w:w="65" w:type="dxa"/>
              <w:right w:w="100" w:type="dxa"/>
            </w:tcMar>
            <w:vAlign w:val="center"/>
          </w:tcPr>
          <w:p w14:paraId="55DA427B" w14:textId="77777777" w:rsidR="005848E1" w:rsidRPr="0018583B" w:rsidRDefault="00540119">
            <w:pPr>
              <w:spacing w:before="40" w:after="100"/>
              <w:rPr>
                <w:szCs w:val="24"/>
              </w:rPr>
            </w:pPr>
            <w:r w:rsidRPr="0018583B">
              <w:rPr>
                <w:rFonts w:ascii="Calibri" w:hAnsi="Calibri"/>
                <w:b w:val="0"/>
                <w:color w:val="000000"/>
                <w:sz w:val="17"/>
                <w:szCs w:val="24"/>
              </w:rPr>
              <w:t>pH source</w:t>
            </w:r>
          </w:p>
        </w:tc>
        <w:tc>
          <w:tcPr>
            <w:tcW w:w="3216" w:type="dxa"/>
            <w:tcMar>
              <w:top w:w="65" w:type="dxa"/>
              <w:left w:w="100" w:type="dxa"/>
              <w:bottom w:w="65" w:type="dxa"/>
              <w:right w:w="100" w:type="dxa"/>
            </w:tcMar>
            <w:vAlign w:val="center"/>
          </w:tcPr>
          <w:p w14:paraId="31355196" w14:textId="77777777" w:rsidR="00F006B3" w:rsidRDefault="00540119">
            <w:pPr>
              <w:spacing w:before="40" w:after="100"/>
            </w:pPr>
            <w:r>
              <w:rPr>
                <w:rFonts w:ascii="Calibri" w:hAnsi="Calibri"/>
                <w:b w:val="0"/>
                <w:color w:val="000000"/>
                <w:sz w:val="17"/>
              </w:rPr>
              <w:t>Python PH-001 publisher (GNS3 Alpine Docker node); additional simulated stream</w:t>
            </w:r>
          </w:p>
        </w:tc>
        <w:tc>
          <w:tcPr>
            <w:tcW w:w="3216" w:type="dxa"/>
            <w:tcMar>
              <w:top w:w="65" w:type="dxa"/>
              <w:left w:w="100" w:type="dxa"/>
              <w:bottom w:w="65" w:type="dxa"/>
              <w:right w:w="100" w:type="dxa"/>
            </w:tcMar>
            <w:vAlign w:val="center"/>
          </w:tcPr>
          <w:p w14:paraId="6587A65B" w14:textId="77777777" w:rsidR="005848E1" w:rsidRPr="0018583B" w:rsidRDefault="00540119">
            <w:pPr>
              <w:spacing w:before="40" w:after="100"/>
              <w:rPr>
                <w:szCs w:val="24"/>
              </w:rPr>
            </w:pPr>
            <w:r w:rsidRPr="0018583B">
              <w:rPr>
                <w:rFonts w:ascii="Calibri" w:hAnsi="Calibri"/>
                <w:b w:val="0"/>
                <w:color w:val="000000"/>
                <w:sz w:val="17"/>
                <w:szCs w:val="24"/>
              </w:rPr>
              <w:t>Generate identified pH readings for MQTT publication</w:t>
            </w:r>
          </w:p>
        </w:tc>
      </w:tr>
      <w:tr w:rsidR="005848E1" w14:paraId="3AFC4661" w14:textId="77777777">
        <w:trPr>
          <w:jc w:val="center"/>
        </w:trPr>
        <w:tc>
          <w:tcPr>
            <w:tcW w:w="3216" w:type="dxa"/>
            <w:tcMar>
              <w:top w:w="65" w:type="dxa"/>
              <w:left w:w="100" w:type="dxa"/>
              <w:bottom w:w="65" w:type="dxa"/>
              <w:right w:w="100" w:type="dxa"/>
            </w:tcMar>
            <w:vAlign w:val="center"/>
          </w:tcPr>
          <w:p w14:paraId="1B8D30FA" w14:textId="77777777" w:rsidR="005848E1" w:rsidRPr="0018583B" w:rsidRDefault="00540119">
            <w:pPr>
              <w:spacing w:before="40" w:after="100"/>
              <w:rPr>
                <w:szCs w:val="24"/>
              </w:rPr>
            </w:pPr>
            <w:r w:rsidRPr="0018583B">
              <w:rPr>
                <w:rFonts w:ascii="Calibri" w:hAnsi="Calibri"/>
                <w:b w:val="0"/>
                <w:color w:val="000000"/>
                <w:sz w:val="17"/>
                <w:szCs w:val="24"/>
              </w:rPr>
              <w:t>Verification gateway</w:t>
            </w:r>
          </w:p>
        </w:tc>
        <w:tc>
          <w:tcPr>
            <w:tcW w:w="3216" w:type="dxa"/>
            <w:tcMar>
              <w:top w:w="65" w:type="dxa"/>
              <w:left w:w="100" w:type="dxa"/>
              <w:bottom w:w="65" w:type="dxa"/>
              <w:right w:w="100" w:type="dxa"/>
            </w:tcMar>
            <w:vAlign w:val="center"/>
          </w:tcPr>
          <w:p w14:paraId="129CA144" w14:textId="77777777" w:rsidR="005848E1" w:rsidRPr="0018583B" w:rsidRDefault="00540119">
            <w:pPr>
              <w:spacing w:before="40" w:after="100"/>
              <w:rPr>
                <w:szCs w:val="24"/>
              </w:rPr>
            </w:pPr>
            <w:r w:rsidRPr="0018583B">
              <w:rPr>
                <w:rFonts w:ascii="Calibri" w:hAnsi="Calibri"/>
                <w:b w:val="0"/>
                <w:color w:val="000000"/>
                <w:sz w:val="17"/>
                <w:szCs w:val="24"/>
              </w:rPr>
              <w:t>Python gateway service in Alpine Linux VM</w:t>
            </w:r>
          </w:p>
        </w:tc>
        <w:tc>
          <w:tcPr>
            <w:tcW w:w="3216" w:type="dxa"/>
            <w:tcMar>
              <w:top w:w="65" w:type="dxa"/>
              <w:left w:w="100" w:type="dxa"/>
              <w:bottom w:w="65" w:type="dxa"/>
              <w:right w:w="100" w:type="dxa"/>
            </w:tcMar>
            <w:vAlign w:val="center"/>
          </w:tcPr>
          <w:p w14:paraId="1DE37B42" w14:textId="77777777" w:rsidR="005848E1" w:rsidRPr="0018583B" w:rsidRDefault="00540119">
            <w:pPr>
              <w:spacing w:before="40" w:after="100"/>
              <w:rPr>
                <w:szCs w:val="24"/>
              </w:rPr>
            </w:pPr>
            <w:r w:rsidRPr="0018583B">
              <w:rPr>
                <w:rFonts w:ascii="Calibri" w:hAnsi="Calibri"/>
                <w:b w:val="0"/>
                <w:color w:val="000000"/>
                <w:sz w:val="17"/>
                <w:szCs w:val="24"/>
              </w:rPr>
              <w:t>Verify signed payloads and separate accepted from rejected messages</w:t>
            </w:r>
          </w:p>
        </w:tc>
      </w:tr>
      <w:tr w:rsidR="005848E1" w14:paraId="2A81A809" w14:textId="77777777">
        <w:trPr>
          <w:jc w:val="center"/>
        </w:trPr>
        <w:tc>
          <w:tcPr>
            <w:tcW w:w="3216" w:type="dxa"/>
            <w:tcMar>
              <w:top w:w="65" w:type="dxa"/>
              <w:left w:w="100" w:type="dxa"/>
              <w:bottom w:w="65" w:type="dxa"/>
              <w:right w:w="100" w:type="dxa"/>
            </w:tcMar>
            <w:vAlign w:val="center"/>
          </w:tcPr>
          <w:p w14:paraId="7B24C1F0" w14:textId="77777777" w:rsidR="005848E1" w:rsidRPr="0018583B" w:rsidRDefault="00540119">
            <w:pPr>
              <w:spacing w:before="40" w:after="100"/>
              <w:rPr>
                <w:szCs w:val="24"/>
              </w:rPr>
            </w:pPr>
            <w:r w:rsidRPr="0018583B">
              <w:rPr>
                <w:rFonts w:ascii="Calibri" w:hAnsi="Calibri"/>
                <w:b w:val="0"/>
                <w:color w:val="000000"/>
                <w:sz w:val="17"/>
                <w:szCs w:val="24"/>
              </w:rPr>
              <w:t>Attacker</w:t>
            </w:r>
          </w:p>
        </w:tc>
        <w:tc>
          <w:tcPr>
            <w:tcW w:w="3216" w:type="dxa"/>
            <w:tcMar>
              <w:top w:w="65" w:type="dxa"/>
              <w:left w:w="100" w:type="dxa"/>
              <w:bottom w:w="65" w:type="dxa"/>
              <w:right w:w="100" w:type="dxa"/>
            </w:tcMar>
            <w:vAlign w:val="center"/>
          </w:tcPr>
          <w:p w14:paraId="4C311810" w14:textId="77777777" w:rsidR="005848E1" w:rsidRPr="0018583B" w:rsidRDefault="00540119">
            <w:pPr>
              <w:spacing w:before="40" w:after="100"/>
              <w:rPr>
                <w:szCs w:val="24"/>
              </w:rPr>
            </w:pPr>
            <w:r w:rsidRPr="0018583B">
              <w:rPr>
                <w:rFonts w:ascii="Calibri" w:hAnsi="Calibri"/>
                <w:b w:val="0"/>
                <w:color w:val="000000"/>
                <w:sz w:val="17"/>
                <w:szCs w:val="24"/>
              </w:rPr>
              <w:t>Isolated Alpine Linux VM / second team computer</w:t>
            </w:r>
          </w:p>
        </w:tc>
        <w:tc>
          <w:tcPr>
            <w:tcW w:w="3216" w:type="dxa"/>
            <w:tcMar>
              <w:top w:w="65" w:type="dxa"/>
              <w:left w:w="100" w:type="dxa"/>
              <w:bottom w:w="65" w:type="dxa"/>
              <w:right w:w="100" w:type="dxa"/>
            </w:tcMar>
            <w:vAlign w:val="center"/>
          </w:tcPr>
          <w:p w14:paraId="1274EBAB" w14:textId="77777777" w:rsidR="005848E1" w:rsidRPr="0018583B" w:rsidRDefault="00540119">
            <w:pPr>
              <w:spacing w:before="40" w:after="100"/>
              <w:rPr>
                <w:szCs w:val="24"/>
              </w:rPr>
            </w:pPr>
            <w:r w:rsidRPr="0018583B">
              <w:rPr>
                <w:rFonts w:ascii="Calibri" w:hAnsi="Calibri"/>
                <w:b w:val="0"/>
                <w:color w:val="000000"/>
                <w:sz w:val="17"/>
                <w:szCs w:val="24"/>
              </w:rPr>
              <w:t>Generate authorised malicious or altered traffic for the showcase</w:t>
            </w:r>
          </w:p>
        </w:tc>
      </w:tr>
      <w:tr w:rsidR="005848E1" w14:paraId="541C0DA7" w14:textId="77777777">
        <w:trPr>
          <w:jc w:val="center"/>
        </w:trPr>
        <w:tc>
          <w:tcPr>
            <w:tcW w:w="3216" w:type="dxa"/>
            <w:tcMar>
              <w:top w:w="65" w:type="dxa"/>
              <w:left w:w="100" w:type="dxa"/>
              <w:bottom w:w="65" w:type="dxa"/>
              <w:right w:w="100" w:type="dxa"/>
            </w:tcMar>
            <w:vAlign w:val="center"/>
          </w:tcPr>
          <w:p w14:paraId="4B181B7D" w14:textId="77777777" w:rsidR="005848E1" w:rsidRPr="0018583B" w:rsidRDefault="00540119">
            <w:pPr>
              <w:spacing w:before="40" w:after="100"/>
              <w:rPr>
                <w:szCs w:val="24"/>
              </w:rPr>
            </w:pPr>
            <w:r w:rsidRPr="0018583B">
              <w:rPr>
                <w:rFonts w:ascii="Calibri" w:hAnsi="Calibri"/>
                <w:b w:val="0"/>
                <w:color w:val="000000"/>
                <w:sz w:val="17"/>
                <w:szCs w:val="24"/>
              </w:rPr>
              <w:t>Operator dashboard</w:t>
            </w:r>
          </w:p>
        </w:tc>
        <w:tc>
          <w:tcPr>
            <w:tcW w:w="3216" w:type="dxa"/>
            <w:tcMar>
              <w:top w:w="65" w:type="dxa"/>
              <w:left w:w="100" w:type="dxa"/>
              <w:bottom w:w="65" w:type="dxa"/>
              <w:right w:w="100" w:type="dxa"/>
            </w:tcMar>
            <w:vAlign w:val="center"/>
          </w:tcPr>
          <w:p w14:paraId="76E3696B" w14:textId="77777777" w:rsidR="005848E1" w:rsidRPr="0018583B" w:rsidRDefault="00540119">
            <w:pPr>
              <w:spacing w:before="40" w:after="100"/>
              <w:rPr>
                <w:szCs w:val="24"/>
              </w:rPr>
            </w:pPr>
            <w:r w:rsidRPr="0018583B">
              <w:rPr>
                <w:rFonts w:ascii="Calibri" w:hAnsi="Calibri"/>
                <w:b w:val="0"/>
                <w:color w:val="000000"/>
                <w:sz w:val="17"/>
                <w:szCs w:val="24"/>
              </w:rPr>
              <w:t>Node-RED service</w:t>
            </w:r>
          </w:p>
        </w:tc>
        <w:tc>
          <w:tcPr>
            <w:tcW w:w="3216" w:type="dxa"/>
            <w:tcMar>
              <w:top w:w="65" w:type="dxa"/>
              <w:left w:w="100" w:type="dxa"/>
              <w:bottom w:w="65" w:type="dxa"/>
              <w:right w:w="100" w:type="dxa"/>
            </w:tcMar>
            <w:vAlign w:val="center"/>
          </w:tcPr>
          <w:p w14:paraId="0D501400" w14:textId="77777777" w:rsidR="005848E1" w:rsidRPr="0018583B" w:rsidRDefault="00540119">
            <w:pPr>
              <w:spacing w:before="40" w:after="100"/>
              <w:rPr>
                <w:szCs w:val="24"/>
              </w:rPr>
            </w:pPr>
            <w:r w:rsidRPr="0018583B">
              <w:rPr>
                <w:rFonts w:ascii="Calibri" w:hAnsi="Calibri"/>
                <w:b w:val="0"/>
                <w:color w:val="000000"/>
                <w:sz w:val="17"/>
                <w:szCs w:val="24"/>
              </w:rPr>
              <w:t>Display trusted readings, status and alerts</w:t>
            </w:r>
          </w:p>
        </w:tc>
      </w:tr>
    </w:tbl>
    <w:p w14:paraId="5344AEB6" w14:textId="77777777" w:rsidR="005848E1" w:rsidRDefault="00540119">
      <w:pPr>
        <w:pStyle w:val="Heading2"/>
        <w:spacing w:after="140" w:before="160"/>
      </w:pPr>
      <w:r>
        <w:rPr>
          <w:rFonts w:ascii="Calibri" w:hAnsi="Calibri"/>
          <w:color w:val="000000"/>
          <w:sz w:val="20"/>
        </w:rPr>
        <w:t>2.3 Software stack and configuration ownership</w:t>
      </w:r>
    </w:p>
    <w:p w14:paraId="0CEF5D4D" w14:textId="77777777" w:rsidR="005848E1" w:rsidRDefault="00540119">
      <w:pPr>
        <w:spacing w:after="100" w:before="40"/>
      </w:pPr>
      <w:r>
        <w:rPr>
          <w:rFonts w:ascii="Calibri" w:hAnsi="Calibri"/>
          <w:color w:val="000000"/>
          <w:sz w:val="20"/>
        </w:rPr>
        <w:t>The firmware and Python scripts implement sensor sampling or simulation, JSON preparation, HMAC-SHA256 signing and gateway verification. Paho-MQTT provides Python MQTT connectivity. The final transferred showcase configuration specifies the public HiveMQ broker (broker.hivemq.com, TCP port 1883); a local Eclipse Mosquitto broker was used during development (Eclipse Foundation n.d.; OASIS 2019). Node-RED and SQLite provide operator monitoring and event storage. Authentication secrets must remain outside published screenshots and repository commits. The broker does not itself verify application-layer HMACs.</w:t>
      </w:r>
    </w:p>
    <w:tbl>
      <w:tblPr>
        <w:tblStyle w:val="TableGrid"/>
        <w:tblW w:w="0" w:type="auto"/>
        <w:jc w:val="center"/>
        <w:tblLook w:val="04A0" w:firstRow="1" w:lastRow="0" w:firstColumn="1" w:lastColumn="0" w:noHBand="0" w:noVBand="1"/>
      </w:tblPr>
      <w:tblGrid>
        <w:gridCol w:w="3216"/>
        <w:gridCol w:w="3216"/>
        <w:gridCol w:w="3216"/>
      </w:tblGrid>
      <w:tr w:rsidR="00E66F1D" w14:paraId="360180E1" w14:textId="77777777" w:rsidTr="009660AC">
        <w:trPr>
          <w:tblHeader/>
          <w:jc w:val="center"/>
        </w:trPr>
        <w:tc>
          <w:tcPr>
            <w:tcW w:w="3216" w:type="dxa"/>
            <w:tcMar>
              <w:top w:w="65" w:type="dxa"/>
              <w:left w:w="100" w:type="dxa"/>
              <w:bottom w:w="65" w:type="dxa"/>
              <w:right w:w="100" w:type="dxa"/>
            </w:tcMar>
            <w:vAlign w:val="center"/>
          </w:tcPr>
          <w:p w14:paraId="55DB1D00" w14:textId="77777777" w:rsidR="00E66F1D" w:rsidRDefault="00E66F1D" w:rsidP="009660AC">
            <w:pPr>
              <w:spacing w:before="40" w:after="100"/>
            </w:pPr>
            <w:r>
              <w:rPr>
                <w:rFonts w:ascii="Calibri" w:hAnsi="Calibri"/>
                <w:b/>
                <w:color w:val="000000"/>
                <w:sz w:val="17"/>
              </w:rPr>
              <w:t>Software</w:t>
            </w:r>
          </w:p>
        </w:tc>
        <w:tc>
          <w:tcPr>
            <w:tcW w:w="3216" w:type="dxa"/>
            <w:tcMar>
              <w:top w:w="65" w:type="dxa"/>
              <w:left w:w="100" w:type="dxa"/>
              <w:bottom w:w="65" w:type="dxa"/>
              <w:right w:w="100" w:type="dxa"/>
            </w:tcMar>
            <w:vAlign w:val="center"/>
          </w:tcPr>
          <w:p w14:paraId="51F47485" w14:textId="77777777" w:rsidR="00E66F1D" w:rsidRDefault="00E66F1D" w:rsidP="009660AC">
            <w:pPr>
              <w:spacing w:before="40" w:after="100"/>
            </w:pPr>
            <w:r>
              <w:rPr>
                <w:rFonts w:ascii="Calibri" w:hAnsi="Calibri"/>
                <w:b/>
                <w:color w:val="000000"/>
                <w:sz w:val="17"/>
              </w:rPr>
              <w:t>Function</w:t>
            </w:r>
          </w:p>
        </w:tc>
        <w:tc>
          <w:tcPr>
            <w:tcW w:w="3216" w:type="dxa"/>
            <w:tcMar>
              <w:top w:w="65" w:type="dxa"/>
              <w:left w:w="100" w:type="dxa"/>
              <w:bottom w:w="65" w:type="dxa"/>
              <w:right w:w="100" w:type="dxa"/>
            </w:tcMar>
            <w:vAlign w:val="center"/>
          </w:tcPr>
          <w:p w14:paraId="2A270542" w14:textId="77777777" w:rsidR="00E66F1D" w:rsidRDefault="00E66F1D" w:rsidP="009660AC">
            <w:pPr>
              <w:spacing w:before="40" w:after="100"/>
            </w:pPr>
            <w:r>
              <w:rPr>
                <w:rFonts w:ascii="Calibri" w:hAnsi="Calibri"/>
                <w:b/>
                <w:color w:val="000000"/>
                <w:sz w:val="17"/>
              </w:rPr>
              <w:t>Version / configuration evidence</w:t>
            </w:r>
          </w:p>
        </w:tc>
      </w:tr>
      <w:tr w:rsidR="00E66F1D" w14:paraId="61D66390" w14:textId="77777777" w:rsidTr="009660AC">
        <w:trPr>
          <w:jc w:val="center"/>
        </w:trPr>
        <w:tc>
          <w:tcPr>
            <w:tcW w:w="3216" w:type="dxa"/>
            <w:tcMar>
              <w:top w:w="65" w:type="dxa"/>
              <w:left w:w="100" w:type="dxa"/>
              <w:bottom w:w="65" w:type="dxa"/>
              <w:right w:w="100" w:type="dxa"/>
            </w:tcMar>
            <w:vAlign w:val="center"/>
          </w:tcPr>
          <w:p w14:paraId="72BA11A6" w14:textId="77777777" w:rsidR="00E66F1D" w:rsidRDefault="00E66F1D" w:rsidP="009660AC">
            <w:pPr>
              <w:spacing w:before="40" w:after="100"/>
            </w:pPr>
            <w:r>
              <w:rPr>
                <w:rFonts w:ascii="Calibri" w:hAnsi="Calibri"/>
                <w:b w:val="0"/>
                <w:color w:val="000000"/>
                <w:sz w:val="17"/>
              </w:rPr>
              <w:t>VMware Workstation Pro</w:t>
            </w:r>
          </w:p>
        </w:tc>
        <w:tc>
          <w:tcPr>
            <w:tcW w:w="3216" w:type="dxa"/>
            <w:tcMar>
              <w:top w:w="65" w:type="dxa"/>
              <w:left w:w="100" w:type="dxa"/>
              <w:bottom w:w="65" w:type="dxa"/>
              <w:right w:w="100" w:type="dxa"/>
            </w:tcMar>
            <w:vAlign w:val="center"/>
          </w:tcPr>
          <w:p w14:paraId="67440C4E" w14:textId="77777777" w:rsidR="00E66F1D" w:rsidRDefault="00E66F1D" w:rsidP="009660AC">
            <w:pPr>
              <w:spacing w:before="40" w:after="100"/>
            </w:pPr>
            <w:r>
              <w:rPr>
                <w:rFonts w:ascii="Calibri" w:hAnsi="Calibri"/>
                <w:b w:val="0"/>
                <w:color w:val="000000"/>
                <w:sz w:val="17"/>
              </w:rPr>
              <w:t>Virtual machines and virtual network adapters</w:t>
            </w:r>
          </w:p>
        </w:tc>
        <w:tc>
          <w:tcPr>
            <w:tcW w:w="3216" w:type="dxa"/>
            <w:tcMar>
              <w:top w:w="65" w:type="dxa"/>
              <w:left w:w="100" w:type="dxa"/>
              <w:bottom w:w="65" w:type="dxa"/>
              <w:right w:w="100" w:type="dxa"/>
            </w:tcMar>
            <w:vAlign w:val="center"/>
          </w:tcPr>
          <w:p w14:paraId="3899080B" w14:textId="77777777" w:rsidR="00F006B3" w:rsidRDefault="00540119">
            <w:pPr>
              <w:spacing w:before="40" w:after="100"/>
            </w:pPr>
            <w:r>
              <w:rPr>
                <w:rFonts w:ascii="Calibri" w:hAnsi="Calibri"/>
                <w:b w:val="0"/>
                <w:color w:val="000000"/>
                <w:sz w:val="17"/>
              </w:rPr>
              <w:t>Host virtualisation for the GNS3 VM; actual host/version varies</w:t>
            </w:r>
          </w:p>
        </w:tc>
      </w:tr>
      <w:tr w:rsidR="00E66F1D" w14:paraId="40163A60" w14:textId="77777777" w:rsidTr="009660AC">
        <w:trPr>
          <w:jc w:val="center"/>
        </w:trPr>
        <w:tc>
          <w:tcPr>
            <w:tcW w:w="3216" w:type="dxa"/>
            <w:tcMar>
              <w:top w:w="65" w:type="dxa"/>
              <w:left w:w="100" w:type="dxa"/>
              <w:bottom w:w="65" w:type="dxa"/>
              <w:right w:w="100" w:type="dxa"/>
            </w:tcMar>
            <w:vAlign w:val="center"/>
          </w:tcPr>
          <w:p w14:paraId="78B675C8" w14:textId="77777777" w:rsidR="00E66F1D" w:rsidRDefault="00E66F1D" w:rsidP="009660AC">
            <w:pPr>
              <w:spacing w:before="40" w:after="100"/>
            </w:pPr>
            <w:r>
              <w:rPr>
                <w:rFonts w:ascii="Calibri" w:hAnsi="Calibri"/>
                <w:b w:val="0"/>
                <w:color w:val="000000"/>
                <w:sz w:val="17"/>
              </w:rPr>
              <w:lastRenderedPageBreak/>
              <w:t>Alpine Linux</w:t>
            </w:r>
          </w:p>
        </w:tc>
        <w:tc>
          <w:tcPr>
            <w:tcW w:w="3216" w:type="dxa"/>
            <w:tcMar>
              <w:top w:w="65" w:type="dxa"/>
              <w:left w:w="100" w:type="dxa"/>
              <w:bottom w:w="65" w:type="dxa"/>
              <w:right w:w="100" w:type="dxa"/>
            </w:tcMar>
            <w:vAlign w:val="center"/>
          </w:tcPr>
          <w:p w14:paraId="0AD17E22" w14:textId="77777777" w:rsidR="00E66F1D" w:rsidRDefault="00E66F1D" w:rsidP="009660AC">
            <w:pPr>
              <w:spacing w:before="40" w:after="100"/>
            </w:pPr>
            <w:r>
              <w:rPr>
                <w:rFonts w:ascii="Calibri" w:hAnsi="Calibri"/>
                <w:b w:val="0"/>
                <w:color w:val="000000"/>
                <w:sz w:val="17"/>
              </w:rPr>
              <w:t>Lightweight guest operating system</w:t>
            </w:r>
          </w:p>
        </w:tc>
        <w:tc>
          <w:tcPr>
            <w:tcW w:w="3216" w:type="dxa"/>
            <w:tcMar>
              <w:top w:w="65" w:type="dxa"/>
              <w:left w:w="100" w:type="dxa"/>
              <w:bottom w:w="65" w:type="dxa"/>
              <w:right w:w="100" w:type="dxa"/>
            </w:tcMar>
            <w:vAlign w:val="center"/>
          </w:tcPr>
          <w:p w14:paraId="21E09739" w14:textId="77777777" w:rsidR="00F006B3" w:rsidRDefault="00540119">
            <w:pPr>
              <w:spacing w:before="40" w:after="100"/>
            </w:pPr>
            <w:r>
              <w:rPr>
                <w:rFonts w:ascii="Calibri" w:hAnsi="Calibri"/>
                <w:b w:val="0"/>
                <w:color w:val="000000"/>
                <w:sz w:val="17"/>
              </w:rPr>
              <w:t>Alpine Docker-node image declared in the exported GNS3 project</w:t>
            </w:r>
          </w:p>
        </w:tc>
      </w:tr>
      <w:tr w:rsidR="00E66F1D" w14:paraId="74357788" w14:textId="77777777" w:rsidTr="009660AC">
        <w:trPr>
          <w:jc w:val="center"/>
        </w:trPr>
        <w:tc>
          <w:tcPr>
            <w:tcW w:w="3216" w:type="dxa"/>
            <w:tcMar>
              <w:top w:w="65" w:type="dxa"/>
              <w:left w:w="100" w:type="dxa"/>
              <w:bottom w:w="65" w:type="dxa"/>
              <w:right w:w="100" w:type="dxa"/>
            </w:tcMar>
            <w:vAlign w:val="center"/>
          </w:tcPr>
          <w:p w14:paraId="2FCA5875" w14:textId="77777777" w:rsidR="00E66F1D" w:rsidRDefault="00E66F1D" w:rsidP="009660AC">
            <w:pPr>
              <w:spacing w:before="40" w:after="100"/>
            </w:pPr>
            <w:r>
              <w:rPr>
                <w:rFonts w:ascii="Calibri" w:hAnsi="Calibri"/>
                <w:b w:val="0"/>
                <w:color w:val="000000"/>
                <w:sz w:val="17"/>
              </w:rPr>
              <w:t>Python + paho-</w:t>
            </w:r>
            <w:proofErr w:type="spellStart"/>
            <w:r>
              <w:rPr>
                <w:rFonts w:ascii="Calibri" w:hAnsi="Calibri"/>
                <w:b w:val="0"/>
                <w:color w:val="000000"/>
                <w:sz w:val="17"/>
              </w:rPr>
              <w:t>mqtt</w:t>
            </w:r>
            <w:proofErr w:type="spellEnd"/>
          </w:p>
        </w:tc>
        <w:tc>
          <w:tcPr>
            <w:tcW w:w="3216" w:type="dxa"/>
            <w:tcMar>
              <w:top w:w="65" w:type="dxa"/>
              <w:left w:w="100" w:type="dxa"/>
              <w:bottom w:w="65" w:type="dxa"/>
              <w:right w:w="100" w:type="dxa"/>
            </w:tcMar>
            <w:vAlign w:val="center"/>
          </w:tcPr>
          <w:p w14:paraId="00B04358" w14:textId="77777777" w:rsidR="00E66F1D" w:rsidRDefault="00E66F1D" w:rsidP="009660AC">
            <w:pPr>
              <w:spacing w:before="40" w:after="100"/>
            </w:pPr>
            <w:r>
              <w:rPr>
                <w:rFonts w:ascii="Calibri" w:hAnsi="Calibri"/>
                <w:b w:val="0"/>
                <w:color w:val="000000"/>
                <w:sz w:val="17"/>
              </w:rPr>
              <w:t>Sensor publishers and gateway subscriber</w:t>
            </w:r>
          </w:p>
        </w:tc>
        <w:tc>
          <w:tcPr>
            <w:tcW w:w="3216" w:type="dxa"/>
            <w:tcMar>
              <w:top w:w="65" w:type="dxa"/>
              <w:left w:w="100" w:type="dxa"/>
              <w:bottom w:w="65" w:type="dxa"/>
              <w:right w:w="100" w:type="dxa"/>
            </w:tcMar>
            <w:vAlign w:val="center"/>
          </w:tcPr>
          <w:p w14:paraId="05143B59" w14:textId="77777777" w:rsidR="00F006B3" w:rsidRDefault="00540119">
            <w:pPr>
              <w:spacing w:before="40" w:after="100"/>
            </w:pPr>
            <w:r>
              <w:rPr>
                <w:rFonts w:ascii="Calibri" w:hAnsi="Calibri"/>
                <w:b w:val="0"/>
                <w:color w:val="000000"/>
                <w:sz w:val="17"/>
              </w:rPr>
              <w:t>Python gateway.py; DO/PH scripts and Paho-MQTT; runtime version not recorded</w:t>
            </w:r>
          </w:p>
        </w:tc>
      </w:tr>
      <w:tr w:rsidR="00E66F1D" w14:paraId="5F12A883" w14:textId="77777777" w:rsidTr="009660AC">
        <w:trPr>
          <w:jc w:val="center"/>
        </w:trPr>
        <w:tc>
          <w:tcPr>
            <w:tcW w:w="3216" w:type="dxa"/>
            <w:tcMar>
              <w:top w:w="65" w:type="dxa"/>
              <w:left w:w="100" w:type="dxa"/>
              <w:bottom w:w="65" w:type="dxa"/>
              <w:right w:w="100" w:type="dxa"/>
            </w:tcMar>
            <w:vAlign w:val="center"/>
          </w:tcPr>
          <w:p w14:paraId="42379C91" w14:textId="77777777" w:rsidR="00E66F1D" w:rsidRDefault="00E66F1D" w:rsidP="009660AC">
            <w:pPr>
              <w:spacing w:before="40" w:after="100"/>
            </w:pPr>
            <w:r>
              <w:rPr>
                <w:rFonts w:ascii="Calibri" w:hAnsi="Calibri"/>
                <w:b w:val="0"/>
                <w:color w:val="000000"/>
                <w:sz w:val="17"/>
              </w:rPr>
              <w:t xml:space="preserve">Eclipse </w:t>
            </w:r>
            <w:proofErr w:type="spellStart"/>
            <w:r>
              <w:rPr>
                <w:rFonts w:ascii="Calibri" w:hAnsi="Calibri"/>
                <w:b w:val="0"/>
                <w:color w:val="000000"/>
                <w:sz w:val="17"/>
              </w:rPr>
              <w:t>Mosquitto</w:t>
            </w:r>
            <w:proofErr w:type="spellEnd"/>
          </w:p>
        </w:tc>
        <w:tc>
          <w:tcPr>
            <w:tcW w:w="3216" w:type="dxa"/>
            <w:tcMar>
              <w:top w:w="65" w:type="dxa"/>
              <w:left w:w="100" w:type="dxa"/>
              <w:bottom w:w="65" w:type="dxa"/>
              <w:right w:w="100" w:type="dxa"/>
            </w:tcMar>
            <w:vAlign w:val="center"/>
          </w:tcPr>
          <w:p w14:paraId="6A7E4083" w14:textId="77777777" w:rsidR="00E66F1D" w:rsidRDefault="00E66F1D" w:rsidP="009660AC">
            <w:pPr>
              <w:spacing w:before="40" w:after="100"/>
            </w:pPr>
            <w:r>
              <w:rPr>
                <w:rFonts w:ascii="Calibri" w:hAnsi="Calibri"/>
                <w:b w:val="0"/>
                <w:color w:val="000000"/>
                <w:sz w:val="17"/>
              </w:rPr>
              <w:t>MQTT message broker</w:t>
            </w:r>
          </w:p>
        </w:tc>
        <w:tc>
          <w:tcPr>
            <w:tcW w:w="3216" w:type="dxa"/>
            <w:tcMar>
              <w:top w:w="65" w:type="dxa"/>
              <w:left w:w="100" w:type="dxa"/>
              <w:bottom w:w="65" w:type="dxa"/>
              <w:right w:w="100" w:type="dxa"/>
            </w:tcMar>
            <w:vAlign w:val="center"/>
          </w:tcPr>
          <w:p w14:paraId="087DD9A1" w14:textId="77777777" w:rsidR="00F006B3" w:rsidRDefault="00540119">
            <w:pPr>
              <w:spacing w:before="40" w:after="100"/>
            </w:pPr>
            <w:r>
              <w:rPr>
                <w:rFonts w:ascii="Calibri" w:hAnsi="Calibri"/>
                <w:b w:val="0"/>
                <w:color w:val="000000"/>
                <w:sz w:val="17"/>
              </w:rPr>
              <w:t>Local development broker only; final showcase uses HiveMQ public MQTT, TCP 1883</w:t>
            </w:r>
          </w:p>
        </w:tc>
      </w:tr>
      <w:tr w:rsidR="00E66F1D" w14:paraId="5B269523" w14:textId="77777777" w:rsidTr="009660AC">
        <w:trPr>
          <w:jc w:val="center"/>
        </w:trPr>
        <w:tc>
          <w:tcPr>
            <w:tcW w:w="3216" w:type="dxa"/>
            <w:tcMar>
              <w:top w:w="65" w:type="dxa"/>
              <w:left w:w="100" w:type="dxa"/>
              <w:bottom w:w="65" w:type="dxa"/>
              <w:right w:w="100" w:type="dxa"/>
            </w:tcMar>
            <w:vAlign w:val="center"/>
          </w:tcPr>
          <w:p w14:paraId="69D79E2D" w14:textId="77777777" w:rsidR="00E66F1D" w:rsidRDefault="00E66F1D" w:rsidP="009660AC">
            <w:pPr>
              <w:spacing w:before="40" w:after="100"/>
            </w:pPr>
            <w:r>
              <w:rPr>
                <w:rFonts w:ascii="Calibri" w:hAnsi="Calibri"/>
                <w:b w:val="0"/>
                <w:color w:val="000000"/>
                <w:sz w:val="17"/>
              </w:rPr>
              <w:t>Node-RED</w:t>
            </w:r>
          </w:p>
        </w:tc>
        <w:tc>
          <w:tcPr>
            <w:tcW w:w="3216" w:type="dxa"/>
            <w:tcMar>
              <w:top w:w="65" w:type="dxa"/>
              <w:left w:w="100" w:type="dxa"/>
              <w:bottom w:w="65" w:type="dxa"/>
              <w:right w:w="100" w:type="dxa"/>
            </w:tcMar>
            <w:vAlign w:val="center"/>
          </w:tcPr>
          <w:p w14:paraId="0FDC1677" w14:textId="77777777" w:rsidR="00E66F1D" w:rsidRDefault="00E66F1D" w:rsidP="009660AC">
            <w:pPr>
              <w:spacing w:before="40" w:after="100"/>
            </w:pPr>
            <w:r>
              <w:rPr>
                <w:rFonts w:ascii="Calibri" w:hAnsi="Calibri"/>
                <w:b w:val="0"/>
                <w:color w:val="000000"/>
                <w:sz w:val="17"/>
              </w:rPr>
              <w:t>Monitoring and operator dashboard</w:t>
            </w:r>
          </w:p>
        </w:tc>
        <w:tc>
          <w:tcPr>
            <w:tcW w:w="3216" w:type="dxa"/>
            <w:tcMar>
              <w:top w:w="65" w:type="dxa"/>
              <w:left w:w="100" w:type="dxa"/>
              <w:bottom w:w="65" w:type="dxa"/>
              <w:right w:w="100" w:type="dxa"/>
            </w:tcMar>
            <w:vAlign w:val="center"/>
          </w:tcPr>
          <w:p w14:paraId="09569F36" w14:textId="77777777" w:rsidR="00F006B3" w:rsidRDefault="00540119">
            <w:pPr>
              <w:spacing w:before="40" w:after="100"/>
            </w:pPr>
            <w:r>
              <w:rPr>
                <w:rFonts w:ascii="Calibri" w:hAnsi="Calibri"/>
                <w:b w:val="0"/>
                <w:color w:val="000000"/>
                <w:sz w:val="17"/>
              </w:rPr>
              <w:t>Exported flows.json, package.json and aq1_team2.db supplied for Node-RED</w:t>
            </w:r>
          </w:p>
        </w:tc>
      </w:tr>
      <w:tr w:rsidR="00E66F1D" w14:paraId="0C0BECDA" w14:textId="77777777" w:rsidTr="009660AC">
        <w:trPr>
          <w:jc w:val="center"/>
        </w:trPr>
        <w:tc>
          <w:tcPr>
            <w:tcW w:w="3216" w:type="dxa"/>
            <w:tcMar>
              <w:top w:w="65" w:type="dxa"/>
              <w:left w:w="100" w:type="dxa"/>
              <w:bottom w:w="65" w:type="dxa"/>
              <w:right w:w="100" w:type="dxa"/>
            </w:tcMar>
            <w:vAlign w:val="center"/>
          </w:tcPr>
          <w:p w14:paraId="7234343B" w14:textId="77777777" w:rsidR="00E66F1D" w:rsidRDefault="00E66F1D" w:rsidP="009660AC">
            <w:pPr>
              <w:spacing w:before="40" w:after="100"/>
            </w:pPr>
            <w:r>
              <w:rPr>
                <w:rFonts w:ascii="Calibri" w:hAnsi="Calibri"/>
                <w:b w:val="0"/>
                <w:color w:val="000000"/>
                <w:sz w:val="17"/>
              </w:rPr>
              <w:t>Git / GitHub</w:t>
            </w:r>
          </w:p>
        </w:tc>
        <w:tc>
          <w:tcPr>
            <w:tcW w:w="3216" w:type="dxa"/>
            <w:tcMar>
              <w:top w:w="65" w:type="dxa"/>
              <w:left w:w="100" w:type="dxa"/>
              <w:bottom w:w="65" w:type="dxa"/>
              <w:right w:w="100" w:type="dxa"/>
            </w:tcMar>
            <w:vAlign w:val="center"/>
          </w:tcPr>
          <w:p w14:paraId="57C4B770" w14:textId="77777777" w:rsidR="00E66F1D" w:rsidRDefault="00E66F1D" w:rsidP="009660AC">
            <w:pPr>
              <w:spacing w:before="40" w:after="100"/>
            </w:pPr>
            <w:r>
              <w:rPr>
                <w:rFonts w:ascii="Calibri" w:hAnsi="Calibri"/>
                <w:b w:val="0"/>
                <w:color w:val="000000"/>
                <w:sz w:val="17"/>
              </w:rPr>
              <w:t>Shared source and configuration history</w:t>
            </w:r>
          </w:p>
        </w:tc>
        <w:tc>
          <w:tcPr>
            <w:tcW w:w="3216" w:type="dxa"/>
            <w:tcMar>
              <w:top w:w="65" w:type="dxa"/>
              <w:left w:w="100" w:type="dxa"/>
              <w:bottom w:w="65" w:type="dxa"/>
              <w:right w:w="100" w:type="dxa"/>
            </w:tcMar>
            <w:vAlign w:val="center"/>
          </w:tcPr>
          <w:p w14:paraId="30BE3535" w14:textId="77777777" w:rsidR="00F006B3" w:rsidRDefault="00540119">
            <w:pPr>
              <w:spacing w:before="40" w:after="100"/>
            </w:pPr>
            <w:r>
              <w:rPr>
                <w:rFonts w:ascii="Calibri" w:hAnsi="Calibri"/>
                <w:b w:val="0"/>
                <w:color w:val="000000"/>
                <w:sz w:val="17"/>
              </w:rPr>
              <w:t>Repository: github.com/nininehaa/aq1-secure-aquaculture-iot; final commit not supplied</w:t>
            </w:r>
          </w:p>
        </w:tc>
      </w:tr>
    </w:tbl>
    <w:p w14:paraId="408A1C52" w14:textId="77777777" w:rsidR="00E66F1D" w:rsidRDefault="00E66F1D">
      <w:pPr>
        <w:pStyle w:val="Heading2"/>
        <w:spacing w:after="140" w:before="160"/>
        <w:rPr>
          <w:rFonts w:ascii="Calibri" w:hAnsi="Calibri"/>
          <w:sz w:val="20"/>
        </w:rPr>
      </w:pPr>
    </w:p>
    <w:p w14:paraId="0D6D4751" w14:textId="77777777" w:rsidR="005848E1" w:rsidRDefault="00540119">
      <w:pPr>
        <w:pStyle w:val="Heading2"/>
        <w:spacing w:after="140" w:before="160"/>
      </w:pPr>
      <w:r>
        <w:rPr>
          <w:rFonts w:ascii="Calibri" w:hAnsi="Calibri"/>
          <w:color w:val="000000"/>
          <w:sz w:val="20"/>
        </w:rPr>
        <w:t>2.4 Development and deployment practices</w:t>
      </w:r>
    </w:p>
    <w:p w14:paraId="34559384" w14:textId="77777777" w:rsidR="005848E1" w:rsidRDefault="00540119">
      <w:pPr>
        <w:spacing w:after="100" w:before="40"/>
      </w:pPr>
      <w:r>
        <w:rPr>
          <w:rFonts w:ascii="Calibri" w:hAnsi="Calibri"/>
          <w:color w:val="000000"/>
          <w:sz w:val="20"/>
        </w:rPr>
        <w:t>Each virtual machine has a defined demonstration role, separating publisher, verification, monitoring and attacker functions. This separation helps isolate faults and makes the workflow reproducible. Broker credentials, HMAC secrets and any device access information should be stored securely and redacted from screenshots. The project repository is the reference for source files, while the prototype deployment settings are documented in the reproduction guide.</w:t>
      </w:r>
    </w:p>
    <w:p w14:paraId="5209056B" w14:textId="77777777" w:rsidR="005D4679" w:rsidRDefault="005D4679">
      <w:pPr>
        <w:spacing w:after="100" w:before="40"/>
      </w:pPr>
      <w:r w:rsidRPr="005D4679">
        <w:rPr>
          <w:rFonts w:ascii="Calibri" w:hAnsi="Calibri"/>
          <w:noProof/>
          <w:color w:val="000000"/>
          <w:sz w:val="20"/>
        </w:rPr>
        <w:drawing>
          <wp:inline distT="0" distB="0" distL="0" distR="0" wp14:anchorId="33765140" wp14:editId="048F60E4">
            <wp:extent cx="2981325" cy="2240320"/>
            <wp:effectExtent l="0" t="0" r="0" b="7620"/>
            <wp:docPr id="60897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4270" name=""/>
                    <pic:cNvPicPr/>
                  </pic:nvPicPr>
                  <pic:blipFill>
                    <a:blip r:embed="rId11"/>
                    <a:stretch>
                      <a:fillRect/>
                    </a:stretch>
                  </pic:blipFill>
                  <pic:spPr>
                    <a:xfrm>
                      <a:off x="0" y="0"/>
                      <a:ext cx="3003968" cy="2257335"/>
                    </a:xfrm>
                    <a:prstGeom prst="rect">
                      <a:avLst/>
                    </a:prstGeom>
                  </pic:spPr>
                </pic:pic>
              </a:graphicData>
            </a:graphic>
          </wp:inline>
        </w:drawing>
      </w:r>
      <w:r w:rsidRPr="005D4679">
        <w:rPr>
          <w:rFonts w:ascii="Calibri" w:hAnsi="Calibri"/>
          <w:noProof/>
          <w:color w:val="000000"/>
          <w:sz w:val="20"/>
        </w:rPr>
        <w:drawing>
          <wp:inline distT="0" distB="0" distL="0" distR="0" wp14:anchorId="1DEE85E9" wp14:editId="0B7B21B6">
            <wp:extent cx="2999535" cy="2257425"/>
            <wp:effectExtent l="0" t="0" r="0" b="0"/>
            <wp:docPr id="2764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657" name=""/>
                    <pic:cNvPicPr/>
                  </pic:nvPicPr>
                  <pic:blipFill>
                    <a:blip r:embed="rId12"/>
                    <a:stretch>
                      <a:fillRect/>
                    </a:stretch>
                  </pic:blipFill>
                  <pic:spPr>
                    <a:xfrm>
                      <a:off x="0" y="0"/>
                      <a:ext cx="3022434" cy="2274659"/>
                    </a:xfrm>
                    <a:prstGeom prst="rect">
                      <a:avLst/>
                    </a:prstGeom>
                  </pic:spPr>
                </pic:pic>
              </a:graphicData>
            </a:graphic>
          </wp:inline>
        </w:drawing>
      </w:r>
    </w:p>
    <w:p w14:paraId="3F21CB3D" w14:textId="77777777" w:rsidR="005D4679" w:rsidRDefault="005D4679">
      <w:pPr>
        <w:spacing w:after="100" w:before="40"/>
      </w:pPr>
    </w:p>
    <w:p w14:paraId="0E7EB62F" w14:textId="77777777" w:rsidR="005D4679" w:rsidRDefault="005D4679">
      <w:pPr>
        <w:spacing w:after="100" w:before="40"/>
        <w:jc w:val="center"/>
      </w:pPr>
    </w:p>
    <w:p w14:paraId="2E1FE671" w14:textId="77777777" w:rsidR="005848E1" w:rsidRDefault="005D4679" w:rsidP="005D4679">
      <w:pPr>
        <w:spacing w:after="100" w:before="40"/>
        <w:jc w:val="center"/>
        <w:rPr>
          <w:noProof/>
        </w:rPr>
      </w:pPr>
      <w:r w:rsidRPr="005D4679">
        <w:rPr>
          <w:rFonts w:ascii="Calibri" w:hAnsi="Calibri"/>
          <w:noProof/>
          <w:color w:val="000000"/>
          <w:sz w:val="20"/>
        </w:rPr>
        <w:lastRenderedPageBreak/>
        <w:drawing>
          <wp:inline distT="0" distB="0" distL="0" distR="0" wp14:anchorId="2D9E36CC" wp14:editId="43F53E70">
            <wp:extent cx="3119030" cy="2236470"/>
            <wp:effectExtent l="0" t="0" r="5715" b="0"/>
            <wp:docPr id="16863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173" name=""/>
                    <pic:cNvPicPr/>
                  </pic:nvPicPr>
                  <pic:blipFill>
                    <a:blip r:embed="rId13"/>
                    <a:stretch>
                      <a:fillRect/>
                    </a:stretch>
                  </pic:blipFill>
                  <pic:spPr>
                    <a:xfrm>
                      <a:off x="0" y="0"/>
                      <a:ext cx="3148590" cy="2257666"/>
                    </a:xfrm>
                    <a:prstGeom prst="rect">
                      <a:avLst/>
                    </a:prstGeom>
                  </pic:spPr>
                </pic:pic>
              </a:graphicData>
            </a:graphic>
          </wp:inline>
        </w:drawing>
      </w:r>
      <w:r>
        <w:rPr>
          <w:rFonts w:ascii="Calibri" w:hAnsi="Calibri"/>
          <w:noProof/>
          <w:color w:val="000000"/>
          <w:sz w:val="20"/>
        </w:rPr>
        <w:drawing>
          <wp:inline distT="0" distB="0" distL="0" distR="0" wp14:anchorId="1CD88B98" wp14:editId="3AD9DCB3">
            <wp:extent cx="2790589" cy="2488565"/>
            <wp:effectExtent l="0" t="0" r="0" b="6985"/>
            <wp:docPr id="1980403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r="50548" b="22580"/>
                    <a:stretch>
                      <a:fillRect/>
                    </a:stretch>
                  </pic:blipFill>
                  <pic:spPr bwMode="auto">
                    <a:xfrm>
                      <a:off x="0" y="0"/>
                      <a:ext cx="2793648" cy="2491293"/>
                    </a:xfrm>
                    <a:prstGeom prst="rect">
                      <a:avLst/>
                    </a:prstGeom>
                    <a:noFill/>
                    <a:ln>
                      <a:noFill/>
                    </a:ln>
                    <a:extLst>
                      <a:ext uri="{53640926-AAD7-44D8-BBD7-CCE9431645EC}">
                        <a14:shadowObscured xmlns:a14="http://schemas.microsoft.com/office/drawing/2010/main"/>
                      </a:ext>
                    </a:extLst>
                  </pic:spPr>
                </pic:pic>
              </a:graphicData>
            </a:graphic>
          </wp:inline>
        </w:drawing>
      </w:r>
    </w:p>
    <w:p w14:paraId="18D84DD4" w14:textId="77777777" w:rsidR="005D4679" w:rsidRDefault="005D4679">
      <w:pPr>
        <w:spacing w:after="100" w:before="40"/>
        <w:jc w:val="center"/>
      </w:pPr>
    </w:p>
    <w:p w14:paraId="3D2E6A26" w14:textId="77777777" w:rsidR="005848E1" w:rsidRDefault="00540119">
      <w:pPr>
        <w:pStyle w:val="AQCaption"/>
        <w:spacing w:after="140" w:before="160"/>
        <w:jc w:val="center"/>
      </w:pPr>
      <w:r>
        <w:rPr>
          <w:color w:val="000000"/>
        </w:rPr>
        <w:t>Figure 4: Screenshots of virtual sensor services and physical temperature firmware running in the development environment.</w:t>
      </w:r>
    </w:p>
    <w:p w14:paraId="38AB0D1F" w14:textId="77777777" w:rsidR="005D4679" w:rsidRDefault="005D4679">
      <w:pPr>
        <w:spacing w:after="100" w:before="40"/>
        <w:jc w:val="center"/>
        <w:rPr>
          <w:noProof/>
        </w:rPr>
      </w:pPr>
    </w:p>
    <w:p w14:paraId="15232585" w14:textId="77777777" w:rsidR="005D4679" w:rsidRDefault="005D4679">
      <w:pPr>
        <w:spacing w:after="100" w:before="40"/>
        <w:jc w:val="center"/>
        <w:rPr>
          <w:noProof/>
        </w:rPr>
      </w:pPr>
    </w:p>
    <w:p w14:paraId="00632F32" w14:textId="77777777" w:rsidR="005D4679" w:rsidRDefault="005D4679">
      <w:pPr>
        <w:spacing w:after="100" w:before="40"/>
        <w:jc w:val="center"/>
        <w:rPr>
          <w:i/>
        </w:rPr>
      </w:pPr>
      <w:r>
        <w:rPr>
          <w:rFonts w:ascii="Calibri" w:hAnsi="Calibri"/>
          <w:noProof/>
          <w:color w:val="000000"/>
          <w:sz w:val="20"/>
        </w:rPr>
        <w:drawing>
          <wp:inline distT="0" distB="0" distL="0" distR="0" wp14:anchorId="633EFE87" wp14:editId="21BA936A">
            <wp:extent cx="3248025" cy="3743486"/>
            <wp:effectExtent l="0" t="0" r="0" b="9525"/>
            <wp:docPr id="646479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l="34185" t="28514" r="9265" b="22604"/>
                    <a:stretch>
                      <a:fillRect/>
                    </a:stretch>
                  </pic:blipFill>
                  <pic:spPr bwMode="auto">
                    <a:xfrm>
                      <a:off x="0" y="0"/>
                      <a:ext cx="3255605" cy="3752222"/>
                    </a:xfrm>
                    <a:prstGeom prst="rect">
                      <a:avLst/>
                    </a:prstGeom>
                    <a:noFill/>
                    <a:ln>
                      <a:noFill/>
                    </a:ln>
                    <a:extLst>
                      <a:ext uri="{53640926-AAD7-44D8-BBD7-CCE9431645EC}">
                        <a14:shadowObscured xmlns:a14="http://schemas.microsoft.com/office/drawing/2010/main"/>
                      </a:ext>
                    </a:extLst>
                  </pic:spPr>
                </pic:pic>
              </a:graphicData>
            </a:graphic>
          </wp:inline>
        </w:drawing>
      </w:r>
    </w:p>
    <w:p w14:paraId="78163666" w14:textId="77777777" w:rsidR="005848E1" w:rsidRDefault="00540119">
      <w:pPr>
        <w:pStyle w:val="AQCaption"/>
        <w:spacing w:after="140" w:before="160"/>
        <w:jc w:val="center"/>
      </w:pPr>
      <w:r>
        <w:rPr>
          <w:color w:val="000000"/>
        </w:rPr>
        <w:t>Figure 5: Physical temperature sensor, interface and wiring used in the prototype.</w:t>
      </w:r>
    </w:p>
    <w:p w14:paraId="0731F1D4" w14:textId="77777777" w:rsidR="005848E1" w:rsidRDefault="00540119">
      <w:pPr>
        <w:pStyle w:val="Heading1"/>
        <w:spacing w:after="140" w:before="160"/>
      </w:pPr>
      <w:r>
        <w:rPr>
          <w:rFonts w:ascii="Calibri" w:hAnsi="Calibri"/>
          <w:color w:val="000000"/>
          <w:sz w:val="20"/>
        </w:rPr>
        <w:t>3. Virtual Network &amp; System Deployment</w:t>
      </w:r>
    </w:p>
    <w:p w14:paraId="2216FCCD" w14:textId="77777777" w:rsidR="005848E1" w:rsidRDefault="00540119">
      <w:pPr>
        <w:pStyle w:val="Heading2"/>
        <w:spacing w:after="140" w:before="160"/>
      </w:pPr>
      <w:r>
        <w:rPr>
          <w:rFonts w:ascii="Calibri" w:hAnsi="Calibri"/>
          <w:color w:val="000000"/>
          <w:sz w:val="20"/>
        </w:rPr>
        <w:t>3.1 Network design and communication paths</w:t>
      </w:r>
    </w:p>
    <w:p w14:paraId="66ED1372" w14:textId="77777777" w:rsidR="005848E1" w:rsidRDefault="00540119">
      <w:pPr>
        <w:spacing w:after="100" w:before="40"/>
      </w:pPr>
      <w:r>
        <w:rPr>
          <w:rFonts w:ascii="Calibri" w:hAnsi="Calibri"/>
          <w:color w:val="000000"/>
          <w:sz w:val="20"/>
        </w:rPr>
        <w:t>Our simulated sensors, gateway and attacker are separated into GNS3 roles. Messages travel through the public HiveMQ MQTT broker. The gateway receives them, checks their signatures and sends trusted results and events to monitoring. The ESP32 publishes temperature readings over Wi-Fi, outside GNS3.</w:t>
      </w:r>
    </w:p>
    <w:p w14:paraId="300FE77D" w14:textId="77777777" w:rsidR="005848E1" w:rsidRDefault="00540119">
      <w:pPr>
        <w:pStyle w:val="Heading2"/>
        <w:spacing w:after="140" w:before="160"/>
      </w:pPr>
      <w:r>
        <w:rPr>
          <w:rFonts w:ascii="Calibri" w:hAnsi="Calibri"/>
          <w:color w:val="000000"/>
          <w:sz w:val="20"/>
        </w:rPr>
        <w:t>3.2 Virtual machine topology</w:t>
      </w:r>
    </w:p>
    <w:p w14:paraId="6D306F8A" w14:textId="77777777" w:rsidR="005848E1" w:rsidRDefault="00540119">
      <w:pPr>
        <w:spacing w:after="100" w:before="40"/>
      </w:pPr>
      <w:r>
        <w:rPr>
          <w:rFonts w:ascii="Calibri" w:hAnsi="Calibri"/>
          <w:color w:val="000000"/>
          <w:sz w:val="20"/>
        </w:rPr>
        <w:t>The exported GNS3 project contains NAT1, Switch1, Cloud1 and Alpine Docker nodes named DO-001, PH-001, AQ1-Gateway, AQ1-Monitor and Attacker1. A separate ESP32-C3 publishes physical temperature readings outside the simulated sensor nodes. Virtual interfaces and IP addresses depend on the machine used to run the project, so the table lists reproducible node roles rather than asserting temporary addresses.</w:t>
      </w:r>
    </w:p>
    <w:tbl>
      <w:tblPr>
        <w:tblStyle w:val="TableGrid"/>
        <w:tblW w:w="0" w:type="auto"/>
        <w:jc w:val="center"/>
        <w:tblLook w:val="04A0" w:firstRow="1" w:lastRow="0" w:firstColumn="1" w:lastColumn="0" w:noHBand="0" w:noVBand="1"/>
      </w:tblPr>
      <w:tblGrid>
        <w:gridCol w:w="3216"/>
        <w:gridCol w:w="3216"/>
        <w:gridCol w:w="3216"/>
      </w:tblGrid>
      <w:tr w:rsidR="00E66F1D" w:rsidRPr="008B64B1" w14:paraId="18B4716D" w14:textId="77777777" w:rsidTr="009660AC">
        <w:trPr>
          <w:tblHeader/>
          <w:jc w:val="center"/>
        </w:trPr>
        <w:tc>
          <w:tcPr>
            <w:tcW w:w="3216" w:type="dxa"/>
            <w:tcMar>
              <w:top w:w="65" w:type="dxa"/>
              <w:left w:w="100" w:type="dxa"/>
              <w:bottom w:w="65" w:type="dxa"/>
              <w:right w:w="100" w:type="dxa"/>
            </w:tcMar>
            <w:vAlign w:val="center"/>
          </w:tcPr>
          <w:p w14:paraId="7633E5C2" w14:textId="77777777" w:rsidR="00E66F1D" w:rsidRPr="008B64B1" w:rsidRDefault="00E66F1D" w:rsidP="009660AC">
            <w:pPr>
              <w:spacing w:before="40" w:after="100"/>
              <w:rPr>
                <w:sz w:val="18"/>
              </w:rPr>
            </w:pPr>
            <w:r w:rsidRPr="008B64B1">
              <w:rPr>
                <w:rFonts w:ascii="Calibri" w:hAnsi="Calibri"/>
                <w:b/>
                <w:color w:val="000000"/>
                <w:sz w:val="17"/>
              </w:rPr>
              <w:t>Node / service</w:t>
            </w:r>
          </w:p>
        </w:tc>
        <w:tc>
          <w:tcPr>
            <w:tcW w:w="3216" w:type="dxa"/>
            <w:tcMar>
              <w:top w:w="65" w:type="dxa"/>
              <w:left w:w="100" w:type="dxa"/>
              <w:bottom w:w="65" w:type="dxa"/>
              <w:right w:w="100" w:type="dxa"/>
            </w:tcMar>
            <w:vAlign w:val="center"/>
          </w:tcPr>
          <w:p w14:paraId="40024195" w14:textId="77777777" w:rsidR="00E66F1D" w:rsidRPr="008B64B1" w:rsidRDefault="00E66F1D" w:rsidP="009660AC">
            <w:pPr>
              <w:spacing w:before="40" w:after="100"/>
              <w:rPr>
                <w:sz w:val="18"/>
              </w:rPr>
            </w:pPr>
            <w:r w:rsidRPr="008B64B1">
              <w:rPr>
                <w:rFonts w:ascii="Calibri" w:hAnsi="Calibri"/>
                <w:b/>
                <w:color w:val="000000"/>
                <w:sz w:val="17"/>
              </w:rPr>
              <w:t>Network role</w:t>
            </w:r>
          </w:p>
        </w:tc>
        <w:tc>
          <w:tcPr>
            <w:tcW w:w="3216" w:type="dxa"/>
            <w:tcMar>
              <w:top w:w="65" w:type="dxa"/>
              <w:left w:w="100" w:type="dxa"/>
              <w:bottom w:w="65" w:type="dxa"/>
              <w:right w:w="100" w:type="dxa"/>
            </w:tcMar>
            <w:vAlign w:val="center"/>
          </w:tcPr>
          <w:p w14:paraId="319ABF94" w14:textId="77777777" w:rsidR="00E66F1D" w:rsidRPr="008B64B1" w:rsidRDefault="00E66F1D" w:rsidP="009660AC">
            <w:pPr>
              <w:spacing w:before="40" w:after="100"/>
              <w:rPr>
                <w:sz w:val="18"/>
              </w:rPr>
            </w:pPr>
            <w:r w:rsidRPr="008B64B1">
              <w:rPr>
                <w:rFonts w:ascii="Calibri" w:hAnsi="Calibri"/>
                <w:b/>
                <w:color w:val="000000"/>
                <w:sz w:val="17"/>
              </w:rPr>
              <w:t>Final host / IP / adapter</w:t>
            </w:r>
          </w:p>
        </w:tc>
      </w:tr>
      <w:tr w:rsidR="00E66F1D" w:rsidRPr="008B64B1" w14:paraId="669042D1" w14:textId="77777777" w:rsidTr="009660AC">
        <w:trPr>
          <w:jc w:val="center"/>
        </w:trPr>
        <w:tc>
          <w:tcPr>
            <w:tcW w:w="3216" w:type="dxa"/>
            <w:tcMar>
              <w:top w:w="65" w:type="dxa"/>
              <w:left w:w="100" w:type="dxa"/>
              <w:bottom w:w="65" w:type="dxa"/>
              <w:right w:w="100" w:type="dxa"/>
            </w:tcMar>
            <w:vAlign w:val="center"/>
          </w:tcPr>
          <w:p w14:paraId="5D702236" w14:textId="77777777" w:rsidR="00E66F1D" w:rsidRPr="008B64B1" w:rsidRDefault="00E66F1D" w:rsidP="009660AC">
            <w:pPr>
              <w:spacing w:before="40" w:after="100"/>
              <w:rPr>
                <w:sz w:val="18"/>
              </w:rPr>
            </w:pPr>
            <w:r w:rsidRPr="008B64B1">
              <w:rPr>
                <w:rFonts w:ascii="Calibri" w:hAnsi="Calibri"/>
                <w:b w:val="0"/>
                <w:color w:val="000000"/>
                <w:sz w:val="17"/>
              </w:rPr>
              <w:t>DO-001</w:t>
            </w:r>
          </w:p>
        </w:tc>
        <w:tc>
          <w:tcPr>
            <w:tcW w:w="3216" w:type="dxa"/>
            <w:tcMar>
              <w:top w:w="65" w:type="dxa"/>
              <w:left w:w="100" w:type="dxa"/>
              <w:bottom w:w="65" w:type="dxa"/>
              <w:right w:w="100" w:type="dxa"/>
            </w:tcMar>
            <w:vAlign w:val="center"/>
          </w:tcPr>
          <w:p w14:paraId="31DD53A0" w14:textId="77777777" w:rsidR="00E66F1D" w:rsidRPr="008B64B1" w:rsidRDefault="00E66F1D" w:rsidP="009660AC">
            <w:pPr>
              <w:spacing w:before="40" w:after="100"/>
              <w:rPr>
                <w:sz w:val="18"/>
              </w:rPr>
            </w:pPr>
            <w:r w:rsidRPr="008B64B1">
              <w:rPr>
                <w:rFonts w:ascii="Calibri" w:hAnsi="Calibri"/>
                <w:b w:val="0"/>
                <w:color w:val="000000"/>
                <w:sz w:val="17"/>
              </w:rPr>
              <w:t>MQTT DO publisher</w:t>
            </w:r>
          </w:p>
        </w:tc>
        <w:tc>
          <w:tcPr>
            <w:tcW w:w="3216" w:type="dxa"/>
            <w:tcMar>
              <w:top w:w="65" w:type="dxa"/>
              <w:left w:w="100" w:type="dxa"/>
              <w:bottom w:w="65" w:type="dxa"/>
              <w:right w:w="100" w:type="dxa"/>
            </w:tcMar>
            <w:vAlign w:val="center"/>
          </w:tcPr>
          <w:p w14:paraId="12DDEB15" w14:textId="77777777" w:rsidR="00F006B3" w:rsidRDefault="00540119">
            <w:pPr>
              <w:spacing w:before="40" w:after="100"/>
            </w:pPr>
            <w:r>
              <w:rPr>
                <w:rFonts w:ascii="Calibri" w:hAnsi="Calibri"/>
                <w:b w:val="0"/>
                <w:color w:val="000000"/>
                <w:sz w:val="17"/>
              </w:rPr>
              <w:t>GNS3 DO-001 node; aq1/team2/sensors/dissolved_oxygen</w:t>
            </w:r>
          </w:p>
        </w:tc>
      </w:tr>
      <w:tr w:rsidR="00E66F1D" w:rsidRPr="008B64B1" w14:paraId="2F5D4782" w14:textId="77777777" w:rsidTr="009660AC">
        <w:trPr>
          <w:jc w:val="center"/>
        </w:trPr>
        <w:tc>
          <w:tcPr>
            <w:tcW w:w="3216" w:type="dxa"/>
            <w:tcMar>
              <w:top w:w="65" w:type="dxa"/>
              <w:left w:w="100" w:type="dxa"/>
              <w:bottom w:w="65" w:type="dxa"/>
              <w:right w:w="100" w:type="dxa"/>
            </w:tcMar>
            <w:vAlign w:val="center"/>
          </w:tcPr>
          <w:p w14:paraId="476042FD" w14:textId="77777777" w:rsidR="00E66F1D" w:rsidRPr="008B64B1" w:rsidRDefault="00E66F1D" w:rsidP="009660AC">
            <w:pPr>
              <w:spacing w:before="40" w:after="100"/>
              <w:rPr>
                <w:sz w:val="18"/>
              </w:rPr>
            </w:pPr>
            <w:r w:rsidRPr="008B64B1">
              <w:rPr>
                <w:rFonts w:ascii="Calibri" w:hAnsi="Calibri"/>
                <w:b w:val="0"/>
                <w:color w:val="000000"/>
                <w:sz w:val="17"/>
              </w:rPr>
              <w:t>PH-001</w:t>
            </w:r>
          </w:p>
        </w:tc>
        <w:tc>
          <w:tcPr>
            <w:tcW w:w="3216" w:type="dxa"/>
            <w:tcMar>
              <w:top w:w="65" w:type="dxa"/>
              <w:left w:w="100" w:type="dxa"/>
              <w:bottom w:w="65" w:type="dxa"/>
              <w:right w:w="100" w:type="dxa"/>
            </w:tcMar>
            <w:vAlign w:val="center"/>
          </w:tcPr>
          <w:p w14:paraId="52F6AF70" w14:textId="77777777" w:rsidR="00E66F1D" w:rsidRPr="008B64B1" w:rsidRDefault="00E66F1D" w:rsidP="009660AC">
            <w:pPr>
              <w:spacing w:before="40" w:after="100"/>
              <w:rPr>
                <w:sz w:val="18"/>
              </w:rPr>
            </w:pPr>
            <w:r w:rsidRPr="008B64B1">
              <w:rPr>
                <w:rFonts w:ascii="Calibri" w:hAnsi="Calibri"/>
                <w:b w:val="0"/>
                <w:color w:val="000000"/>
                <w:sz w:val="17"/>
              </w:rPr>
              <w:t>MQTT pH publisher</w:t>
            </w:r>
          </w:p>
        </w:tc>
        <w:tc>
          <w:tcPr>
            <w:tcW w:w="3216" w:type="dxa"/>
            <w:tcMar>
              <w:top w:w="65" w:type="dxa"/>
              <w:left w:w="100" w:type="dxa"/>
              <w:bottom w:w="65" w:type="dxa"/>
              <w:right w:w="100" w:type="dxa"/>
            </w:tcMar>
            <w:vAlign w:val="center"/>
          </w:tcPr>
          <w:p w14:paraId="5CB5391F" w14:textId="77777777" w:rsidR="00F006B3" w:rsidRDefault="00540119">
            <w:pPr>
              <w:spacing w:before="40" w:after="100"/>
            </w:pPr>
            <w:r>
              <w:rPr>
                <w:rFonts w:ascii="Calibri" w:hAnsi="Calibri"/>
                <w:b w:val="0"/>
                <w:color w:val="000000"/>
                <w:sz w:val="17"/>
              </w:rPr>
              <w:t>GNS3 PH-001 node; aq1/team2/sensors/ph</w:t>
            </w:r>
          </w:p>
        </w:tc>
      </w:tr>
      <w:tr w:rsidR="00E66F1D" w:rsidRPr="008B64B1" w14:paraId="005C3280" w14:textId="77777777" w:rsidTr="009660AC">
        <w:trPr>
          <w:jc w:val="center"/>
        </w:trPr>
        <w:tc>
          <w:tcPr>
            <w:tcW w:w="3216" w:type="dxa"/>
            <w:tcMar>
              <w:top w:w="65" w:type="dxa"/>
              <w:left w:w="100" w:type="dxa"/>
              <w:bottom w:w="65" w:type="dxa"/>
              <w:right w:w="100" w:type="dxa"/>
            </w:tcMar>
            <w:vAlign w:val="center"/>
          </w:tcPr>
          <w:p w14:paraId="288D19A0" w14:textId="77777777" w:rsidR="00E66F1D" w:rsidRPr="008B64B1" w:rsidRDefault="00E66F1D" w:rsidP="009660AC">
            <w:pPr>
              <w:spacing w:before="40" w:after="100"/>
              <w:rPr>
                <w:sz w:val="18"/>
              </w:rPr>
            </w:pPr>
            <w:r w:rsidRPr="008B64B1">
              <w:rPr>
                <w:rFonts w:ascii="Calibri" w:hAnsi="Calibri"/>
                <w:b w:val="0"/>
                <w:color w:val="000000"/>
                <w:sz w:val="17"/>
              </w:rPr>
              <w:t>Temperature source</w:t>
            </w:r>
          </w:p>
        </w:tc>
        <w:tc>
          <w:tcPr>
            <w:tcW w:w="3216" w:type="dxa"/>
            <w:tcMar>
              <w:top w:w="65" w:type="dxa"/>
              <w:left w:w="100" w:type="dxa"/>
              <w:bottom w:w="65" w:type="dxa"/>
              <w:right w:w="100" w:type="dxa"/>
            </w:tcMar>
            <w:vAlign w:val="center"/>
          </w:tcPr>
          <w:p w14:paraId="481CC8F8" w14:textId="77777777" w:rsidR="00E66F1D" w:rsidRPr="008B64B1" w:rsidRDefault="00E66F1D" w:rsidP="009660AC">
            <w:pPr>
              <w:spacing w:before="40" w:after="100"/>
              <w:rPr>
                <w:sz w:val="18"/>
              </w:rPr>
            </w:pPr>
            <w:r w:rsidRPr="008B64B1">
              <w:rPr>
                <w:rFonts w:ascii="Calibri" w:hAnsi="Calibri"/>
                <w:b w:val="0"/>
                <w:color w:val="000000"/>
                <w:sz w:val="17"/>
              </w:rPr>
              <w:t>Physical sensor interface / publisher</w:t>
            </w:r>
          </w:p>
        </w:tc>
        <w:tc>
          <w:tcPr>
            <w:tcW w:w="3216" w:type="dxa"/>
            <w:tcMar>
              <w:top w:w="65" w:type="dxa"/>
              <w:left w:w="100" w:type="dxa"/>
              <w:bottom w:w="65" w:type="dxa"/>
              <w:right w:w="100" w:type="dxa"/>
            </w:tcMar>
            <w:vAlign w:val="center"/>
          </w:tcPr>
          <w:p w14:paraId="1356B4A1" w14:textId="77777777" w:rsidR="00F006B3" w:rsidRDefault="00540119">
            <w:pPr>
              <w:spacing w:before="40" w:after="100"/>
            </w:pPr>
            <w:r>
              <w:rPr>
                <w:rFonts w:ascii="Calibri" w:hAnsi="Calibri"/>
                <w:b w:val="0"/>
                <w:color w:val="000000"/>
                <w:sz w:val="17"/>
              </w:rPr>
              <w:t>ESP32-C3 over Wi-Fi; aq1/pond1/temperature</w:t>
            </w:r>
          </w:p>
        </w:tc>
      </w:tr>
      <w:tr w:rsidR="00E66F1D" w:rsidRPr="008B64B1" w14:paraId="46CCDD95" w14:textId="77777777" w:rsidTr="009660AC">
        <w:trPr>
          <w:jc w:val="center"/>
        </w:trPr>
        <w:tc>
          <w:tcPr>
            <w:tcW w:w="3216" w:type="dxa"/>
            <w:tcMar>
              <w:top w:w="65" w:type="dxa"/>
              <w:left w:w="100" w:type="dxa"/>
              <w:bottom w:w="65" w:type="dxa"/>
              <w:right w:w="100" w:type="dxa"/>
            </w:tcMar>
            <w:vAlign w:val="center"/>
          </w:tcPr>
          <w:p w14:paraId="6C09F9D7" w14:textId="77777777" w:rsidR="00E66F1D" w:rsidRPr="008B64B1" w:rsidRDefault="00E66F1D" w:rsidP="009660AC">
            <w:pPr>
              <w:spacing w:before="40" w:after="100"/>
              <w:rPr>
                <w:sz w:val="18"/>
              </w:rPr>
            </w:pPr>
            <w:r w:rsidRPr="008B64B1">
              <w:rPr>
                <w:rFonts w:ascii="Calibri" w:hAnsi="Calibri"/>
                <w:b w:val="0"/>
                <w:color w:val="000000"/>
                <w:sz w:val="17"/>
              </w:rPr>
              <w:t>Gateway</w:t>
            </w:r>
          </w:p>
        </w:tc>
        <w:tc>
          <w:tcPr>
            <w:tcW w:w="3216" w:type="dxa"/>
            <w:tcMar>
              <w:top w:w="65" w:type="dxa"/>
              <w:left w:w="100" w:type="dxa"/>
              <w:bottom w:w="65" w:type="dxa"/>
              <w:right w:w="100" w:type="dxa"/>
            </w:tcMar>
            <w:vAlign w:val="center"/>
          </w:tcPr>
          <w:p w14:paraId="55C2A6CA" w14:textId="77777777" w:rsidR="00E66F1D" w:rsidRPr="008B64B1" w:rsidRDefault="00E66F1D" w:rsidP="009660AC">
            <w:pPr>
              <w:spacing w:before="40" w:after="100"/>
              <w:rPr>
                <w:sz w:val="18"/>
              </w:rPr>
            </w:pPr>
            <w:r w:rsidRPr="008B64B1">
              <w:rPr>
                <w:rFonts w:ascii="Calibri" w:hAnsi="Calibri"/>
                <w:b w:val="0"/>
                <w:color w:val="000000"/>
                <w:sz w:val="17"/>
              </w:rPr>
              <w:t>MQTT subscriber and HMAC verifier</w:t>
            </w:r>
          </w:p>
        </w:tc>
        <w:tc>
          <w:tcPr>
            <w:tcW w:w="3216" w:type="dxa"/>
            <w:tcMar>
              <w:top w:w="65" w:type="dxa"/>
              <w:left w:w="100" w:type="dxa"/>
              <w:bottom w:w="65" w:type="dxa"/>
              <w:right w:w="100" w:type="dxa"/>
            </w:tcMar>
            <w:vAlign w:val="center"/>
          </w:tcPr>
          <w:p w14:paraId="27857B03" w14:textId="77777777" w:rsidR="00F006B3" w:rsidRDefault="00540119">
            <w:pPr>
              <w:spacing w:before="40" w:after="100"/>
            </w:pPr>
            <w:r>
              <w:rPr>
                <w:rFonts w:ascii="Calibri" w:hAnsi="Calibri"/>
                <w:b w:val="0"/>
                <w:color w:val="000000"/>
                <w:sz w:val="17"/>
              </w:rPr>
              <w:t>GNS3 AQ1-Gateway Docker node; MQTT subscriber / verifier</w:t>
            </w:r>
          </w:p>
        </w:tc>
      </w:tr>
      <w:tr w:rsidR="00E66F1D" w:rsidRPr="008B64B1" w14:paraId="2F560590" w14:textId="77777777" w:rsidTr="009660AC">
        <w:trPr>
          <w:jc w:val="center"/>
        </w:trPr>
        <w:tc>
          <w:tcPr>
            <w:tcW w:w="3216" w:type="dxa"/>
            <w:tcMar>
              <w:top w:w="65" w:type="dxa"/>
              <w:left w:w="100" w:type="dxa"/>
              <w:bottom w:w="65" w:type="dxa"/>
              <w:right w:w="100" w:type="dxa"/>
            </w:tcMar>
            <w:vAlign w:val="center"/>
          </w:tcPr>
          <w:p w14:paraId="3C5D7F83" w14:textId="77777777" w:rsidR="00E66F1D" w:rsidRPr="008B64B1" w:rsidRDefault="00E66F1D" w:rsidP="009660AC">
            <w:pPr>
              <w:spacing w:before="40" w:after="100"/>
              <w:rPr>
                <w:sz w:val="18"/>
              </w:rPr>
            </w:pPr>
            <w:r w:rsidRPr="008B64B1">
              <w:rPr>
                <w:rFonts w:ascii="Calibri" w:hAnsi="Calibri"/>
                <w:b w:val="0"/>
                <w:color w:val="000000"/>
                <w:sz w:val="17"/>
              </w:rPr>
              <w:t>MQTT broker</w:t>
            </w:r>
          </w:p>
        </w:tc>
        <w:tc>
          <w:tcPr>
            <w:tcW w:w="3216" w:type="dxa"/>
            <w:tcMar>
              <w:top w:w="65" w:type="dxa"/>
              <w:left w:w="100" w:type="dxa"/>
              <w:bottom w:w="65" w:type="dxa"/>
              <w:right w:w="100" w:type="dxa"/>
            </w:tcMar>
            <w:vAlign w:val="center"/>
          </w:tcPr>
          <w:p w14:paraId="69F18B05" w14:textId="77777777" w:rsidR="00E66F1D" w:rsidRPr="008B64B1" w:rsidRDefault="00E66F1D" w:rsidP="009660AC">
            <w:pPr>
              <w:spacing w:before="40" w:after="100"/>
              <w:rPr>
                <w:sz w:val="18"/>
              </w:rPr>
            </w:pPr>
            <w:r w:rsidRPr="008B64B1">
              <w:rPr>
                <w:rFonts w:ascii="Calibri" w:hAnsi="Calibri"/>
                <w:b w:val="0"/>
                <w:color w:val="000000"/>
                <w:sz w:val="17"/>
              </w:rPr>
              <w:t>Message transport endpoint</w:t>
            </w:r>
          </w:p>
        </w:tc>
        <w:tc>
          <w:tcPr>
            <w:tcW w:w="3216" w:type="dxa"/>
            <w:tcMar>
              <w:top w:w="65" w:type="dxa"/>
              <w:left w:w="100" w:type="dxa"/>
              <w:bottom w:w="65" w:type="dxa"/>
              <w:right w:w="100" w:type="dxa"/>
            </w:tcMar>
            <w:vAlign w:val="center"/>
          </w:tcPr>
          <w:p w14:paraId="726F3520" w14:textId="77777777" w:rsidR="00F006B3" w:rsidRDefault="00540119">
            <w:pPr>
              <w:spacing w:before="40" w:after="100"/>
            </w:pPr>
            <w:r>
              <w:rPr>
                <w:rFonts w:ascii="Calibri" w:hAnsi="Calibri"/>
                <w:b w:val="0"/>
                <w:color w:val="000000"/>
                <w:sz w:val="17"/>
              </w:rPr>
              <w:t>broker.hivemq.com, TCP 1883 (public test broker; unencrypted)</w:t>
            </w:r>
          </w:p>
        </w:tc>
      </w:tr>
      <w:tr w:rsidR="00E66F1D" w:rsidRPr="008B64B1" w14:paraId="4CE51977" w14:textId="77777777" w:rsidTr="009660AC">
        <w:trPr>
          <w:jc w:val="center"/>
        </w:trPr>
        <w:tc>
          <w:tcPr>
            <w:tcW w:w="3216" w:type="dxa"/>
            <w:tcMar>
              <w:top w:w="65" w:type="dxa"/>
              <w:left w:w="100" w:type="dxa"/>
              <w:bottom w:w="65" w:type="dxa"/>
              <w:right w:w="100" w:type="dxa"/>
            </w:tcMar>
            <w:vAlign w:val="center"/>
          </w:tcPr>
          <w:p w14:paraId="12201F63" w14:textId="77777777" w:rsidR="00E66F1D" w:rsidRPr="008B64B1" w:rsidRDefault="00E66F1D" w:rsidP="009660AC">
            <w:pPr>
              <w:spacing w:before="40" w:after="100"/>
              <w:rPr>
                <w:sz w:val="18"/>
              </w:rPr>
            </w:pPr>
            <w:r w:rsidRPr="008B64B1">
              <w:rPr>
                <w:rFonts w:ascii="Calibri" w:hAnsi="Calibri"/>
                <w:b w:val="0"/>
                <w:color w:val="000000"/>
                <w:sz w:val="17"/>
              </w:rPr>
              <w:t>Dashboard / Node-RED</w:t>
            </w:r>
          </w:p>
        </w:tc>
        <w:tc>
          <w:tcPr>
            <w:tcW w:w="3216" w:type="dxa"/>
            <w:tcMar>
              <w:top w:w="65" w:type="dxa"/>
              <w:left w:w="100" w:type="dxa"/>
              <w:bottom w:w="65" w:type="dxa"/>
              <w:right w:w="100" w:type="dxa"/>
            </w:tcMar>
            <w:vAlign w:val="center"/>
          </w:tcPr>
          <w:p w14:paraId="7560C3AC" w14:textId="77777777" w:rsidR="00E66F1D" w:rsidRPr="008B64B1" w:rsidRDefault="00E66F1D" w:rsidP="009660AC">
            <w:pPr>
              <w:spacing w:before="40" w:after="100"/>
              <w:rPr>
                <w:sz w:val="18"/>
              </w:rPr>
            </w:pPr>
            <w:r w:rsidRPr="008B64B1">
              <w:rPr>
                <w:rFonts w:ascii="Calibri" w:hAnsi="Calibri"/>
                <w:b w:val="0"/>
                <w:color w:val="000000"/>
                <w:sz w:val="17"/>
              </w:rPr>
              <w:t>Monitoring web interface</w:t>
            </w:r>
          </w:p>
        </w:tc>
        <w:tc>
          <w:tcPr>
            <w:tcW w:w="3216" w:type="dxa"/>
            <w:tcMar>
              <w:top w:w="65" w:type="dxa"/>
              <w:left w:w="100" w:type="dxa"/>
              <w:bottom w:w="65" w:type="dxa"/>
              <w:right w:w="100" w:type="dxa"/>
            </w:tcMar>
            <w:vAlign w:val="center"/>
          </w:tcPr>
          <w:p w14:paraId="1C3F8BDB" w14:textId="77777777" w:rsidR="00F006B3" w:rsidRDefault="00540119">
            <w:pPr>
              <w:spacing w:before="40" w:after="100"/>
            </w:pPr>
            <w:r>
              <w:rPr>
                <w:rFonts w:ascii="Calibri" w:hAnsi="Calibri"/>
                <w:b w:val="0"/>
                <w:color w:val="000000"/>
                <w:sz w:val="17"/>
              </w:rPr>
              <w:t>Local Node-RED runtime; host/port depends on installation</w:t>
            </w:r>
          </w:p>
        </w:tc>
      </w:tr>
      <w:tr w:rsidR="00E66F1D" w:rsidRPr="008B64B1" w14:paraId="513CD494" w14:textId="77777777" w:rsidTr="009660AC">
        <w:trPr>
          <w:jc w:val="center"/>
        </w:trPr>
        <w:tc>
          <w:tcPr>
            <w:tcW w:w="3216" w:type="dxa"/>
            <w:tcMar>
              <w:top w:w="65" w:type="dxa"/>
              <w:left w:w="100" w:type="dxa"/>
              <w:bottom w:w="65" w:type="dxa"/>
              <w:right w:w="100" w:type="dxa"/>
            </w:tcMar>
            <w:vAlign w:val="center"/>
          </w:tcPr>
          <w:p w14:paraId="0C0EB9F5" w14:textId="77777777" w:rsidR="00E66F1D" w:rsidRPr="008B64B1" w:rsidRDefault="00E66F1D" w:rsidP="009660AC">
            <w:pPr>
              <w:spacing w:before="40" w:after="100"/>
              <w:rPr>
                <w:sz w:val="18"/>
              </w:rPr>
            </w:pPr>
            <w:r w:rsidRPr="008B64B1">
              <w:rPr>
                <w:rFonts w:ascii="Calibri" w:hAnsi="Calibri"/>
                <w:b w:val="0"/>
                <w:color w:val="000000"/>
                <w:sz w:val="17"/>
              </w:rPr>
              <w:t>Attacker</w:t>
            </w:r>
          </w:p>
        </w:tc>
        <w:tc>
          <w:tcPr>
            <w:tcW w:w="3216" w:type="dxa"/>
            <w:tcMar>
              <w:top w:w="65" w:type="dxa"/>
              <w:left w:w="100" w:type="dxa"/>
              <w:bottom w:w="65" w:type="dxa"/>
              <w:right w:w="100" w:type="dxa"/>
            </w:tcMar>
            <w:vAlign w:val="center"/>
          </w:tcPr>
          <w:p w14:paraId="2C00A9AC" w14:textId="77777777" w:rsidR="00E66F1D" w:rsidRPr="008B64B1" w:rsidRDefault="00E66F1D" w:rsidP="009660AC">
            <w:pPr>
              <w:spacing w:before="40" w:after="100"/>
              <w:rPr>
                <w:sz w:val="18"/>
              </w:rPr>
            </w:pPr>
            <w:r w:rsidRPr="008B64B1">
              <w:rPr>
                <w:rFonts w:ascii="Calibri" w:hAnsi="Calibri"/>
                <w:b w:val="0"/>
                <w:color w:val="000000"/>
                <w:sz w:val="17"/>
              </w:rPr>
              <w:t>Isolated test traffic source</w:t>
            </w:r>
          </w:p>
        </w:tc>
        <w:tc>
          <w:tcPr>
            <w:tcW w:w="3216" w:type="dxa"/>
            <w:tcMar>
              <w:top w:w="65" w:type="dxa"/>
              <w:left w:w="100" w:type="dxa"/>
              <w:bottom w:w="65" w:type="dxa"/>
              <w:right w:w="100" w:type="dxa"/>
            </w:tcMar>
            <w:vAlign w:val="center"/>
          </w:tcPr>
          <w:p w14:paraId="3079F1C5" w14:textId="77777777" w:rsidR="00F006B3" w:rsidRDefault="00540119">
            <w:pPr>
              <w:spacing w:before="40" w:after="100"/>
            </w:pPr>
            <w:r>
              <w:rPr>
                <w:rFonts w:ascii="Calibri" w:hAnsi="Calibri"/>
                <w:b w:val="0"/>
                <w:color w:val="000000"/>
                <w:sz w:val="17"/>
              </w:rPr>
              <w:t>GNS3 Attacker1 Docker node on the virtual switch</w:t>
            </w:r>
          </w:p>
        </w:tc>
      </w:tr>
      <w:tr w:rsidR="00E66F1D" w:rsidRPr="008B64B1" w14:paraId="3B63A044" w14:textId="77777777" w:rsidTr="009660AC">
        <w:trPr>
          <w:jc w:val="center"/>
        </w:trPr>
        <w:tc>
          <w:tcPr>
            <w:tcW w:w="3216" w:type="dxa"/>
            <w:tcMar>
              <w:top w:w="65" w:type="dxa"/>
              <w:left w:w="100" w:type="dxa"/>
              <w:bottom w:w="65" w:type="dxa"/>
              <w:right w:w="100" w:type="dxa"/>
            </w:tcMar>
            <w:vAlign w:val="center"/>
          </w:tcPr>
          <w:p w14:paraId="25B40C95" w14:textId="77777777" w:rsidR="00E66F1D" w:rsidRPr="008B64B1" w:rsidRDefault="00E66F1D" w:rsidP="009660AC">
            <w:pPr>
              <w:spacing w:before="40" w:after="100"/>
              <w:rPr>
                <w:color w:val="EE0000"/>
                <w:sz w:val="18"/>
              </w:rPr>
            </w:pPr>
            <w:r w:rsidRPr="008B64B1">
              <w:rPr>
                <w:rFonts w:ascii="Calibri" w:hAnsi="Calibri"/>
                <w:b w:val="0"/>
                <w:color w:val="000000"/>
                <w:sz w:val="17"/>
              </w:rPr>
              <w:t>Second team computer</w:t>
            </w:r>
          </w:p>
        </w:tc>
        <w:tc>
          <w:tcPr>
            <w:tcW w:w="3216" w:type="dxa"/>
            <w:tcMar>
              <w:top w:w="65" w:type="dxa"/>
              <w:left w:w="100" w:type="dxa"/>
              <w:bottom w:w="65" w:type="dxa"/>
              <w:right w:w="100" w:type="dxa"/>
            </w:tcMar>
            <w:vAlign w:val="center"/>
          </w:tcPr>
          <w:p w14:paraId="0753694E" w14:textId="77777777" w:rsidR="00E66F1D" w:rsidRPr="008B64B1" w:rsidRDefault="00E66F1D" w:rsidP="009660AC">
            <w:pPr>
              <w:spacing w:before="40" w:after="100"/>
              <w:rPr>
                <w:color w:val="EE0000"/>
                <w:sz w:val="18"/>
              </w:rPr>
            </w:pPr>
            <w:r w:rsidRPr="008B64B1">
              <w:rPr>
                <w:rFonts w:ascii="Calibri" w:hAnsi="Calibri"/>
                <w:b w:val="0"/>
                <w:color w:val="000000"/>
                <w:sz w:val="17"/>
              </w:rPr>
              <w:t>Optional cross-team attack route</w:t>
            </w:r>
          </w:p>
        </w:tc>
        <w:tc>
          <w:tcPr>
            <w:tcW w:w="3216" w:type="dxa"/>
            <w:tcMar>
              <w:top w:w="65" w:type="dxa"/>
              <w:left w:w="100" w:type="dxa"/>
              <w:bottom w:w="65" w:type="dxa"/>
              <w:right w:w="100" w:type="dxa"/>
            </w:tcMar>
            <w:vAlign w:val="center"/>
          </w:tcPr>
          <w:p w14:paraId="25FB7927" w14:textId="77777777" w:rsidR="00F006B3" w:rsidRDefault="00540119">
            <w:pPr>
              <w:spacing w:before="40" w:after="100"/>
            </w:pPr>
            <w:r>
              <w:rPr>
                <w:rFonts w:ascii="Calibri" w:hAnsi="Calibri"/>
                <w:b w:val="0"/>
                <w:color w:val="000000"/>
                <w:sz w:val="17"/>
              </w:rPr>
              <w:t>Optional external demo route; successful live exercise not evidenced</w:t>
            </w:r>
          </w:p>
        </w:tc>
      </w:tr>
    </w:tbl>
    <w:p w14:paraId="78081509" w14:textId="77777777" w:rsidR="005848E1" w:rsidRDefault="00540119">
      <w:pPr>
        <w:pStyle w:val="Heading2"/>
        <w:spacing w:after="140" w:before="160"/>
      </w:pPr>
      <w:r>
        <w:rPr>
          <w:rFonts w:ascii="Calibri" w:hAnsi="Calibri"/>
          <w:color w:val="000000"/>
          <w:sz w:val="20"/>
        </w:rPr>
        <w:t>3.3 Broker access and routing</w:t>
      </w:r>
    </w:p>
    <w:p w14:paraId="691BED48" w14:textId="77777777" w:rsidR="005848E1" w:rsidRDefault="00540119">
      <w:pPr>
        <w:spacing w:after="100" w:before="40"/>
      </w:pPr>
      <w:r>
        <w:rPr>
          <w:rFonts w:ascii="Calibri" w:hAnsi="Calibri"/>
          <w:color w:val="000000"/>
          <w:sz w:val="20"/>
        </w:rPr>
        <w:t>The final transferred gateway and sensor scripts use broker.hivemq.com:1883. Physical temperature is published to aq1/pond1/temperature; the simulated DO and pH streams use aq1/team2/sensors/dissolved_oxygen and aq1/team2/sensors/ph. The gateway publishes accepted readings and events on separate aq1/team2/gateway and aq1/team2/events paths. Topic prefixes organise messages but do not provide broker-enforced isolation. The public MQTT connection is unencrypted; TLS, access-control lists and broker authentication remain production enhancements rather than implemented showcase controls.</w:t>
      </w:r>
    </w:p>
    <w:p w14:paraId="6F6ADC76" w14:textId="77777777" w:rsidR="005848E1" w:rsidRDefault="00540119">
      <w:pPr>
        <w:pStyle w:val="Heading2"/>
        <w:spacing w:after="140" w:before="160"/>
      </w:pPr>
      <w:r>
        <w:rPr>
          <w:rFonts w:ascii="Calibri" w:hAnsi="Calibri"/>
          <w:color w:val="000000"/>
          <w:sz w:val="20"/>
        </w:rPr>
        <w:t>3.4 Cross-team connectivity and attack path</w:t>
      </w:r>
    </w:p>
    <w:p w14:paraId="71989DFD" w14:textId="77777777" w:rsidR="005848E1" w:rsidRDefault="00540119">
      <w:pPr>
        <w:spacing w:after="100" w:before="40"/>
      </w:pPr>
      <w:r>
        <w:rPr>
          <w:rFonts w:ascii="Calibri" w:hAnsi="Calibri"/>
          <w:color w:val="000000"/>
          <w:sz w:val="20"/>
        </w:rPr>
        <w:t>The optional cross-location exercise would use a coordinated attacker client to publish a forged message to an agreed simulated sensor test topic, where the receiving gateway should reject it. Its successful execution is not established by the supplied evidence. The local Attacker1 node and captured replay messages provide a reproducible fallback. Tests must not target the shared physical temperature topic.</w:t>
      </w:r>
    </w:p>
    <w:p w14:paraId="06F1EE52" w14:textId="77777777" w:rsidR="005848E1" w:rsidRDefault="00540119">
      <w:pPr>
        <w:pStyle w:val="Heading2"/>
        <w:spacing w:after="140" w:before="160"/>
      </w:pPr>
      <w:r>
        <w:rPr>
          <w:rFonts w:ascii="Calibri" w:hAnsi="Calibri"/>
          <w:color w:val="000000"/>
          <w:sz w:val="20"/>
        </w:rPr>
        <w:t>3.5 Connectivity checks and troubleshooting evidence</w:t>
      </w:r>
    </w:p>
    <w:p w14:paraId="0A507990" w14:textId="77777777" w:rsidR="005848E1" w:rsidRDefault="00540119">
      <w:pPr>
        <w:spacing w:after="100" w:before="40"/>
      </w:pPr>
      <w:r>
        <w:rPr>
          <w:rFonts w:ascii="Calibri" w:hAnsi="Calibri"/>
          <w:color w:val="000000"/>
          <w:sz w:val="20"/>
        </w:rPr>
        <w:t>Connectivity is assessed by observing a valid publisher message, broker delivery, an accepted gateway verdict and corresponding Node-RED display. Separate evidence should show rejected attack traffic and outage handling. A running process alone does not prove end-to-end delivery: MQTT subscription paths, GNS3 VM links, network rules and dashboard service availability must each be checked. Figures 7 and 10–14 provide examples of the captured gateway and dashboard outputs.</w:t>
      </w:r>
    </w:p>
    <w:tbl>
      <w:tblPr>
        <w:tblStyle w:val="TableGrid"/>
        <w:tblW w:w="0" w:type="auto"/>
        <w:jc w:val="center"/>
        <w:tblLook w:val="04A0" w:firstRow="1" w:lastRow="0" w:firstColumn="1" w:lastColumn="0" w:noHBand="0" w:noVBand="1"/>
      </w:tblPr>
      <w:tblGrid>
        <w:gridCol w:w="3216"/>
        <w:gridCol w:w="3216"/>
        <w:gridCol w:w="3216"/>
      </w:tblGrid>
      <w:tr w:rsidR="00E66F1D" w14:paraId="01A97037" w14:textId="77777777" w:rsidTr="009660AC">
        <w:trPr>
          <w:tblHeader/>
          <w:jc w:val="center"/>
        </w:trPr>
        <w:tc>
          <w:tcPr>
            <w:tcW w:w="3216" w:type="dxa"/>
            <w:tcMar>
              <w:top w:w="65" w:type="dxa"/>
              <w:left w:w="100" w:type="dxa"/>
              <w:bottom w:w="65" w:type="dxa"/>
              <w:right w:w="100" w:type="dxa"/>
            </w:tcMar>
            <w:vAlign w:val="center"/>
          </w:tcPr>
          <w:p w14:paraId="4C543E83" w14:textId="77777777" w:rsidR="00E66F1D" w:rsidRDefault="00E66F1D" w:rsidP="009660AC">
            <w:pPr>
              <w:spacing w:before="40" w:after="100"/>
            </w:pPr>
            <w:r>
              <w:rPr>
                <w:rFonts w:ascii="Calibri" w:hAnsi="Calibri"/>
                <w:b/>
                <w:color w:val="000000"/>
                <w:sz w:val="17"/>
              </w:rPr>
              <w:t>Check</w:t>
            </w:r>
          </w:p>
        </w:tc>
        <w:tc>
          <w:tcPr>
            <w:tcW w:w="3216" w:type="dxa"/>
            <w:tcMar>
              <w:top w:w="65" w:type="dxa"/>
              <w:left w:w="100" w:type="dxa"/>
              <w:bottom w:w="65" w:type="dxa"/>
              <w:right w:w="100" w:type="dxa"/>
            </w:tcMar>
            <w:vAlign w:val="center"/>
          </w:tcPr>
          <w:p w14:paraId="56EF0014" w14:textId="77777777" w:rsidR="00E66F1D" w:rsidRDefault="00E66F1D" w:rsidP="009660AC">
            <w:pPr>
              <w:spacing w:before="40" w:after="100"/>
            </w:pPr>
            <w:r>
              <w:rPr>
                <w:rFonts w:ascii="Calibri" w:hAnsi="Calibri"/>
                <w:b/>
                <w:color w:val="000000"/>
                <w:sz w:val="17"/>
              </w:rPr>
              <w:t>Expected observation</w:t>
            </w:r>
          </w:p>
        </w:tc>
        <w:tc>
          <w:tcPr>
            <w:tcW w:w="3216" w:type="dxa"/>
            <w:tcMar>
              <w:top w:w="65" w:type="dxa"/>
              <w:left w:w="100" w:type="dxa"/>
              <w:bottom w:w="65" w:type="dxa"/>
              <w:right w:w="100" w:type="dxa"/>
            </w:tcMar>
            <w:vAlign w:val="center"/>
          </w:tcPr>
          <w:p w14:paraId="29E2ECF6" w14:textId="77777777" w:rsidR="00E66F1D" w:rsidRDefault="00E66F1D" w:rsidP="009660AC">
            <w:pPr>
              <w:spacing w:before="40" w:after="100"/>
            </w:pPr>
            <w:r>
              <w:rPr>
                <w:rFonts w:ascii="Calibri" w:hAnsi="Calibri"/>
                <w:b/>
                <w:color w:val="000000"/>
                <w:sz w:val="17"/>
              </w:rPr>
              <w:t>Evidence</w:t>
            </w:r>
          </w:p>
        </w:tc>
      </w:tr>
      <w:tr w:rsidR="00E66F1D" w14:paraId="1ABBD56D" w14:textId="77777777" w:rsidTr="009660AC">
        <w:trPr>
          <w:jc w:val="center"/>
        </w:trPr>
        <w:tc>
          <w:tcPr>
            <w:tcW w:w="3216" w:type="dxa"/>
            <w:tcMar>
              <w:top w:w="65" w:type="dxa"/>
              <w:left w:w="100" w:type="dxa"/>
              <w:bottom w:w="65" w:type="dxa"/>
              <w:right w:w="100" w:type="dxa"/>
            </w:tcMar>
            <w:vAlign w:val="center"/>
          </w:tcPr>
          <w:p w14:paraId="5C428F19" w14:textId="77777777" w:rsidR="00E66F1D" w:rsidRDefault="00E66F1D" w:rsidP="009660AC">
            <w:pPr>
              <w:spacing w:before="40" w:after="100"/>
            </w:pPr>
            <w:r>
              <w:rPr>
                <w:rFonts w:ascii="Calibri" w:hAnsi="Calibri"/>
                <w:b w:val="0"/>
                <w:color w:val="000000"/>
                <w:sz w:val="17"/>
              </w:rPr>
              <w:t>VM addressing</w:t>
            </w:r>
          </w:p>
        </w:tc>
        <w:tc>
          <w:tcPr>
            <w:tcW w:w="3216" w:type="dxa"/>
            <w:tcMar>
              <w:top w:w="65" w:type="dxa"/>
              <w:left w:w="100" w:type="dxa"/>
              <w:bottom w:w="65" w:type="dxa"/>
              <w:right w:w="100" w:type="dxa"/>
            </w:tcMar>
            <w:vAlign w:val="center"/>
          </w:tcPr>
          <w:p w14:paraId="007896DE" w14:textId="77777777" w:rsidR="00E66F1D" w:rsidRDefault="00E66F1D" w:rsidP="009660AC">
            <w:pPr>
              <w:spacing w:before="40" w:after="100"/>
            </w:pPr>
            <w:r>
              <w:rPr>
                <w:rFonts w:ascii="Calibri" w:hAnsi="Calibri"/>
                <w:b w:val="0"/>
                <w:color w:val="000000"/>
                <w:sz w:val="17"/>
              </w:rPr>
              <w:t>Each VM has the intended subnet and route</w:t>
            </w:r>
          </w:p>
        </w:tc>
        <w:tc>
          <w:tcPr>
            <w:tcW w:w="3216" w:type="dxa"/>
            <w:tcMar>
              <w:top w:w="65" w:type="dxa"/>
              <w:left w:w="100" w:type="dxa"/>
              <w:bottom w:w="65" w:type="dxa"/>
              <w:right w:w="100" w:type="dxa"/>
            </w:tcMar>
            <w:vAlign w:val="center"/>
          </w:tcPr>
          <w:p w14:paraId="2D4066FD" w14:textId="77777777" w:rsidR="00F006B3" w:rsidRDefault="00540119">
            <w:pPr>
              <w:spacing w:before="40" w:after="100"/>
            </w:pPr>
            <w:r>
              <w:rPr>
                <w:rFonts w:ascii="Calibri" w:hAnsi="Calibri"/>
                <w:b w:val="0"/>
                <w:color w:val="000000"/>
                <w:sz w:val="17"/>
              </w:rPr>
              <w:t>Figure 6: GNS3 topology (IP values are not documented)</w:t>
            </w:r>
          </w:p>
        </w:tc>
      </w:tr>
      <w:tr w:rsidR="00E66F1D" w14:paraId="1C1A1CB1" w14:textId="77777777" w:rsidTr="009660AC">
        <w:trPr>
          <w:jc w:val="center"/>
        </w:trPr>
        <w:tc>
          <w:tcPr>
            <w:tcW w:w="3216" w:type="dxa"/>
            <w:tcMar>
              <w:top w:w="65" w:type="dxa"/>
              <w:left w:w="100" w:type="dxa"/>
              <w:bottom w:w="65" w:type="dxa"/>
              <w:right w:w="100" w:type="dxa"/>
            </w:tcMar>
            <w:vAlign w:val="center"/>
          </w:tcPr>
          <w:p w14:paraId="32F76996" w14:textId="77777777" w:rsidR="00E66F1D" w:rsidRDefault="00E66F1D" w:rsidP="009660AC">
            <w:pPr>
              <w:spacing w:before="40" w:after="100"/>
            </w:pPr>
            <w:r>
              <w:rPr>
                <w:rFonts w:ascii="Calibri" w:hAnsi="Calibri"/>
                <w:b w:val="0"/>
                <w:color w:val="000000"/>
                <w:sz w:val="17"/>
              </w:rPr>
              <w:t>Broker reachability</w:t>
            </w:r>
          </w:p>
        </w:tc>
        <w:tc>
          <w:tcPr>
            <w:tcW w:w="3216" w:type="dxa"/>
            <w:tcMar>
              <w:top w:w="65" w:type="dxa"/>
              <w:left w:w="100" w:type="dxa"/>
              <w:bottom w:w="65" w:type="dxa"/>
              <w:right w:w="100" w:type="dxa"/>
            </w:tcMar>
            <w:vAlign w:val="center"/>
          </w:tcPr>
          <w:p w14:paraId="589A7D6A" w14:textId="77777777" w:rsidR="00E66F1D" w:rsidRDefault="00E66F1D" w:rsidP="009660AC">
            <w:pPr>
              <w:spacing w:before="40" w:after="100"/>
            </w:pPr>
            <w:r>
              <w:rPr>
                <w:rFonts w:ascii="Calibri" w:hAnsi="Calibri"/>
                <w:b w:val="0"/>
                <w:color w:val="000000"/>
                <w:sz w:val="17"/>
              </w:rPr>
              <w:t>Publisher and subscriber can reach broker</w:t>
            </w:r>
          </w:p>
        </w:tc>
        <w:tc>
          <w:tcPr>
            <w:tcW w:w="3216" w:type="dxa"/>
            <w:tcMar>
              <w:top w:w="65" w:type="dxa"/>
              <w:left w:w="100" w:type="dxa"/>
              <w:bottom w:w="65" w:type="dxa"/>
              <w:right w:w="100" w:type="dxa"/>
            </w:tcMar>
            <w:vAlign w:val="center"/>
          </w:tcPr>
          <w:p w14:paraId="39CA2C81" w14:textId="77777777" w:rsidR="00F006B3" w:rsidRDefault="00540119">
            <w:pPr>
              <w:spacing w:before="40" w:after="100"/>
            </w:pPr>
            <w:r>
              <w:rPr>
                <w:rFonts w:ascii="Calibri" w:hAnsi="Calibri"/>
                <w:b w:val="0"/>
                <w:color w:val="000000"/>
                <w:sz w:val="17"/>
              </w:rPr>
              <w:t>Figure 9: ESP32 MQTT publishing; Figures 8 and 10: software messages and verification</w:t>
            </w:r>
          </w:p>
        </w:tc>
      </w:tr>
      <w:tr w:rsidR="00E66F1D" w14:paraId="51E245A6" w14:textId="77777777" w:rsidTr="009660AC">
        <w:trPr>
          <w:jc w:val="center"/>
        </w:trPr>
        <w:tc>
          <w:tcPr>
            <w:tcW w:w="3216" w:type="dxa"/>
            <w:tcMar>
              <w:top w:w="65" w:type="dxa"/>
              <w:left w:w="100" w:type="dxa"/>
              <w:bottom w:w="65" w:type="dxa"/>
              <w:right w:w="100" w:type="dxa"/>
            </w:tcMar>
            <w:vAlign w:val="center"/>
          </w:tcPr>
          <w:p w14:paraId="30CB853F" w14:textId="77777777" w:rsidR="00E66F1D" w:rsidRDefault="00E66F1D" w:rsidP="009660AC">
            <w:pPr>
              <w:spacing w:before="40" w:after="100"/>
            </w:pPr>
            <w:r>
              <w:rPr>
                <w:rFonts w:ascii="Calibri" w:hAnsi="Calibri"/>
                <w:b w:val="0"/>
                <w:color w:val="000000"/>
                <w:sz w:val="17"/>
              </w:rPr>
              <w:t>Valid data path</w:t>
            </w:r>
          </w:p>
        </w:tc>
        <w:tc>
          <w:tcPr>
            <w:tcW w:w="3216" w:type="dxa"/>
            <w:tcMar>
              <w:top w:w="65" w:type="dxa"/>
              <w:left w:w="100" w:type="dxa"/>
              <w:bottom w:w="65" w:type="dxa"/>
              <w:right w:w="100" w:type="dxa"/>
            </w:tcMar>
            <w:vAlign w:val="center"/>
          </w:tcPr>
          <w:p w14:paraId="0AC39EA7" w14:textId="77777777" w:rsidR="00E66F1D" w:rsidRDefault="00E66F1D" w:rsidP="009660AC">
            <w:pPr>
              <w:spacing w:before="40" w:after="100"/>
            </w:pPr>
            <w:r>
              <w:rPr>
                <w:rFonts w:ascii="Calibri" w:hAnsi="Calibri"/>
                <w:b w:val="0"/>
                <w:color w:val="000000"/>
                <w:sz w:val="17"/>
              </w:rPr>
              <w:t>Gateway accepts correctly signed reading</w:t>
            </w:r>
          </w:p>
        </w:tc>
        <w:tc>
          <w:tcPr>
            <w:tcW w:w="3216" w:type="dxa"/>
            <w:tcMar>
              <w:top w:w="65" w:type="dxa"/>
              <w:left w:w="100" w:type="dxa"/>
              <w:bottom w:w="65" w:type="dxa"/>
              <w:right w:w="100" w:type="dxa"/>
            </w:tcMar>
            <w:vAlign w:val="center"/>
          </w:tcPr>
          <w:p w14:paraId="0DAA1B34" w14:textId="77777777" w:rsidR="00F006B3" w:rsidRDefault="00540119">
            <w:pPr>
              <w:spacing w:before="40" w:after="100"/>
            </w:pPr>
            <w:r>
              <w:rPr>
                <w:rFonts w:ascii="Calibri" w:hAnsi="Calibri"/>
                <w:b w:val="0"/>
                <w:color w:val="000000"/>
                <w:sz w:val="17"/>
              </w:rPr>
              <w:t>Figures 2 and 10: authenticated gateway acceptance</w:t>
            </w:r>
          </w:p>
        </w:tc>
      </w:tr>
      <w:tr w:rsidR="00E66F1D" w14:paraId="0745632E" w14:textId="77777777" w:rsidTr="009660AC">
        <w:trPr>
          <w:jc w:val="center"/>
        </w:trPr>
        <w:tc>
          <w:tcPr>
            <w:tcW w:w="3216" w:type="dxa"/>
            <w:tcMar>
              <w:top w:w="65" w:type="dxa"/>
              <w:left w:w="100" w:type="dxa"/>
              <w:bottom w:w="65" w:type="dxa"/>
              <w:right w:w="100" w:type="dxa"/>
            </w:tcMar>
            <w:vAlign w:val="center"/>
          </w:tcPr>
          <w:p w14:paraId="7096CE23" w14:textId="77777777" w:rsidR="00E66F1D" w:rsidRDefault="00E66F1D" w:rsidP="009660AC">
            <w:pPr>
              <w:spacing w:before="40" w:after="100"/>
            </w:pPr>
            <w:r>
              <w:rPr>
                <w:rFonts w:ascii="Calibri" w:hAnsi="Calibri"/>
                <w:b w:val="0"/>
                <w:color w:val="000000"/>
                <w:sz w:val="17"/>
              </w:rPr>
              <w:t>Dashboard reachability</w:t>
            </w:r>
          </w:p>
        </w:tc>
        <w:tc>
          <w:tcPr>
            <w:tcW w:w="3216" w:type="dxa"/>
            <w:tcMar>
              <w:top w:w="65" w:type="dxa"/>
              <w:left w:w="100" w:type="dxa"/>
              <w:bottom w:w="65" w:type="dxa"/>
              <w:right w:w="100" w:type="dxa"/>
            </w:tcMar>
            <w:vAlign w:val="center"/>
          </w:tcPr>
          <w:p w14:paraId="646F16F0" w14:textId="77777777" w:rsidR="00E66F1D" w:rsidRDefault="00E66F1D" w:rsidP="009660AC">
            <w:pPr>
              <w:spacing w:before="40" w:after="100"/>
            </w:pPr>
            <w:r>
              <w:rPr>
                <w:rFonts w:ascii="Calibri" w:hAnsi="Calibri"/>
                <w:b w:val="0"/>
                <w:color w:val="000000"/>
                <w:sz w:val="17"/>
              </w:rPr>
              <w:t>Dashboard loads from designated operator computer</w:t>
            </w:r>
          </w:p>
        </w:tc>
        <w:tc>
          <w:tcPr>
            <w:tcW w:w="3216" w:type="dxa"/>
            <w:tcMar>
              <w:top w:w="65" w:type="dxa"/>
              <w:left w:w="100" w:type="dxa"/>
              <w:bottom w:w="65" w:type="dxa"/>
              <w:right w:w="100" w:type="dxa"/>
            </w:tcMar>
            <w:vAlign w:val="center"/>
          </w:tcPr>
          <w:p w14:paraId="14CFE9B4" w14:textId="77777777" w:rsidR="00F006B3" w:rsidRDefault="00540119">
            <w:pPr>
              <w:spacing w:before="40" w:after="100"/>
            </w:pPr>
            <w:r>
              <w:rPr>
                <w:rFonts w:ascii="Calibri" w:hAnsi="Calibri"/>
                <w:b w:val="0"/>
                <w:color w:val="000000"/>
                <w:sz w:val="17"/>
              </w:rPr>
              <w:t>Figures 7 and 13: monitoring interface in project environment</w:t>
            </w:r>
          </w:p>
        </w:tc>
      </w:tr>
      <w:tr w:rsidR="00E66F1D" w14:paraId="69BECD2D" w14:textId="77777777" w:rsidTr="009660AC">
        <w:trPr>
          <w:jc w:val="center"/>
        </w:trPr>
        <w:tc>
          <w:tcPr>
            <w:tcW w:w="3216" w:type="dxa"/>
            <w:tcMar>
              <w:top w:w="65" w:type="dxa"/>
              <w:left w:w="100" w:type="dxa"/>
              <w:bottom w:w="65" w:type="dxa"/>
              <w:right w:w="100" w:type="dxa"/>
            </w:tcMar>
            <w:vAlign w:val="center"/>
          </w:tcPr>
          <w:p w14:paraId="0BFA8573" w14:textId="77777777" w:rsidR="00E66F1D" w:rsidRDefault="00E66F1D" w:rsidP="009660AC">
            <w:pPr>
              <w:spacing w:before="40" w:after="100"/>
            </w:pPr>
            <w:r>
              <w:rPr>
                <w:rFonts w:ascii="Calibri" w:hAnsi="Calibri"/>
                <w:b w:val="0"/>
                <w:color w:val="000000"/>
                <w:sz w:val="17"/>
              </w:rPr>
              <w:t>Attack path</w:t>
            </w:r>
          </w:p>
        </w:tc>
        <w:tc>
          <w:tcPr>
            <w:tcW w:w="3216" w:type="dxa"/>
            <w:tcMar>
              <w:top w:w="65" w:type="dxa"/>
              <w:left w:w="100" w:type="dxa"/>
              <w:bottom w:w="65" w:type="dxa"/>
              <w:right w:w="100" w:type="dxa"/>
            </w:tcMar>
            <w:vAlign w:val="center"/>
          </w:tcPr>
          <w:p w14:paraId="24DE46EC" w14:textId="77777777" w:rsidR="00E66F1D" w:rsidRDefault="00E66F1D" w:rsidP="009660AC">
            <w:pPr>
              <w:spacing w:before="40" w:after="100"/>
            </w:pPr>
            <w:r>
              <w:rPr>
                <w:rFonts w:ascii="Calibri" w:hAnsi="Calibri"/>
                <w:b w:val="0"/>
                <w:color w:val="000000"/>
                <w:sz w:val="17"/>
              </w:rPr>
              <w:t>Invalid payload reaches verification and is rejected</w:t>
            </w:r>
          </w:p>
        </w:tc>
        <w:tc>
          <w:tcPr>
            <w:tcW w:w="3216" w:type="dxa"/>
            <w:tcMar>
              <w:top w:w="65" w:type="dxa"/>
              <w:left w:w="100" w:type="dxa"/>
              <w:bottom w:w="65" w:type="dxa"/>
              <w:right w:w="100" w:type="dxa"/>
            </w:tcMar>
            <w:vAlign w:val="center"/>
          </w:tcPr>
          <w:p w14:paraId="7E53A3C6" w14:textId="77777777" w:rsidR="00F006B3" w:rsidRDefault="00540119">
            <w:pPr>
              <w:spacing w:before="40" w:after="100"/>
            </w:pPr>
            <w:r>
              <w:rPr>
                <w:rFonts w:ascii="Calibri" w:hAnsi="Calibri"/>
                <w:b w:val="0"/>
                <w:color w:val="000000"/>
                <w:sz w:val="17"/>
              </w:rPr>
              <w:t>Figure 11: replay rejection recorded; wrong-HMAC test requires separate evidence</w:t>
            </w:r>
          </w:p>
        </w:tc>
      </w:tr>
      <w:tr w:rsidR="00E66F1D" w14:paraId="58508CBF" w14:textId="77777777" w:rsidTr="009660AC">
        <w:trPr>
          <w:jc w:val="center"/>
        </w:trPr>
        <w:tc>
          <w:tcPr>
            <w:tcW w:w="3216" w:type="dxa"/>
            <w:tcMar>
              <w:top w:w="65" w:type="dxa"/>
              <w:left w:w="100" w:type="dxa"/>
              <w:bottom w:w="65" w:type="dxa"/>
              <w:right w:w="100" w:type="dxa"/>
            </w:tcMar>
            <w:vAlign w:val="center"/>
          </w:tcPr>
          <w:p w14:paraId="57D22711" w14:textId="77777777" w:rsidR="00E66F1D" w:rsidRDefault="00E66F1D" w:rsidP="009660AC">
            <w:pPr>
              <w:spacing w:before="40" w:after="100"/>
            </w:pPr>
            <w:r>
              <w:rPr>
                <w:rFonts w:ascii="Calibri" w:hAnsi="Calibri"/>
                <w:b w:val="0"/>
                <w:color w:val="000000"/>
                <w:sz w:val="17"/>
              </w:rPr>
              <w:t>Fallback</w:t>
            </w:r>
          </w:p>
        </w:tc>
        <w:tc>
          <w:tcPr>
            <w:tcW w:w="3216" w:type="dxa"/>
            <w:tcMar>
              <w:top w:w="65" w:type="dxa"/>
              <w:left w:w="100" w:type="dxa"/>
              <w:bottom w:w="65" w:type="dxa"/>
              <w:right w:w="100" w:type="dxa"/>
            </w:tcMar>
            <w:vAlign w:val="center"/>
          </w:tcPr>
          <w:p w14:paraId="34318A59" w14:textId="77777777" w:rsidR="00E66F1D" w:rsidRDefault="00E66F1D" w:rsidP="009660AC">
            <w:pPr>
              <w:spacing w:before="40" w:after="100"/>
            </w:pPr>
            <w:r>
              <w:rPr>
                <w:rFonts w:ascii="Calibri" w:hAnsi="Calibri"/>
                <w:b w:val="0"/>
                <w:color w:val="000000"/>
                <w:sz w:val="17"/>
              </w:rPr>
              <w:t>Local attacker produces equivalent demonstration</w:t>
            </w:r>
          </w:p>
        </w:tc>
        <w:tc>
          <w:tcPr>
            <w:tcW w:w="3216" w:type="dxa"/>
            <w:tcMar>
              <w:top w:w="65" w:type="dxa"/>
              <w:left w:w="100" w:type="dxa"/>
              <w:bottom w:w="65" w:type="dxa"/>
              <w:right w:w="100" w:type="dxa"/>
            </w:tcMar>
            <w:vAlign w:val="center"/>
          </w:tcPr>
          <w:p w14:paraId="6B9543A2" w14:textId="77777777" w:rsidR="00F006B3" w:rsidRDefault="00540119">
            <w:pPr>
              <w:spacing w:before="40" w:after="100"/>
            </w:pPr>
            <w:r>
              <w:rPr>
                <w:rFonts w:ascii="Calibri" w:hAnsi="Calibri"/>
                <w:b w:val="0"/>
                <w:color w:val="000000"/>
                <w:sz w:val="17"/>
              </w:rPr>
              <w:t>Attacker1 scripts present in export; fallback live run not evidenced</w:t>
            </w:r>
          </w:p>
        </w:tc>
      </w:tr>
    </w:tbl>
    <w:p w14:paraId="25344EA2" w14:textId="77777777" w:rsidR="00E66F1D" w:rsidRDefault="00E66F1D">
      <w:pPr>
        <w:spacing w:after="100" w:before="40"/>
      </w:pPr>
    </w:p>
    <w:p w14:paraId="62B96F1F" w14:textId="77777777" w:rsidR="00252995" w:rsidRDefault="00252995">
      <w:pPr>
        <w:spacing w:after="100" w:before="40"/>
        <w:jc w:val="center"/>
        <w:rPr>
          <w:i/>
          <w:color w:val="646464"/>
        </w:rPr>
      </w:pPr>
      <w:r w:rsidRPr="00252995">
        <w:rPr>
          <w:rFonts w:ascii="Calibri" w:hAnsi="Calibri"/>
          <w:i/>
          <w:noProof/>
          <w:color w:val="000000"/>
          <w:sz w:val="20"/>
        </w:rPr>
        <w:drawing>
          <wp:inline distT="0" distB="0" distL="0" distR="0" wp14:anchorId="5137422A" wp14:editId="04091B81">
            <wp:extent cx="5120640" cy="2565627"/>
            <wp:effectExtent l="0" t="0" r="0" b="4445"/>
            <wp:docPr id="7699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572" name=""/>
                    <pic:cNvPicPr/>
                  </pic:nvPicPr>
                  <pic:blipFill>
                    <a:blip r:embed="rId16"/>
                    <a:stretch>
                      <a:fillRect/>
                    </a:stretch>
                  </pic:blipFill>
                  <pic:spPr>
                    <a:xfrm>
                      <a:off x="0" y="0"/>
                      <a:ext cx="5120640" cy="2565627"/>
                    </a:xfrm>
                    <a:prstGeom prst="rect">
                      <a:avLst/>
                    </a:prstGeom>
                  </pic:spPr>
                </pic:pic>
              </a:graphicData>
            </a:graphic>
          </wp:inline>
        </w:drawing>
      </w:r>
    </w:p>
    <w:p w14:paraId="7EE8E308" w14:textId="77777777" w:rsidR="005848E1" w:rsidRDefault="00540119">
      <w:pPr>
        <w:pStyle w:val="AQCaption"/>
        <w:spacing w:after="140" w:before="160"/>
        <w:jc w:val="center"/>
      </w:pPr>
      <w:r>
        <w:rPr>
          <w:color w:val="000000"/>
        </w:rPr>
        <w:t>Figure 6: Exported GNS3 topology and logical network links (not a verified inventory of all host IP addresses).</w:t>
      </w:r>
    </w:p>
    <w:p w14:paraId="475AA3E4" w14:textId="77777777" w:rsidR="00FA5610" w:rsidRDefault="00FA5610">
      <w:pPr>
        <w:spacing w:after="100" w:before="40"/>
        <w:jc w:val="center"/>
        <w:rPr>
          <w:i/>
        </w:rPr>
      </w:pPr>
      <w:r w:rsidRPr="00FA5610">
        <w:rPr>
          <w:rFonts w:ascii="Calibri" w:hAnsi="Calibri"/>
          <w:i/>
          <w:noProof/>
          <w:color w:val="000000"/>
          <w:sz w:val="20"/>
        </w:rPr>
        <w:lastRenderedPageBreak/>
        <w:drawing>
          <wp:inline distT="0" distB="0" distL="0" distR="0" wp14:anchorId="0A694A3E" wp14:editId="2AAD2C5C">
            <wp:extent cx="5120640" cy="2782171"/>
            <wp:effectExtent l="0" t="0" r="0" b="1270"/>
            <wp:docPr id="194095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8268" name=""/>
                    <pic:cNvPicPr/>
                  </pic:nvPicPr>
                  <pic:blipFill>
                    <a:blip r:embed="rId17"/>
                    <a:stretch>
                      <a:fillRect/>
                    </a:stretch>
                  </pic:blipFill>
                  <pic:spPr>
                    <a:xfrm>
                      <a:off x="0" y="0"/>
                      <a:ext cx="5120640" cy="2782171"/>
                    </a:xfrm>
                    <a:prstGeom prst="rect">
                      <a:avLst/>
                    </a:prstGeom>
                  </pic:spPr>
                </pic:pic>
              </a:graphicData>
            </a:graphic>
          </wp:inline>
        </w:drawing>
      </w:r>
    </w:p>
    <w:p w14:paraId="7B4E3093" w14:textId="77777777" w:rsidR="005848E1" w:rsidRDefault="00540119">
      <w:pPr>
        <w:pStyle w:val="AQCaption"/>
        <w:spacing w:after="140" w:before="160"/>
        <w:jc w:val="center"/>
      </w:pPr>
      <w:r>
        <w:rPr>
          <w:color w:val="000000"/>
        </w:rPr>
        <w:t>Figure 7: Captured dashboard, topology and gateway-console evidence from the prototype environment.</w:t>
      </w:r>
    </w:p>
    <w:p w14:paraId="01AA73F0" w14:textId="77777777" w:rsidR="005848E1" w:rsidRDefault="00540119">
      <w:pPr>
        <w:pStyle w:val="Heading2"/>
        <w:spacing w:after="140" w:before="160"/>
      </w:pPr>
      <w:r>
        <w:rPr>
          <w:rFonts w:ascii="Calibri" w:hAnsi="Calibri"/>
          <w:color w:val="000000"/>
          <w:sz w:val="20"/>
        </w:rPr>
        <w:t>3.6 Deployment boundary and reproducibility</w:t>
      </w:r>
    </w:p>
    <w:p w14:paraId="032E6D79" w14:textId="77777777" w:rsidR="005848E1" w:rsidRDefault="00540119">
      <w:pPr>
        <w:spacing w:after="100" w:before="40"/>
      </w:pPr>
      <w:r>
        <w:rPr>
          <w:rFonts w:ascii="Calibri" w:hAnsi="Calibri"/>
          <w:color w:val="000000"/>
          <w:sz w:val="20"/>
        </w:rPr>
        <w:t>The network is a controlled prototype, not the private fibre or industrial field network proposed for the full aquaculture farm. Technical Artefact 7 presents the reproduction procedure, including VM roles, broker setup, service launch order and validation commands. Detailed security test results belong in Artefact 4 and system validation measurements in Artefact 5.</w:t>
      </w:r>
    </w:p>
    <w:p w14:paraId="272A5FAD" w14:textId="77777777" w:rsidR="00FF39E2" w:rsidRDefault="00540119">
      <w:pPr>
        <w:pStyle w:val="Heading1"/>
        <w:spacing w:after="140" w:before="160"/>
      </w:pPr>
      <w:r>
        <w:rPr>
          <w:rFonts w:ascii="Calibri" w:hAnsi="Calibri"/>
          <w:color w:val="000000"/>
          <w:sz w:val="20"/>
        </w:rPr>
        <w:t>4. Sensor Simulation &amp; Data Transmission</w:t>
      </w:r>
    </w:p>
    <w:p w14:paraId="1FA53A79" w14:textId="77777777" w:rsidR="00FF39E2" w:rsidRDefault="00540119">
      <w:pPr>
        <w:pStyle w:val="Heading2"/>
        <w:spacing w:after="140" w:before="160"/>
      </w:pPr>
      <w:r>
        <w:rPr>
          <w:rFonts w:ascii="Calibri" w:hAnsi="Calibri"/>
          <w:color w:val="000000"/>
          <w:sz w:val="20"/>
        </w:rPr>
        <w:t>4.1 Sensor sources and implementation approach</w:t>
      </w:r>
    </w:p>
    <w:p w14:paraId="20C102DC" w14:textId="77777777" w:rsidR="00FF39E2" w:rsidRDefault="00540119">
      <w:pPr>
        <w:spacing w:after="100" w:before="40"/>
      </w:pPr>
      <w:r>
        <w:rPr>
          <w:rFonts w:ascii="Calibri" w:hAnsi="Calibri"/>
          <w:color w:val="000000"/>
          <w:sz w:val="20"/>
        </w:rPr>
        <w:t>We used one physical temperature sensor and simulated dissolved oxygen and pH sources. This gives us real sensor input while keeping the rest of the project practical for a university lab. The simulated readings are for checking data flow and security, not for proving real pond conditions.</w:t>
      </w:r>
    </w:p>
    <w:p w14:paraId="27976FAA" w14:textId="77777777" w:rsidR="00FF39E2" w:rsidRDefault="00540119">
      <w:pPr>
        <w:pStyle w:val="Heading2"/>
        <w:spacing w:after="140" w:before="160"/>
      </w:pPr>
      <w:r>
        <w:rPr>
          <w:rFonts w:ascii="Calibri" w:hAnsi="Calibri"/>
          <w:color w:val="000000"/>
          <w:sz w:val="20"/>
        </w:rPr>
        <w:t>4.2 Sensor publisher workflow</w:t>
      </w:r>
    </w:p>
    <w:p w14:paraId="77A39A01" w14:textId="77777777" w:rsidR="00FF39E2" w:rsidRDefault="00540119">
      <w:pPr>
        <w:spacing w:after="100" w:before="40"/>
      </w:pPr>
      <w:r>
        <w:rPr>
          <w:rFonts w:ascii="Calibri" w:hAnsi="Calibri"/>
          <w:color w:val="000000"/>
          <w:sz w:val="20"/>
        </w:rPr>
        <w:t>Each publisher associates a measurement with a sensor identity, pond, type, unit, timestamp and monotonically increasing sequence number before generating the HMAC and sending JSON over MQTT. The GNS3 gateway subscribes to the relevant topics and independently checks authenticity and freshness. The DO and pH publishers are separate from the physical TEMP-001 publisher.</w:t>
      </w:r>
    </w:p>
    <w:tbl>
      <w:tblPr>
        <w:tblStyle w:val="TableGrid"/>
        <w:tblW w:w="0" w:type="auto"/>
        <w:jc w:val="center"/>
        <w:tblLook w:val="04A0" w:firstRow="1" w:lastRow="0" w:firstColumn="1" w:lastColumn="0" w:noHBand="0" w:noVBand="1"/>
      </w:tblPr>
      <w:tblGrid>
        <w:gridCol w:w="3216"/>
        <w:gridCol w:w="3216"/>
        <w:gridCol w:w="3216"/>
      </w:tblGrid>
      <w:tr w:rsidR="00E66F1D" w14:paraId="1F965E67" w14:textId="77777777" w:rsidTr="009660AC">
        <w:trPr>
          <w:tblHeader/>
          <w:jc w:val="center"/>
        </w:trPr>
        <w:tc>
          <w:tcPr>
            <w:tcW w:w="3216" w:type="dxa"/>
            <w:tcMar>
              <w:top w:w="65" w:type="dxa"/>
              <w:left w:w="100" w:type="dxa"/>
              <w:bottom w:w="65" w:type="dxa"/>
              <w:right w:w="100" w:type="dxa"/>
            </w:tcMar>
            <w:vAlign w:val="center"/>
          </w:tcPr>
          <w:p w14:paraId="5A5822FB" w14:textId="77777777" w:rsidR="00E66F1D" w:rsidRDefault="00E66F1D" w:rsidP="009660AC">
            <w:pPr>
              <w:spacing w:before="40" w:after="100"/>
            </w:pPr>
            <w:r>
              <w:rPr>
                <w:rFonts w:ascii="Calibri" w:hAnsi="Calibri"/>
                <w:b/>
                <w:color w:val="000000"/>
                <w:sz w:val="17"/>
              </w:rPr>
              <w:t>Source</w:t>
            </w:r>
          </w:p>
        </w:tc>
        <w:tc>
          <w:tcPr>
            <w:tcW w:w="3216" w:type="dxa"/>
            <w:tcMar>
              <w:top w:w="65" w:type="dxa"/>
              <w:left w:w="100" w:type="dxa"/>
              <w:bottom w:w="65" w:type="dxa"/>
              <w:right w:w="100" w:type="dxa"/>
            </w:tcMar>
            <w:vAlign w:val="center"/>
          </w:tcPr>
          <w:p w14:paraId="0242D286" w14:textId="77777777" w:rsidR="00E66F1D" w:rsidRDefault="00E66F1D" w:rsidP="009660AC">
            <w:pPr>
              <w:spacing w:before="40" w:after="100"/>
            </w:pPr>
            <w:r>
              <w:rPr>
                <w:rFonts w:ascii="Calibri" w:hAnsi="Calibri"/>
                <w:b/>
                <w:color w:val="000000"/>
                <w:sz w:val="17"/>
              </w:rPr>
              <w:t>Implementation</w:t>
            </w:r>
          </w:p>
        </w:tc>
        <w:tc>
          <w:tcPr>
            <w:tcW w:w="3216" w:type="dxa"/>
            <w:tcMar>
              <w:top w:w="65" w:type="dxa"/>
              <w:left w:w="100" w:type="dxa"/>
              <w:bottom w:w="65" w:type="dxa"/>
              <w:right w:w="100" w:type="dxa"/>
            </w:tcMar>
            <w:vAlign w:val="center"/>
          </w:tcPr>
          <w:p w14:paraId="58932244" w14:textId="77777777" w:rsidR="00E66F1D" w:rsidRDefault="00E66F1D" w:rsidP="009660AC">
            <w:pPr>
              <w:spacing w:before="40" w:after="100"/>
            </w:pPr>
            <w:r>
              <w:rPr>
                <w:rFonts w:ascii="Calibri" w:hAnsi="Calibri"/>
                <w:b/>
                <w:color w:val="000000"/>
                <w:sz w:val="17"/>
              </w:rPr>
              <w:t>Data path / confirmation</w:t>
            </w:r>
          </w:p>
        </w:tc>
      </w:tr>
      <w:tr w:rsidR="00E66F1D" w14:paraId="206F832C" w14:textId="77777777" w:rsidTr="009660AC">
        <w:trPr>
          <w:jc w:val="center"/>
        </w:trPr>
        <w:tc>
          <w:tcPr>
            <w:tcW w:w="3216" w:type="dxa"/>
            <w:tcMar>
              <w:top w:w="65" w:type="dxa"/>
              <w:left w:w="100" w:type="dxa"/>
              <w:bottom w:w="65" w:type="dxa"/>
              <w:right w:w="100" w:type="dxa"/>
            </w:tcMar>
            <w:vAlign w:val="center"/>
          </w:tcPr>
          <w:p w14:paraId="66B05BC6" w14:textId="77777777" w:rsidR="00E66F1D" w:rsidRDefault="00E66F1D" w:rsidP="009660AC">
            <w:pPr>
              <w:spacing w:before="40" w:after="100"/>
            </w:pPr>
            <w:r>
              <w:rPr>
                <w:rFonts w:ascii="Calibri" w:hAnsi="Calibri"/>
                <w:b w:val="0"/>
                <w:color w:val="000000"/>
                <w:sz w:val="17"/>
              </w:rPr>
              <w:t>Dissolved oxygen</w:t>
            </w:r>
          </w:p>
        </w:tc>
        <w:tc>
          <w:tcPr>
            <w:tcW w:w="3216" w:type="dxa"/>
            <w:tcMar>
              <w:top w:w="65" w:type="dxa"/>
              <w:left w:w="100" w:type="dxa"/>
              <w:bottom w:w="65" w:type="dxa"/>
              <w:right w:w="100" w:type="dxa"/>
            </w:tcMar>
            <w:vAlign w:val="center"/>
          </w:tcPr>
          <w:p w14:paraId="16BDAA47" w14:textId="77777777" w:rsidR="00E66F1D" w:rsidRDefault="00E66F1D" w:rsidP="009660AC">
            <w:pPr>
              <w:spacing w:before="40" w:after="100"/>
            </w:pPr>
            <w:r>
              <w:rPr>
                <w:rFonts w:ascii="Calibri" w:hAnsi="Calibri"/>
                <w:b w:val="0"/>
                <w:color w:val="000000"/>
                <w:sz w:val="17"/>
              </w:rPr>
              <w:t>Python sensor publisher (DO-001)</w:t>
            </w:r>
          </w:p>
        </w:tc>
        <w:tc>
          <w:tcPr>
            <w:tcW w:w="3216" w:type="dxa"/>
            <w:tcMar>
              <w:top w:w="65" w:type="dxa"/>
              <w:left w:w="100" w:type="dxa"/>
              <w:bottom w:w="65" w:type="dxa"/>
              <w:right w:w="100" w:type="dxa"/>
            </w:tcMar>
            <w:vAlign w:val="center"/>
          </w:tcPr>
          <w:p w14:paraId="053A1620" w14:textId="77777777" w:rsidR="00F006B3" w:rsidRDefault="00540119">
            <w:pPr>
              <w:spacing w:before="40" w:after="100"/>
            </w:pPr>
            <w:r>
              <w:rPr>
                <w:rFonts w:ascii="Calibri" w:hAnsi="Calibri"/>
                <w:b w:val="0"/>
                <w:color w:val="000000"/>
                <w:sz w:val="17"/>
              </w:rPr>
              <w:t>aq1/team2/sensors/dissolved_oxygen; five-second interval in exported script</w:t>
            </w:r>
          </w:p>
        </w:tc>
      </w:tr>
      <w:tr w:rsidR="00E66F1D" w14:paraId="2FD8CB8E" w14:textId="77777777" w:rsidTr="009660AC">
        <w:trPr>
          <w:jc w:val="center"/>
        </w:trPr>
        <w:tc>
          <w:tcPr>
            <w:tcW w:w="3216" w:type="dxa"/>
            <w:tcMar>
              <w:top w:w="65" w:type="dxa"/>
              <w:left w:w="100" w:type="dxa"/>
              <w:bottom w:w="65" w:type="dxa"/>
              <w:right w:w="100" w:type="dxa"/>
            </w:tcMar>
            <w:vAlign w:val="center"/>
          </w:tcPr>
          <w:p w14:paraId="7107F5A4" w14:textId="77777777" w:rsidR="00E66F1D" w:rsidRDefault="00E66F1D" w:rsidP="009660AC">
            <w:pPr>
              <w:spacing w:before="40" w:after="100"/>
            </w:pPr>
            <w:r>
              <w:rPr>
                <w:rFonts w:ascii="Calibri" w:hAnsi="Calibri"/>
                <w:b w:val="0"/>
                <w:color w:val="000000"/>
                <w:sz w:val="17"/>
              </w:rPr>
              <w:t>pH</w:t>
            </w:r>
          </w:p>
        </w:tc>
        <w:tc>
          <w:tcPr>
            <w:tcW w:w="3216" w:type="dxa"/>
            <w:tcMar>
              <w:top w:w="65" w:type="dxa"/>
              <w:left w:w="100" w:type="dxa"/>
              <w:bottom w:w="65" w:type="dxa"/>
              <w:right w:w="100" w:type="dxa"/>
            </w:tcMar>
            <w:vAlign w:val="center"/>
          </w:tcPr>
          <w:p w14:paraId="5967796E" w14:textId="77777777" w:rsidR="00E66F1D" w:rsidRDefault="00E66F1D" w:rsidP="009660AC">
            <w:pPr>
              <w:spacing w:before="40" w:after="100"/>
            </w:pPr>
            <w:r>
              <w:rPr>
                <w:rFonts w:ascii="Calibri" w:hAnsi="Calibri"/>
                <w:b w:val="0"/>
                <w:color w:val="000000"/>
                <w:sz w:val="17"/>
              </w:rPr>
              <w:t>Python sensor publisher (PH-001)</w:t>
            </w:r>
          </w:p>
        </w:tc>
        <w:tc>
          <w:tcPr>
            <w:tcW w:w="3216" w:type="dxa"/>
            <w:tcMar>
              <w:top w:w="65" w:type="dxa"/>
              <w:left w:w="100" w:type="dxa"/>
              <w:bottom w:w="65" w:type="dxa"/>
              <w:right w:w="100" w:type="dxa"/>
            </w:tcMar>
            <w:vAlign w:val="center"/>
          </w:tcPr>
          <w:p w14:paraId="71AA5DAE" w14:textId="77777777" w:rsidR="00F006B3" w:rsidRDefault="00540119">
            <w:pPr>
              <w:spacing w:before="40" w:after="100"/>
            </w:pPr>
            <w:r>
              <w:rPr>
                <w:rFonts w:ascii="Calibri" w:hAnsi="Calibri"/>
                <w:b w:val="0"/>
                <w:color w:val="000000"/>
                <w:sz w:val="17"/>
              </w:rPr>
              <w:t>aq1/team2/sensors/ph; simulated node present (interval not established here)</w:t>
            </w:r>
          </w:p>
        </w:tc>
      </w:tr>
      <w:tr w:rsidR="00E66F1D" w14:paraId="568A3D9E" w14:textId="77777777" w:rsidTr="009660AC">
        <w:trPr>
          <w:jc w:val="center"/>
        </w:trPr>
        <w:tc>
          <w:tcPr>
            <w:tcW w:w="3216" w:type="dxa"/>
            <w:tcMar>
              <w:top w:w="65" w:type="dxa"/>
              <w:left w:w="100" w:type="dxa"/>
              <w:bottom w:w="65" w:type="dxa"/>
              <w:right w:w="100" w:type="dxa"/>
            </w:tcMar>
            <w:vAlign w:val="center"/>
          </w:tcPr>
          <w:p w14:paraId="2B05DD6E" w14:textId="77777777" w:rsidR="00E66F1D" w:rsidRDefault="00E66F1D" w:rsidP="009660AC">
            <w:pPr>
              <w:spacing w:before="40" w:after="100"/>
            </w:pPr>
            <w:r>
              <w:rPr>
                <w:rFonts w:ascii="Calibri" w:hAnsi="Calibri"/>
                <w:b w:val="0"/>
                <w:color w:val="000000"/>
                <w:sz w:val="17"/>
              </w:rPr>
              <w:t>Temperature</w:t>
            </w:r>
          </w:p>
        </w:tc>
        <w:tc>
          <w:tcPr>
            <w:tcW w:w="3216" w:type="dxa"/>
            <w:tcMar>
              <w:top w:w="65" w:type="dxa"/>
              <w:left w:w="100" w:type="dxa"/>
              <w:bottom w:w="65" w:type="dxa"/>
              <w:right w:w="100" w:type="dxa"/>
            </w:tcMar>
            <w:vAlign w:val="center"/>
          </w:tcPr>
          <w:p w14:paraId="1B0C8C72" w14:textId="77777777" w:rsidR="00E66F1D" w:rsidRDefault="00E66F1D" w:rsidP="009660AC">
            <w:pPr>
              <w:spacing w:before="40" w:after="100"/>
            </w:pPr>
            <w:r>
              <w:rPr>
                <w:rFonts w:ascii="Calibri" w:hAnsi="Calibri"/>
                <w:b w:val="0"/>
                <w:color w:val="000000"/>
                <w:sz w:val="17"/>
              </w:rPr>
              <w:t>Physical sensor and publisher/interface</w:t>
            </w:r>
          </w:p>
        </w:tc>
        <w:tc>
          <w:tcPr>
            <w:tcW w:w="3216" w:type="dxa"/>
            <w:tcMar>
              <w:top w:w="65" w:type="dxa"/>
              <w:left w:w="100" w:type="dxa"/>
              <w:bottom w:w="65" w:type="dxa"/>
              <w:right w:w="100" w:type="dxa"/>
            </w:tcMar>
            <w:vAlign w:val="center"/>
          </w:tcPr>
          <w:p w14:paraId="4B74AFD4" w14:textId="77777777" w:rsidR="00F006B3" w:rsidRDefault="00540119">
            <w:pPr>
              <w:spacing w:before="40" w:after="100"/>
            </w:pPr>
            <w:r>
              <w:rPr>
                <w:rFonts w:ascii="Calibri" w:hAnsi="Calibri"/>
                <w:b w:val="0"/>
                <w:color w:val="000000"/>
                <w:sz w:val="17"/>
              </w:rPr>
              <w:t>ESP32-C3 + DS18B20; aq1/pond1/temperature; Figure 9 records a publisher reading</w:t>
            </w:r>
          </w:p>
        </w:tc>
      </w:tr>
    </w:tbl>
    <w:p w14:paraId="106ABBEE" w14:textId="77777777" w:rsidR="00FF39E2" w:rsidRDefault="00540119">
      <w:pPr>
        <w:pStyle w:val="Heading2"/>
        <w:spacing w:after="140" w:before="160"/>
      </w:pPr>
      <w:r>
        <w:rPr>
          <w:rFonts w:ascii="Calibri" w:hAnsi="Calibri"/>
          <w:color w:val="000000"/>
          <w:sz w:val="20"/>
        </w:rPr>
        <w:lastRenderedPageBreak/>
        <w:t>4.3 Message format and signing</w:t>
      </w:r>
    </w:p>
    <w:p w14:paraId="69B851A8" w14:textId="77777777" w:rsidR="00FF39E2" w:rsidRDefault="00540119">
      <w:pPr>
        <w:spacing w:after="100" w:before="40"/>
      </w:pPr>
      <w:r>
        <w:rPr>
          <w:rFonts w:ascii="Calibri" w:hAnsi="Calibri"/>
          <w:color w:val="000000"/>
          <w:sz w:val="20"/>
        </w:rPr>
        <w:t>The exported source uses JSON and HMAC-SHA256, with strict canonical formatting shared by the publisher and gateway. Physical TEMP-001 signs eight fields: sensor_id|pond_id|sensor_type|value|unit|status|timestamp|sequence. DO-001 and PH-001 sign seven fields without status: sensor_id|pond_id|sensor_type|value|unit|timestamp|sequence. A mismatch in field order or numeric formatting causes verification to fail. The gateway checks the signed data first and then applies sequence-based replay protection. HMAC does not encrypt readings or prevent replay without those additional checks.</w:t>
      </w:r>
    </w:p>
    <w:p w14:paraId="5F217CB6" w14:textId="77777777" w:rsidR="00FF39E2" w:rsidRDefault="00540119">
      <w:pPr>
        <w:spacing w:after="100" w:before="40"/>
      </w:pPr>
      <w:r>
        <w:rPr>
          <w:rFonts w:ascii="Calibri" w:hAnsi="Calibri"/>
          <w:color w:val="000000"/>
          <w:sz w:val="20"/>
        </w:rPr>
        <w:t>Example JSON message structure:</w:t>
      </w:r>
    </w:p>
    <w:p w14:paraId="22BA346D" w14:textId="77777777" w:rsidR="00FF39E2" w:rsidRPr="0081306D" w:rsidRDefault="00540119">
      <w:pPr>
        <w:spacing w:after="100" w:before="40"/>
        <w:rPr>
          <w:b/>
          <w:bCs/>
        </w:rPr>
      </w:pPr>
      <w:r>
        <w:rPr>
          <w:rFonts w:ascii="Calibri" w:hAnsi="Calibri"/>
          <w:color w:val="000000"/>
          <w:sz w:val="20"/>
        </w:rPr>
        <w:t>{"sensor_id":"DO-001","pond_id":"POND-01","sensor_type":"dissolved_oxygen","value":6.7,"unit":"mg/L","timestamp":1791700431,"sequence":7015,"hmac":"&lt;redacted&gt;"}</w:t>
      </w:r>
    </w:p>
    <w:p w14:paraId="5C79F90F" w14:textId="77777777" w:rsidR="00FF39E2" w:rsidRDefault="00540119">
      <w:pPr>
        <w:spacing w:after="100" w:before="40"/>
      </w:pPr>
      <w:r>
        <w:rPr>
          <w:rFonts w:ascii="Calibri" w:hAnsi="Calibri"/>
          <w:color w:val="000000"/>
          <w:sz w:val="20"/>
        </w:rPr>
        <w:t>The HMAC tag is intentionally redacted. This example illustrates the signed-message field structure and is not presented as a captured MQTT packet.</w:t>
      </w:r>
    </w:p>
    <w:p w14:paraId="4E54AEE2" w14:textId="77777777" w:rsidR="00FF39E2" w:rsidRDefault="00540119">
      <w:pPr>
        <w:pStyle w:val="Heading2"/>
        <w:spacing w:after="140" w:before="160"/>
      </w:pPr>
      <w:r>
        <w:rPr>
          <w:rFonts w:ascii="Calibri" w:hAnsi="Calibri"/>
          <w:color w:val="000000"/>
          <w:sz w:val="20"/>
        </w:rPr>
        <w:t>4.4 MQTT publishing and data handling</w:t>
      </w:r>
    </w:p>
    <w:p w14:paraId="21C5E64D" w14:textId="77777777" w:rsidR="00FF39E2" w:rsidRDefault="00540119">
      <w:pPr>
        <w:spacing w:after="100" w:before="40"/>
      </w:pPr>
      <w:r>
        <w:rPr>
          <w:rFonts w:ascii="Calibri" w:hAnsi="Calibri"/>
          <w:color w:val="000000"/>
          <w:sz w:val="20"/>
        </w:rPr>
        <w:t>The public HiveMQ broker carries messages but does not determine whether they are authentic. A sensor publishes to its topic and the Python gateway receives, parses and verifies the signed payload before accepted readings can update trusted state. Publisher scripts store increasing sequence counters, and the gateway maintains replay state in replay_state.json. The transferred gateway checks DO/pH message-age limits and sequence numbers; TEMP-001 uses sequence checking but its millis-based timestamp is not comparable to Unix time. MQTT at port 1883 is not protected by TLS in this demonstration.</w:t>
      </w:r>
    </w:p>
    <w:p w14:paraId="4020D56A" w14:textId="77777777" w:rsidR="00FF39E2" w:rsidRDefault="00540119">
      <w:pPr>
        <w:pStyle w:val="Heading2"/>
        <w:spacing w:after="140" w:before="160"/>
      </w:pPr>
      <w:r>
        <w:rPr>
          <w:rFonts w:ascii="Calibri" w:hAnsi="Calibri"/>
          <w:color w:val="000000"/>
          <w:sz w:val="20"/>
        </w:rPr>
        <w:t>4.5 Fault scenarios and evidence</w:t>
      </w:r>
    </w:p>
    <w:p w14:paraId="46A81B40" w14:textId="77777777" w:rsidR="00FF39E2" w:rsidRDefault="00540119">
      <w:pPr>
        <w:spacing w:after="100" w:before="40"/>
      </w:pPr>
      <w:r>
        <w:rPr>
          <w:rFonts w:ascii="Calibri" w:hAnsi="Calibri"/>
          <w:color w:val="000000"/>
          <w:sz w:val="20"/>
        </w:rPr>
        <w:t>The sensor demonstration covers normal publication, deliberately modified readings and interruption of expected data. The outage demonstration depends on the last accepted reading for each sensor, not simply the most recent received MQTT packet. The figure locations connect publisher output, gateway decisions and dashboard state.</w:t>
      </w:r>
    </w:p>
    <w:p w14:paraId="3A2A34A0" w14:textId="77777777" w:rsidR="00736D30" w:rsidRDefault="00736D30">
      <w:pPr>
        <w:spacing w:after="100" w:before="40"/>
        <w:jc w:val="center"/>
      </w:pPr>
      <w:r w:rsidRPr="00736D30">
        <w:rPr>
          <w:rFonts w:ascii="Calibri" w:hAnsi="Calibri"/>
          <w:noProof/>
          <w:color w:val="000000"/>
          <w:sz w:val="20"/>
        </w:rPr>
        <w:drawing>
          <wp:inline distT="0" distB="0" distL="0" distR="0" wp14:anchorId="6E8B6494" wp14:editId="49B30F29">
            <wp:extent cx="4933950" cy="2950756"/>
            <wp:effectExtent l="0" t="0" r="0" b="2540"/>
            <wp:docPr id="15266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42471" name=""/>
                    <pic:cNvPicPr/>
                  </pic:nvPicPr>
                  <pic:blipFill>
                    <a:blip r:embed="rId18"/>
                    <a:stretch>
                      <a:fillRect/>
                    </a:stretch>
                  </pic:blipFill>
                  <pic:spPr>
                    <a:xfrm>
                      <a:off x="0" y="0"/>
                      <a:ext cx="4938271" cy="2953340"/>
                    </a:xfrm>
                    <a:prstGeom prst="rect">
                      <a:avLst/>
                    </a:prstGeom>
                  </pic:spPr>
                </pic:pic>
              </a:graphicData>
            </a:graphic>
          </wp:inline>
        </w:drawing>
      </w:r>
    </w:p>
    <w:p w14:paraId="0031B7D2" w14:textId="77777777" w:rsidR="00FF39E2" w:rsidRDefault="00540119">
      <w:pPr>
        <w:pStyle w:val="AQCaption"/>
        <w:spacing w:after="140" w:before="160"/>
        <w:jc w:val="center"/>
      </w:pPr>
      <w:r>
        <w:rPr>
          <w:color w:val="000000"/>
        </w:rPr>
        <w:t>Figure 8: DO and pH sensor publishers transmitting JSON readings to MQTT.</w:t>
      </w:r>
    </w:p>
    <w:p w14:paraId="0E6590AA" w14:textId="77777777" w:rsidR="00736D30" w:rsidRDefault="00736D30">
      <w:pPr>
        <w:spacing w:after="100" w:before="40"/>
        <w:jc w:val="center"/>
      </w:pPr>
      <w:r>
        <w:rPr>
          <w:rFonts w:ascii="Calibri" w:hAnsi="Calibri"/>
          <w:noProof/>
          <w:color w:val="000000"/>
          <w:sz w:val="20"/>
        </w:rPr>
        <w:lastRenderedPageBreak/>
        <w:drawing>
          <wp:inline distT="0" distB="0" distL="0" distR="0" wp14:anchorId="7A0FC133" wp14:editId="4973B750">
            <wp:extent cx="2790589" cy="2488565"/>
            <wp:effectExtent l="0" t="0" r="0" b="6985"/>
            <wp:docPr id="68532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r="50548" b="22580"/>
                    <a:stretch>
                      <a:fillRect/>
                    </a:stretch>
                  </pic:blipFill>
                  <pic:spPr bwMode="auto">
                    <a:xfrm>
                      <a:off x="0" y="0"/>
                      <a:ext cx="2793648" cy="2491293"/>
                    </a:xfrm>
                    <a:prstGeom prst="rect">
                      <a:avLst/>
                    </a:prstGeom>
                    <a:noFill/>
                    <a:ln>
                      <a:noFill/>
                    </a:ln>
                    <a:extLst>
                      <a:ext uri="{53640926-AAD7-44D8-BBD7-CCE9431645EC}">
                        <a14:shadowObscured xmlns:a14="http://schemas.microsoft.com/office/drawing/2010/main"/>
                      </a:ext>
                    </a:extLst>
                  </pic:spPr>
                </pic:pic>
              </a:graphicData>
            </a:graphic>
          </wp:inline>
        </w:drawing>
      </w:r>
    </w:p>
    <w:p w14:paraId="696B8506" w14:textId="77777777" w:rsidR="00FF39E2" w:rsidRDefault="00540119">
      <w:pPr>
        <w:pStyle w:val="AQCaption"/>
        <w:spacing w:after="140" w:before="160"/>
        <w:jc w:val="center"/>
      </w:pPr>
      <w:r>
        <w:rPr>
          <w:color w:val="000000"/>
        </w:rPr>
        <w:t>Figure 9: Physical temperature sensor, wiring and corresponding MQTT reading.</w:t>
      </w:r>
    </w:p>
    <w:p w14:paraId="5CDB3963" w14:textId="77777777" w:rsidR="00FF39E2" w:rsidRDefault="00540119">
      <w:pPr>
        <w:pStyle w:val="Heading1"/>
        <w:spacing w:after="140" w:before="160"/>
      </w:pPr>
      <w:r>
        <w:rPr>
          <w:rFonts w:ascii="Calibri" w:hAnsi="Calibri"/>
          <w:color w:val="000000"/>
          <w:sz w:val="20"/>
        </w:rPr>
        <w:t>5. Gateway Implementation &amp; Security Integration</w:t>
      </w:r>
    </w:p>
    <w:p w14:paraId="613560D5" w14:textId="77777777" w:rsidR="00FF39E2" w:rsidRDefault="00540119">
      <w:pPr>
        <w:pStyle w:val="Heading2"/>
        <w:spacing w:after="140" w:before="160"/>
      </w:pPr>
      <w:r>
        <w:rPr>
          <w:rFonts w:ascii="Calibri" w:hAnsi="Calibri"/>
          <w:color w:val="000000"/>
          <w:sz w:val="20"/>
        </w:rPr>
        <w:t>5.1 Verification gateway responsibilities</w:t>
      </w:r>
    </w:p>
    <w:p w14:paraId="57D0AB5C" w14:textId="77777777" w:rsidR="00FF39E2" w:rsidRDefault="00540119">
      <w:pPr>
        <w:spacing w:after="100" w:before="40"/>
      </w:pPr>
      <w:r>
        <w:rPr>
          <w:rFonts w:ascii="Calibri" w:hAnsi="Calibri"/>
          <w:color w:val="000000"/>
          <w:sz w:val="20"/>
        </w:rPr>
        <w:t>The Python gateway decides whether incoming readings can be trusted. It checks the message fields and HMAC, then applies sequence checks before accepting a value. It keeps the last valid reading so the monitoring system can identify missing or invalid updates.</w:t>
      </w:r>
    </w:p>
    <w:p w14:paraId="7B4ADC68" w14:textId="77777777" w:rsidR="00FF39E2" w:rsidRDefault="00540119">
      <w:pPr>
        <w:pStyle w:val="Heading2"/>
        <w:spacing w:after="140" w:before="160"/>
      </w:pPr>
      <w:r>
        <w:rPr>
          <w:rFonts w:ascii="Calibri" w:hAnsi="Calibri"/>
          <w:color w:val="000000"/>
          <w:sz w:val="20"/>
        </w:rPr>
        <w:t>5.2 HMAC-SHA256 integration</w:t>
      </w:r>
    </w:p>
    <w:p w14:paraId="01F688E2" w14:textId="77777777" w:rsidR="00FF39E2" w:rsidRDefault="00540119">
      <w:pPr>
        <w:spacing w:after="100" w:before="40"/>
      </w:pPr>
      <w:r>
        <w:rPr>
          <w:rFonts w:ascii="Calibri" w:hAnsi="Calibri"/>
          <w:color w:val="000000"/>
          <w:sz w:val="20"/>
        </w:rPr>
        <w:t>The sensor publishers and gateway hold corresponding HMAC signing material. The sender produces a tag over a canonical pipe-separated message and the gateway recomputes it independently. Temperature readings use two decimal places in the signed value, while the simulated DO/pH streams use one decimal place. Logs show accepted readings and rejected replay attempts; an HMAC key is not included in this artefact. This is shared-secret authenticity and integrity, not encryption or hardware-bound proof of identity.</w:t>
      </w:r>
    </w:p>
    <w:tbl>
      <w:tblPr>
        <w:tblStyle w:val="TableGrid"/>
        <w:tblW w:w="0" w:type="auto"/>
        <w:jc w:val="center"/>
        <w:tblLook w:val="04A0" w:firstRow="1" w:lastRow="0" w:firstColumn="1" w:lastColumn="0" w:noHBand="0" w:noVBand="1"/>
      </w:tblPr>
      <w:tblGrid>
        <w:gridCol w:w="3216"/>
        <w:gridCol w:w="3216"/>
        <w:gridCol w:w="3216"/>
      </w:tblGrid>
      <w:tr w:rsidR="00E66F1D" w14:paraId="2EECFFE2" w14:textId="77777777" w:rsidTr="009660AC">
        <w:trPr>
          <w:tblHeader/>
          <w:jc w:val="center"/>
        </w:trPr>
        <w:tc>
          <w:tcPr>
            <w:tcW w:w="3216" w:type="dxa"/>
            <w:tcMar>
              <w:top w:w="65" w:type="dxa"/>
              <w:left w:w="100" w:type="dxa"/>
              <w:bottom w:w="65" w:type="dxa"/>
              <w:right w:w="100" w:type="dxa"/>
            </w:tcMar>
            <w:vAlign w:val="center"/>
          </w:tcPr>
          <w:p w14:paraId="69EDE665" w14:textId="77777777" w:rsidR="00E66F1D" w:rsidRPr="0081306D" w:rsidRDefault="00E66F1D" w:rsidP="009660AC">
            <w:pPr>
              <w:spacing w:before="40" w:after="100"/>
              <w:rPr>
                <w:b/>
                <w:bCs/>
              </w:rPr>
            </w:pPr>
            <w:r w:rsidRPr="0081306D">
              <w:rPr>
                <w:rFonts w:ascii="Calibri" w:hAnsi="Calibri"/>
                <w:b/>
                <w:bCs/>
                <w:color w:val="000000"/>
                <w:sz w:val="17"/>
              </w:rPr>
              <w:t>Processing step</w:t>
            </w:r>
          </w:p>
        </w:tc>
        <w:tc>
          <w:tcPr>
            <w:tcW w:w="3216" w:type="dxa"/>
            <w:tcMar>
              <w:top w:w="65" w:type="dxa"/>
              <w:left w:w="100" w:type="dxa"/>
              <w:bottom w:w="65" w:type="dxa"/>
              <w:right w:w="100" w:type="dxa"/>
            </w:tcMar>
            <w:vAlign w:val="center"/>
          </w:tcPr>
          <w:p w14:paraId="66AC958C" w14:textId="77777777" w:rsidR="00E66F1D" w:rsidRPr="0081306D" w:rsidRDefault="00E66F1D" w:rsidP="009660AC">
            <w:pPr>
              <w:spacing w:before="40" w:after="100"/>
              <w:rPr>
                <w:b/>
                <w:bCs/>
              </w:rPr>
            </w:pPr>
            <w:r w:rsidRPr="0081306D">
              <w:rPr>
                <w:rFonts w:ascii="Calibri" w:hAnsi="Calibri"/>
                <w:b/>
                <w:bCs/>
                <w:color w:val="000000"/>
                <w:sz w:val="17"/>
              </w:rPr>
              <w:t xml:space="preserve">Expected gateway </w:t>
            </w:r>
            <w:proofErr w:type="spellStart"/>
            <w:r w:rsidRPr="0081306D">
              <w:rPr>
                <w:rFonts w:ascii="Calibri" w:hAnsi="Calibri"/>
                <w:b/>
                <w:bCs/>
                <w:color w:val="000000"/>
                <w:sz w:val="17"/>
              </w:rPr>
              <w:t>behaviour</w:t>
            </w:r>
            <w:proofErr w:type="spellEnd"/>
          </w:p>
        </w:tc>
        <w:tc>
          <w:tcPr>
            <w:tcW w:w="3216" w:type="dxa"/>
            <w:tcMar>
              <w:top w:w="65" w:type="dxa"/>
              <w:left w:w="100" w:type="dxa"/>
              <w:bottom w:w="65" w:type="dxa"/>
              <w:right w:w="100" w:type="dxa"/>
            </w:tcMar>
            <w:vAlign w:val="center"/>
          </w:tcPr>
          <w:p w14:paraId="05F1F913" w14:textId="77777777" w:rsidR="00E66F1D" w:rsidRPr="0081306D" w:rsidRDefault="00E66F1D" w:rsidP="009660AC">
            <w:pPr>
              <w:spacing w:before="40" w:after="100"/>
              <w:rPr>
                <w:b/>
                <w:bCs/>
              </w:rPr>
            </w:pPr>
            <w:r w:rsidRPr="0081306D">
              <w:rPr>
                <w:rFonts w:ascii="Calibri" w:hAnsi="Calibri"/>
                <w:b/>
                <w:bCs/>
                <w:color w:val="000000"/>
                <w:sz w:val="17"/>
              </w:rPr>
              <w:t xml:space="preserve">Evidence </w:t>
            </w:r>
          </w:p>
        </w:tc>
      </w:tr>
      <w:tr w:rsidR="00E66F1D" w14:paraId="3B6FA283" w14:textId="77777777" w:rsidTr="009660AC">
        <w:trPr>
          <w:jc w:val="center"/>
        </w:trPr>
        <w:tc>
          <w:tcPr>
            <w:tcW w:w="3216" w:type="dxa"/>
            <w:tcMar>
              <w:top w:w="65" w:type="dxa"/>
              <w:left w:w="100" w:type="dxa"/>
              <w:bottom w:w="65" w:type="dxa"/>
              <w:right w:w="100" w:type="dxa"/>
            </w:tcMar>
            <w:vAlign w:val="center"/>
          </w:tcPr>
          <w:p w14:paraId="55213A7F" w14:textId="77777777" w:rsidR="00E66F1D" w:rsidRDefault="00E66F1D" w:rsidP="009660AC">
            <w:pPr>
              <w:spacing w:before="40" w:after="100"/>
            </w:pPr>
            <w:r>
              <w:rPr>
                <w:rFonts w:ascii="Calibri" w:hAnsi="Calibri"/>
                <w:b w:val="0"/>
                <w:color w:val="000000"/>
                <w:sz w:val="17"/>
              </w:rPr>
              <w:t>Receive and parse</w:t>
            </w:r>
          </w:p>
        </w:tc>
        <w:tc>
          <w:tcPr>
            <w:tcW w:w="3216" w:type="dxa"/>
            <w:tcMar>
              <w:top w:w="65" w:type="dxa"/>
              <w:left w:w="100" w:type="dxa"/>
              <w:bottom w:w="65" w:type="dxa"/>
              <w:right w:w="100" w:type="dxa"/>
            </w:tcMar>
            <w:vAlign w:val="center"/>
          </w:tcPr>
          <w:p w14:paraId="76CDF938" w14:textId="77777777" w:rsidR="00E66F1D" w:rsidRDefault="00E66F1D" w:rsidP="009660AC">
            <w:pPr>
              <w:spacing w:before="40" w:after="100"/>
            </w:pPr>
            <w:r>
              <w:rPr>
                <w:rFonts w:ascii="Calibri" w:hAnsi="Calibri"/>
                <w:b w:val="0"/>
                <w:color w:val="000000"/>
                <w:sz w:val="17"/>
              </w:rPr>
              <w:t>Read MQTT payload and validate required JSON fields</w:t>
            </w:r>
          </w:p>
        </w:tc>
        <w:tc>
          <w:tcPr>
            <w:tcW w:w="3216" w:type="dxa"/>
            <w:tcMar>
              <w:top w:w="65" w:type="dxa"/>
              <w:left w:w="100" w:type="dxa"/>
              <w:bottom w:w="65" w:type="dxa"/>
              <w:right w:w="100" w:type="dxa"/>
            </w:tcMar>
            <w:vAlign w:val="center"/>
          </w:tcPr>
          <w:p w14:paraId="56DEC670" w14:textId="77777777" w:rsidR="00F006B3" w:rsidRDefault="00540119">
            <w:pPr>
              <w:spacing w:before="40" w:after="100"/>
            </w:pPr>
            <w:r>
              <w:rPr>
                <w:rFonts w:ascii="Calibri" w:hAnsi="Calibri"/>
                <w:b w:val="0"/>
                <w:color w:val="000000"/>
                <w:sz w:val="17"/>
              </w:rPr>
              <w:t>gateway.py in exported GNS3 project; Figure 10 console</w:t>
            </w:r>
          </w:p>
        </w:tc>
      </w:tr>
      <w:tr w:rsidR="00E66F1D" w14:paraId="3CB98679" w14:textId="77777777" w:rsidTr="009660AC">
        <w:trPr>
          <w:jc w:val="center"/>
        </w:trPr>
        <w:tc>
          <w:tcPr>
            <w:tcW w:w="3216" w:type="dxa"/>
            <w:tcMar>
              <w:top w:w="65" w:type="dxa"/>
              <w:left w:w="100" w:type="dxa"/>
              <w:bottom w:w="65" w:type="dxa"/>
              <w:right w:w="100" w:type="dxa"/>
            </w:tcMar>
            <w:vAlign w:val="center"/>
          </w:tcPr>
          <w:p w14:paraId="44BA3DAD" w14:textId="77777777" w:rsidR="00E66F1D" w:rsidRDefault="00E66F1D" w:rsidP="009660AC">
            <w:pPr>
              <w:spacing w:before="40" w:after="100"/>
            </w:pPr>
            <w:r>
              <w:rPr>
                <w:rFonts w:ascii="Calibri" w:hAnsi="Calibri"/>
                <w:b w:val="0"/>
                <w:color w:val="000000"/>
                <w:sz w:val="17"/>
              </w:rPr>
              <w:t>Identify source</w:t>
            </w:r>
          </w:p>
        </w:tc>
        <w:tc>
          <w:tcPr>
            <w:tcW w:w="3216" w:type="dxa"/>
            <w:tcMar>
              <w:top w:w="65" w:type="dxa"/>
              <w:left w:w="100" w:type="dxa"/>
              <w:bottom w:w="65" w:type="dxa"/>
              <w:right w:w="100" w:type="dxa"/>
            </w:tcMar>
            <w:vAlign w:val="center"/>
          </w:tcPr>
          <w:p w14:paraId="37DCF7A1" w14:textId="77777777" w:rsidR="00E66F1D" w:rsidRDefault="00E66F1D" w:rsidP="009660AC">
            <w:pPr>
              <w:spacing w:before="40" w:after="100"/>
            </w:pPr>
            <w:r>
              <w:rPr>
                <w:rFonts w:ascii="Calibri" w:hAnsi="Calibri"/>
                <w:b w:val="0"/>
                <w:color w:val="000000"/>
                <w:sz w:val="17"/>
              </w:rPr>
              <w:t>Associate sensor ID and type with configured stream</w:t>
            </w:r>
          </w:p>
        </w:tc>
        <w:tc>
          <w:tcPr>
            <w:tcW w:w="3216" w:type="dxa"/>
            <w:tcMar>
              <w:top w:w="65" w:type="dxa"/>
              <w:left w:w="100" w:type="dxa"/>
              <w:bottom w:w="65" w:type="dxa"/>
              <w:right w:w="100" w:type="dxa"/>
            </w:tcMar>
            <w:vAlign w:val="center"/>
          </w:tcPr>
          <w:p w14:paraId="3314B6E7" w14:textId="77777777" w:rsidR="00F006B3" w:rsidRDefault="00540119">
            <w:pPr>
              <w:spacing w:before="40" w:after="100"/>
            </w:pPr>
            <w:r>
              <w:rPr>
                <w:rFonts w:ascii="Calibri" w:hAnsi="Calibri"/>
                <w:b w:val="0"/>
                <w:color w:val="000000"/>
                <w:sz w:val="17"/>
              </w:rPr>
              <w:t>Configured TEMP-001, DO-001, PH-001 identities and topics in gateway.py</w:t>
            </w:r>
          </w:p>
        </w:tc>
      </w:tr>
      <w:tr w:rsidR="00E66F1D" w14:paraId="602D00CE" w14:textId="77777777" w:rsidTr="009660AC">
        <w:trPr>
          <w:jc w:val="center"/>
        </w:trPr>
        <w:tc>
          <w:tcPr>
            <w:tcW w:w="3216" w:type="dxa"/>
            <w:tcMar>
              <w:top w:w="65" w:type="dxa"/>
              <w:left w:w="100" w:type="dxa"/>
              <w:bottom w:w="65" w:type="dxa"/>
              <w:right w:w="100" w:type="dxa"/>
            </w:tcMar>
            <w:vAlign w:val="center"/>
          </w:tcPr>
          <w:p w14:paraId="34689F88" w14:textId="77777777" w:rsidR="00E66F1D" w:rsidRDefault="00E66F1D" w:rsidP="009660AC">
            <w:pPr>
              <w:spacing w:before="40" w:after="100"/>
            </w:pPr>
            <w:r>
              <w:rPr>
                <w:rFonts w:ascii="Calibri" w:hAnsi="Calibri"/>
                <w:b w:val="0"/>
                <w:color w:val="000000"/>
                <w:sz w:val="17"/>
              </w:rPr>
              <w:t>Verify integrity</w:t>
            </w:r>
          </w:p>
        </w:tc>
        <w:tc>
          <w:tcPr>
            <w:tcW w:w="3216" w:type="dxa"/>
            <w:tcMar>
              <w:top w:w="65" w:type="dxa"/>
              <w:left w:w="100" w:type="dxa"/>
              <w:bottom w:w="65" w:type="dxa"/>
              <w:right w:w="100" w:type="dxa"/>
            </w:tcMar>
            <w:vAlign w:val="center"/>
          </w:tcPr>
          <w:p w14:paraId="2CBCFA80" w14:textId="77777777" w:rsidR="00E66F1D" w:rsidRDefault="00E66F1D" w:rsidP="009660AC">
            <w:pPr>
              <w:spacing w:before="40" w:after="100"/>
            </w:pPr>
            <w:r>
              <w:rPr>
                <w:rFonts w:ascii="Calibri" w:hAnsi="Calibri"/>
                <w:b w:val="0"/>
                <w:color w:val="000000"/>
                <w:sz w:val="17"/>
              </w:rPr>
              <w:t>Recompute HMAC and compare with received signature</w:t>
            </w:r>
          </w:p>
        </w:tc>
        <w:tc>
          <w:tcPr>
            <w:tcW w:w="3216" w:type="dxa"/>
            <w:tcMar>
              <w:top w:w="65" w:type="dxa"/>
              <w:left w:w="100" w:type="dxa"/>
              <w:bottom w:w="65" w:type="dxa"/>
              <w:right w:w="100" w:type="dxa"/>
            </w:tcMar>
            <w:vAlign w:val="center"/>
          </w:tcPr>
          <w:p w14:paraId="68E2CF06" w14:textId="77777777" w:rsidR="00F006B3" w:rsidRDefault="00540119">
            <w:pPr>
              <w:spacing w:before="40" w:after="100"/>
            </w:pPr>
            <w:r>
              <w:rPr>
                <w:rFonts w:ascii="Calibri" w:hAnsi="Calibri"/>
                <w:b w:val="0"/>
                <w:color w:val="000000"/>
                <w:sz w:val="17"/>
              </w:rPr>
              <w:t>Figures 2 and 10 for acceptance; Figure 11 for sequence-replay rejection</w:t>
            </w:r>
          </w:p>
        </w:tc>
      </w:tr>
      <w:tr w:rsidR="00E66F1D" w14:paraId="598884AC" w14:textId="77777777" w:rsidTr="009660AC">
        <w:trPr>
          <w:jc w:val="center"/>
        </w:trPr>
        <w:tc>
          <w:tcPr>
            <w:tcW w:w="3216" w:type="dxa"/>
            <w:tcMar>
              <w:top w:w="65" w:type="dxa"/>
              <w:left w:w="100" w:type="dxa"/>
              <w:bottom w:w="65" w:type="dxa"/>
              <w:right w:w="100" w:type="dxa"/>
            </w:tcMar>
            <w:vAlign w:val="center"/>
          </w:tcPr>
          <w:p w14:paraId="3984C0B1" w14:textId="77777777" w:rsidR="00E66F1D" w:rsidRDefault="00E66F1D" w:rsidP="009660AC">
            <w:pPr>
              <w:spacing w:before="40" w:after="100"/>
            </w:pPr>
            <w:r>
              <w:rPr>
                <w:rFonts w:ascii="Calibri" w:hAnsi="Calibri"/>
                <w:b w:val="0"/>
                <w:color w:val="000000"/>
                <w:sz w:val="17"/>
              </w:rPr>
              <w:t>Update monitoring</w:t>
            </w:r>
          </w:p>
        </w:tc>
        <w:tc>
          <w:tcPr>
            <w:tcW w:w="3216" w:type="dxa"/>
            <w:tcMar>
              <w:top w:w="65" w:type="dxa"/>
              <w:left w:w="100" w:type="dxa"/>
              <w:bottom w:w="65" w:type="dxa"/>
              <w:right w:w="100" w:type="dxa"/>
            </w:tcMar>
            <w:vAlign w:val="center"/>
          </w:tcPr>
          <w:p w14:paraId="34E128AF" w14:textId="77777777" w:rsidR="00E66F1D" w:rsidRDefault="00E66F1D" w:rsidP="009660AC">
            <w:pPr>
              <w:spacing w:before="40" w:after="100"/>
            </w:pPr>
            <w:r>
              <w:rPr>
                <w:rFonts w:ascii="Calibri" w:hAnsi="Calibri"/>
                <w:b w:val="0"/>
                <w:color w:val="000000"/>
                <w:sz w:val="17"/>
              </w:rPr>
              <w:t>Forward accepted readings; do not refresh last-valid time on rejection</w:t>
            </w:r>
          </w:p>
        </w:tc>
        <w:tc>
          <w:tcPr>
            <w:tcW w:w="3216" w:type="dxa"/>
            <w:tcMar>
              <w:top w:w="65" w:type="dxa"/>
              <w:left w:w="100" w:type="dxa"/>
              <w:bottom w:w="65" w:type="dxa"/>
              <w:right w:w="100" w:type="dxa"/>
            </w:tcMar>
            <w:vAlign w:val="center"/>
          </w:tcPr>
          <w:p w14:paraId="3CE28802" w14:textId="77777777" w:rsidR="00F006B3" w:rsidRDefault="00540119">
            <w:pPr>
              <w:spacing w:before="40" w:after="100"/>
            </w:pPr>
            <w:r>
              <w:rPr>
                <w:rFonts w:ascii="Calibri" w:hAnsi="Calibri"/>
                <w:b w:val="0"/>
                <w:color w:val="000000"/>
                <w:sz w:val="17"/>
              </w:rPr>
              <w:t>Verified-message event path in Node-RED flows.json; Figure 13 dashboard</w:t>
            </w:r>
          </w:p>
        </w:tc>
      </w:tr>
      <w:tr w:rsidR="00E66F1D" w14:paraId="71DDFD5E" w14:textId="77777777" w:rsidTr="009660AC">
        <w:trPr>
          <w:jc w:val="center"/>
        </w:trPr>
        <w:tc>
          <w:tcPr>
            <w:tcW w:w="3216" w:type="dxa"/>
            <w:tcMar>
              <w:top w:w="65" w:type="dxa"/>
              <w:left w:w="100" w:type="dxa"/>
              <w:bottom w:w="65" w:type="dxa"/>
              <w:right w:w="100" w:type="dxa"/>
            </w:tcMar>
            <w:vAlign w:val="center"/>
          </w:tcPr>
          <w:p w14:paraId="6556B36B" w14:textId="77777777" w:rsidR="00E66F1D" w:rsidRDefault="00E66F1D" w:rsidP="009660AC">
            <w:pPr>
              <w:spacing w:before="40" w:after="100"/>
            </w:pPr>
            <w:r>
              <w:rPr>
                <w:rFonts w:ascii="Calibri" w:hAnsi="Calibri"/>
                <w:b w:val="0"/>
                <w:color w:val="000000"/>
                <w:sz w:val="17"/>
              </w:rPr>
              <w:t>Handle interruption</w:t>
            </w:r>
          </w:p>
        </w:tc>
        <w:tc>
          <w:tcPr>
            <w:tcW w:w="3216" w:type="dxa"/>
            <w:tcMar>
              <w:top w:w="65" w:type="dxa"/>
              <w:left w:w="100" w:type="dxa"/>
              <w:bottom w:w="65" w:type="dxa"/>
              <w:right w:w="100" w:type="dxa"/>
            </w:tcMar>
            <w:vAlign w:val="center"/>
          </w:tcPr>
          <w:p w14:paraId="4A2DF027" w14:textId="77777777" w:rsidR="00E66F1D" w:rsidRDefault="00E66F1D" w:rsidP="009660AC">
            <w:pPr>
              <w:spacing w:before="40" w:after="100"/>
            </w:pPr>
            <w:r>
              <w:rPr>
                <w:rFonts w:ascii="Calibri" w:hAnsi="Calibri"/>
                <w:b w:val="0"/>
                <w:color w:val="000000"/>
                <w:sz w:val="17"/>
              </w:rPr>
              <w:t>Raise stale/outage condition and demonstrate SAFE/HOLD indication</w:t>
            </w:r>
          </w:p>
        </w:tc>
        <w:tc>
          <w:tcPr>
            <w:tcW w:w="3216" w:type="dxa"/>
            <w:tcMar>
              <w:top w:w="65" w:type="dxa"/>
              <w:left w:w="100" w:type="dxa"/>
              <w:bottom w:w="65" w:type="dxa"/>
              <w:right w:w="100" w:type="dxa"/>
            </w:tcMar>
            <w:vAlign w:val="center"/>
          </w:tcPr>
          <w:p w14:paraId="5F62F1AA" w14:textId="77777777" w:rsidR="00F006B3" w:rsidRDefault="00540119">
            <w:pPr>
              <w:spacing w:before="40" w:after="100"/>
            </w:pPr>
            <w:r>
              <w:rPr>
                <w:rFonts w:ascii="Calibri" w:hAnsi="Calibri"/>
                <w:b w:val="0"/>
                <w:color w:val="000000"/>
                <w:sz w:val="17"/>
              </w:rPr>
              <w:t>Figures 3, 12 and 14: outage / software safe-state display</w:t>
            </w:r>
          </w:p>
        </w:tc>
      </w:tr>
    </w:tbl>
    <w:p w14:paraId="6C4DED97" w14:textId="77777777" w:rsidR="00FF39E2" w:rsidRDefault="00540119">
      <w:pPr>
        <w:pStyle w:val="Heading2"/>
        <w:spacing w:after="140" w:before="160"/>
      </w:pPr>
      <w:r>
        <w:rPr>
          <w:rFonts w:ascii="Calibri" w:hAnsi="Calibri"/>
          <w:color w:val="000000"/>
          <w:sz w:val="20"/>
        </w:rPr>
        <w:lastRenderedPageBreak/>
        <w:t>5.3 Rejection handling and attacker demonstration</w:t>
      </w:r>
    </w:p>
    <w:p w14:paraId="04A0B02C" w14:textId="77777777" w:rsidR="00FF39E2" w:rsidRDefault="00540119">
      <w:pPr>
        <w:spacing w:after="100" w:before="40"/>
      </w:pPr>
      <w:r>
        <w:rPr>
          <w:rFonts w:ascii="Calibri" w:hAnsi="Calibri"/>
          <w:color w:val="000000"/>
          <w:sz w:val="20"/>
        </w:rPr>
        <w:t>The exported attacker node includes a forged-message script and capture/replay scripts. The gateway rejects invalidly signed messages, unrecognised sensor/topic combinations and duplicate/older sequence numbers. Figure 11 specifically documents a rejected DO replay attempt; it must not be mislabelled as proof of an HMAC mismatch. The exact attack exercises and observations are addressed in Technical Artefact 4.</w:t>
      </w:r>
    </w:p>
    <w:p w14:paraId="23933445" w14:textId="77777777" w:rsidR="00FF39E2" w:rsidRDefault="00540119">
      <w:pPr>
        <w:pStyle w:val="Heading2"/>
        <w:spacing w:after="140" w:before="160"/>
      </w:pPr>
      <w:r>
        <w:rPr>
          <w:rFonts w:ascii="Calibri" w:hAnsi="Calibri"/>
          <w:color w:val="000000"/>
          <w:sz w:val="20"/>
        </w:rPr>
        <w:t>5.4 Monitoring, outage and SAFE/HOLD interface</w:t>
      </w:r>
    </w:p>
    <w:p w14:paraId="6148FBF4" w14:textId="77777777" w:rsidR="00FF39E2" w:rsidRDefault="00540119">
      <w:pPr>
        <w:spacing w:after="100" w:before="40"/>
      </w:pPr>
      <w:r>
        <w:rPr>
          <w:rFonts w:ascii="Calibri" w:hAnsi="Calibri"/>
          <w:color w:val="000000"/>
          <w:sz w:val="20"/>
        </w:rPr>
        <w:t>Only verified measurements should update the sensor’s last-valid-reading time. When a sensor stops delivering valid information, monitoring can mark it unavailable and raise an alert. The showcase uses a SAFE/HOLD indication to illustrate a protective response when dependable data are missing. This is a software demonstration and does not command physical aerators, pumps or feeders. The prototype demonstrates the transition from current to unavailable sensor information without asserting an unmeasured recovery time.</w:t>
      </w:r>
    </w:p>
    <w:p w14:paraId="47F6A505" w14:textId="77777777" w:rsidR="00FF39E2" w:rsidRDefault="00540119">
      <w:pPr>
        <w:pStyle w:val="Heading2"/>
        <w:spacing w:after="140" w:before="160"/>
      </w:pPr>
      <w:r>
        <w:rPr>
          <w:rFonts w:ascii="Calibri" w:hAnsi="Calibri"/>
          <w:color w:val="000000"/>
          <w:sz w:val="20"/>
        </w:rPr>
        <w:t>5.5 Security limitations and deployment safeguards</w:t>
      </w:r>
    </w:p>
    <w:p w14:paraId="5C258170" w14:textId="77777777" w:rsidR="00FF39E2" w:rsidRDefault="00540119">
      <w:pPr>
        <w:spacing w:after="100" w:before="40"/>
      </w:pPr>
      <w:r>
        <w:rPr>
          <w:rFonts w:ascii="Calibri" w:hAnsi="Calibri"/>
          <w:color w:val="000000"/>
          <w:sz w:val="20"/>
        </w:rPr>
        <w:t>HMAC checks integrity and shared-secret authenticity but cannot encrypt payloads or prevent network disruption. The exported gateway adds sequence-based replay detection with state persistence; simulated DO/pH packets also undergo timestamp freshness checking, while the ESP32 millis timestamp is not Unix time. MQTT broker authentication, TLS, topic ACLs and production-grade device-key management are not established in the transferred showcase. Secrets and credentials must not appear in screenshots or public commits.</w:t>
      </w:r>
    </w:p>
    <w:p w14:paraId="25E3909D" w14:textId="77777777" w:rsidR="00FF39E2" w:rsidRDefault="00540119">
      <w:pPr>
        <w:pStyle w:val="Heading2"/>
        <w:spacing w:after="140" w:before="160"/>
      </w:pPr>
      <w:r>
        <w:rPr>
          <w:rFonts w:ascii="Calibri" w:hAnsi="Calibri"/>
          <w:color w:val="000000"/>
          <w:sz w:val="20"/>
        </w:rPr>
        <w:t>5.6 Integration evidence</w:t>
      </w:r>
    </w:p>
    <w:p w14:paraId="262F923B" w14:textId="77777777" w:rsidR="00FF39E2" w:rsidRDefault="00540119">
      <w:pPr>
        <w:spacing w:after="100" w:before="40"/>
      </w:pPr>
      <w:r>
        <w:rPr>
          <w:rFonts w:ascii="Calibri" w:hAnsi="Calibri"/>
          <w:color w:val="000000"/>
          <w:sz w:val="20"/>
        </w:rPr>
        <w:t>Figures 10–12 show the gateway accepting authenticated sensor messages, rejecting a DO replay and reporting loss of authenticated data. These captures support the indicated gateway behaviour only; they do not prove a real pump or aerator was controlled. The complete test procedure and measured validation remain the subject of Technical Artefacts 4 and 5.</w:t>
      </w:r>
    </w:p>
    <w:p w14:paraId="0A09A7F2" w14:textId="77777777" w:rsidR="00A13F6A" w:rsidRDefault="00A13F6A">
      <w:pPr>
        <w:spacing w:after="100" w:before="40"/>
        <w:jc w:val="center"/>
      </w:pPr>
      <w:r w:rsidRPr="005D4679">
        <w:rPr>
          <w:rFonts w:ascii="Calibri" w:hAnsi="Calibri"/>
          <w:noProof/>
          <w:color w:val="000000"/>
          <w:sz w:val="20"/>
        </w:rPr>
        <w:drawing>
          <wp:inline distT="0" distB="0" distL="0" distR="0" wp14:anchorId="03574CAF" wp14:editId="28E4B741">
            <wp:extent cx="4081503" cy="3067050"/>
            <wp:effectExtent l="0" t="0" r="0" b="0"/>
            <wp:docPr id="6351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4270" name=""/>
                    <pic:cNvPicPr/>
                  </pic:nvPicPr>
                  <pic:blipFill>
                    <a:blip r:embed="rId11"/>
                    <a:stretch>
                      <a:fillRect/>
                    </a:stretch>
                  </pic:blipFill>
                  <pic:spPr>
                    <a:xfrm>
                      <a:off x="0" y="0"/>
                      <a:ext cx="4120473" cy="3096334"/>
                    </a:xfrm>
                    <a:prstGeom prst="rect">
                      <a:avLst/>
                    </a:prstGeom>
                  </pic:spPr>
                </pic:pic>
              </a:graphicData>
            </a:graphic>
          </wp:inline>
        </w:drawing>
      </w:r>
    </w:p>
    <w:p w14:paraId="2F7C9F78" w14:textId="77777777" w:rsidR="00FF39E2" w:rsidRDefault="00540119">
      <w:pPr>
        <w:pStyle w:val="AQCaption"/>
        <w:spacing w:after="140" w:before="160"/>
        <w:jc w:val="center"/>
      </w:pPr>
      <w:r>
        <w:rPr>
          <w:color w:val="000000"/>
        </w:rPr>
        <w:t>Figure 10: Gateway output recording successful verification of authenticated sensor messages.</w:t>
      </w:r>
    </w:p>
    <w:p w14:paraId="5AFE8D0B" w14:textId="77777777" w:rsidR="00A13F6A" w:rsidRDefault="00A13F6A">
      <w:pPr>
        <w:spacing w:after="100" w:before="40"/>
        <w:jc w:val="center"/>
      </w:pPr>
      <w:r w:rsidRPr="00A13F6A">
        <w:rPr>
          <w:rFonts w:ascii="Calibri" w:hAnsi="Calibri"/>
          <w:noProof/>
          <w:color w:val="000000"/>
          <w:sz w:val="20"/>
        </w:rPr>
        <w:lastRenderedPageBreak/>
        <w:drawing>
          <wp:inline distT="0" distB="0" distL="0" distR="0" wp14:anchorId="10B47EA4" wp14:editId="776B203C">
            <wp:extent cx="5120640" cy="1515978"/>
            <wp:effectExtent l="0" t="0" r="0" b="0"/>
            <wp:docPr id="4477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644" name=""/>
                    <pic:cNvPicPr/>
                  </pic:nvPicPr>
                  <pic:blipFill>
                    <a:blip r:embed="rId19"/>
                    <a:stretch>
                      <a:fillRect/>
                    </a:stretch>
                  </pic:blipFill>
                  <pic:spPr>
                    <a:xfrm>
                      <a:off x="0" y="0"/>
                      <a:ext cx="5120640" cy="1515978"/>
                    </a:xfrm>
                    <a:prstGeom prst="rect">
                      <a:avLst/>
                    </a:prstGeom>
                  </pic:spPr>
                </pic:pic>
              </a:graphicData>
            </a:graphic>
          </wp:inline>
        </w:drawing>
      </w:r>
    </w:p>
    <w:p w14:paraId="7275BFA7" w14:textId="77777777" w:rsidR="00FF39E2" w:rsidRDefault="00540119">
      <w:pPr>
        <w:pStyle w:val="AQCaption"/>
        <w:spacing w:after="140" w:before="160"/>
        <w:jc w:val="center"/>
      </w:pPr>
      <w:r>
        <w:rPr>
          <w:color w:val="000000"/>
        </w:rPr>
        <w:t>Figure 11: Rejected replay of a previously accepted DO-001 message.</w:t>
      </w:r>
    </w:p>
    <w:p w14:paraId="2A464FA6" w14:textId="77777777" w:rsidR="00A13F6A" w:rsidRDefault="00A13F6A">
      <w:pPr>
        <w:spacing w:after="100" w:before="40"/>
        <w:jc w:val="center"/>
      </w:pPr>
      <w:r w:rsidRPr="00A13F6A">
        <w:rPr>
          <w:rFonts w:ascii="Calibri" w:hAnsi="Calibri"/>
          <w:noProof/>
          <w:color w:val="000000"/>
          <w:sz w:val="20"/>
        </w:rPr>
        <w:drawing>
          <wp:inline distT="0" distB="0" distL="0" distR="0" wp14:anchorId="7BF0C9EF" wp14:editId="0B1F04CE">
            <wp:extent cx="5120640" cy="2340590"/>
            <wp:effectExtent l="0" t="0" r="0" b="0"/>
            <wp:docPr id="3258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0957" name=""/>
                    <pic:cNvPicPr/>
                  </pic:nvPicPr>
                  <pic:blipFill>
                    <a:blip r:embed="rId20"/>
                    <a:stretch>
                      <a:fillRect/>
                    </a:stretch>
                  </pic:blipFill>
                  <pic:spPr>
                    <a:xfrm>
                      <a:off x="0" y="0"/>
                      <a:ext cx="5120640" cy="2340590"/>
                    </a:xfrm>
                    <a:prstGeom prst="rect">
                      <a:avLst/>
                    </a:prstGeom>
                  </pic:spPr>
                </pic:pic>
              </a:graphicData>
            </a:graphic>
          </wp:inline>
        </w:drawing>
      </w:r>
    </w:p>
    <w:p w14:paraId="666A4F05" w14:textId="77777777" w:rsidR="00FF39E2" w:rsidRDefault="00540119">
      <w:pPr>
        <w:pStyle w:val="AQCaption"/>
        <w:spacing w:after="140" w:before="160"/>
        <w:jc w:val="center"/>
      </w:pPr>
      <w:r>
        <w:rPr>
          <w:color w:val="000000"/>
        </w:rPr>
        <w:t>Figure 12: Gateway log showing loss of authenticated sensor data and software safe-state warning.</w:t>
      </w:r>
    </w:p>
    <w:p w14:paraId="17666A1B" w14:textId="77777777" w:rsidR="00A13F6A" w:rsidRDefault="00A13F6A">
      <w:pPr>
        <w:spacing w:after="100" w:before="40"/>
      </w:pPr>
    </w:p>
    <w:p w14:paraId="4F0147E1" w14:textId="77777777" w:rsidR="00FF39E2" w:rsidRDefault="00540119">
      <w:pPr>
        <w:spacing w:after="100" w:before="40"/>
      </w:pPr>
      <w:r>
        <w:rPr>
          <w:rFonts w:ascii="Calibri" w:hAnsi="Calibri"/>
          <w:color w:val="000000"/>
          <w:sz w:val="20"/>
        </w:rPr>
        <w:t>Project-specific implementation is documented in the team repository (AQ-1 Project Team 2026). MQTT, Python and Node-RED behaviour is supported by the references at the end of this artefact.</w:t>
      </w:r>
    </w:p>
    <w:p w14:paraId="7F2F53CF" w14:textId="77777777" w:rsidR="008903FD" w:rsidRDefault="00540119" w:rsidP="009E0485">
      <w:pPr>
        <w:pStyle w:val="Heading1"/>
        <w:spacing w:after="140" w:before="160"/>
      </w:pPr>
      <w:r>
        <w:rPr>
          <w:rFonts w:ascii="Calibri" w:hAnsi="Calibri"/>
          <w:color w:val="000000"/>
          <w:sz w:val="20"/>
        </w:rPr>
        <w:t>6. Monitoring Dashboard &amp; System Integration</w:t>
      </w:r>
    </w:p>
    <w:p w14:paraId="55AF1A91" w14:textId="77777777" w:rsidR="008903FD" w:rsidRDefault="00540119" w:rsidP="009E0485">
      <w:pPr>
        <w:pStyle w:val="Heading2"/>
        <w:spacing w:after="140" w:before="160"/>
      </w:pPr>
      <w:r>
        <w:rPr>
          <w:rFonts w:ascii="Calibri" w:hAnsi="Calibri"/>
          <w:color w:val="000000"/>
          <w:sz w:val="20"/>
        </w:rPr>
        <w:t>6.1 Dashboard purpose and implementation</w:t>
      </w:r>
    </w:p>
    <w:p w14:paraId="399B1BF2" w14:textId="77777777" w:rsidR="008903FD" w:rsidRDefault="00540119">
      <w:pPr>
        <w:spacing w:after="100" w:before="40"/>
      </w:pPr>
      <w:r>
        <w:rPr>
          <w:rFonts w:ascii="Calibri" w:hAnsi="Calibri"/>
          <w:color w:val="000000"/>
          <w:sz w:val="20"/>
        </w:rPr>
        <w:t>The Node-RED dashboard is the operator view of our prototype. It is intended to show accepted sensor readings and alerts rather than treating every MQTT message as correct. SQLite is used to store monitoring data and events.</w:t>
      </w:r>
    </w:p>
    <w:p w14:paraId="0E8BE2A4" w14:textId="77777777" w:rsidR="008903FD" w:rsidRDefault="00540119" w:rsidP="009E0485">
      <w:pPr>
        <w:pStyle w:val="Heading2"/>
        <w:spacing w:after="140" w:before="160"/>
      </w:pPr>
      <w:r>
        <w:rPr>
          <w:rFonts w:ascii="Calibri" w:hAnsi="Calibri"/>
          <w:color w:val="000000"/>
          <w:sz w:val="20"/>
        </w:rPr>
        <w:t>6.2 Trusted reading and status flow</w:t>
      </w:r>
    </w:p>
    <w:p w14:paraId="27826B3F" w14:textId="77777777" w:rsidR="008903FD" w:rsidRDefault="00540119">
      <w:pPr>
        <w:spacing w:after="100" w:before="40"/>
      </w:pPr>
      <w:r>
        <w:rPr>
          <w:rFonts w:ascii="Calibri" w:hAnsi="Calibri"/>
          <w:color w:val="000000"/>
          <w:sz w:val="20"/>
        </w:rPr>
        <w:t>The implemented logical path is sensor publisher → HiveMQ MQTT broker → Python GNS3 verification gateway → verified-event topics → Node-RED dashboard and SQLite storage. Failed signatures, invalid sequences and stale messages are excluded from the accepted-reading path. Sensor availability is monitored separately using the timestamp of the last verified packet, preventing invalid traffic from resetting a source to healthy. Figure 13 illustrates the dashboard view and Figure 14 an offline/safe-state display.</w:t>
      </w:r>
    </w:p>
    <w:tbl>
      <w:tblPr>
        <w:tblStyle w:val="TableGrid"/>
        <w:tblW w:w="0" w:type="auto"/>
        <w:jc w:val="center"/>
        <w:tblLook w:val="04A0" w:firstRow="1" w:lastRow="0" w:firstColumn="1" w:lastColumn="0" w:noHBand="0" w:noVBand="1"/>
      </w:tblPr>
      <w:tblGrid>
        <w:gridCol w:w="3216"/>
        <w:gridCol w:w="3216"/>
        <w:gridCol w:w="3216"/>
      </w:tblGrid>
      <w:tr w:rsidR="00E66F1D" w14:paraId="5504974F" w14:textId="77777777" w:rsidTr="009660AC">
        <w:trPr>
          <w:tblHeader/>
          <w:jc w:val="center"/>
        </w:trPr>
        <w:tc>
          <w:tcPr>
            <w:tcW w:w="3216" w:type="dxa"/>
            <w:tcMar>
              <w:top w:w="65" w:type="dxa"/>
              <w:left w:w="100" w:type="dxa"/>
              <w:bottom w:w="65" w:type="dxa"/>
              <w:right w:w="100" w:type="dxa"/>
            </w:tcMar>
            <w:vAlign w:val="center"/>
          </w:tcPr>
          <w:p w14:paraId="5159162B" w14:textId="77777777" w:rsidR="00E66F1D" w:rsidRDefault="00E66F1D" w:rsidP="009660AC">
            <w:pPr>
              <w:spacing w:before="40" w:after="100"/>
            </w:pPr>
            <w:r>
              <w:rPr>
                <w:rFonts w:ascii="Calibri" w:hAnsi="Calibri"/>
                <w:b/>
                <w:color w:val="000000"/>
                <w:sz w:val="17"/>
              </w:rPr>
              <w:t>Displayed item</w:t>
            </w:r>
          </w:p>
        </w:tc>
        <w:tc>
          <w:tcPr>
            <w:tcW w:w="3216" w:type="dxa"/>
            <w:tcMar>
              <w:top w:w="65" w:type="dxa"/>
              <w:left w:w="100" w:type="dxa"/>
              <w:bottom w:w="65" w:type="dxa"/>
              <w:right w:w="100" w:type="dxa"/>
            </w:tcMar>
            <w:vAlign w:val="center"/>
          </w:tcPr>
          <w:p w14:paraId="61B457FF" w14:textId="77777777" w:rsidR="00E66F1D" w:rsidRDefault="00E66F1D" w:rsidP="009660AC">
            <w:pPr>
              <w:spacing w:before="40" w:after="100"/>
            </w:pPr>
            <w:r>
              <w:rPr>
                <w:rFonts w:ascii="Calibri" w:hAnsi="Calibri"/>
                <w:b/>
                <w:color w:val="000000"/>
                <w:sz w:val="17"/>
              </w:rPr>
              <w:t>Purpose</w:t>
            </w:r>
          </w:p>
        </w:tc>
        <w:tc>
          <w:tcPr>
            <w:tcW w:w="3216" w:type="dxa"/>
            <w:tcMar>
              <w:top w:w="65" w:type="dxa"/>
              <w:left w:w="100" w:type="dxa"/>
              <w:bottom w:w="65" w:type="dxa"/>
              <w:right w:w="100" w:type="dxa"/>
            </w:tcMar>
            <w:vAlign w:val="center"/>
          </w:tcPr>
          <w:p w14:paraId="5EA0AC73" w14:textId="77777777" w:rsidR="00E66F1D" w:rsidRDefault="00E66F1D" w:rsidP="009660AC">
            <w:pPr>
              <w:spacing w:before="40" w:after="100"/>
            </w:pPr>
            <w:r>
              <w:rPr>
                <w:rFonts w:ascii="Calibri" w:hAnsi="Calibri"/>
                <w:b/>
                <w:color w:val="000000"/>
                <w:sz w:val="17"/>
              </w:rPr>
              <w:t>Evidence / configuration to insert</w:t>
            </w:r>
          </w:p>
        </w:tc>
      </w:tr>
      <w:tr w:rsidR="00E66F1D" w14:paraId="2A25B2BC" w14:textId="77777777" w:rsidTr="009660AC">
        <w:trPr>
          <w:jc w:val="center"/>
        </w:trPr>
        <w:tc>
          <w:tcPr>
            <w:tcW w:w="3216" w:type="dxa"/>
            <w:tcMar>
              <w:top w:w="65" w:type="dxa"/>
              <w:left w:w="100" w:type="dxa"/>
              <w:bottom w:w="65" w:type="dxa"/>
              <w:right w:w="100" w:type="dxa"/>
            </w:tcMar>
            <w:vAlign w:val="center"/>
          </w:tcPr>
          <w:p w14:paraId="2C2DA23E" w14:textId="77777777" w:rsidR="00F006B3" w:rsidRDefault="00540119">
            <w:pPr>
              <w:spacing w:before="40" w:after="100"/>
            </w:pPr>
            <w:r>
              <w:rPr>
                <w:rFonts w:ascii="Calibri" w:hAnsi="Calibri"/>
                <w:b w:val="0"/>
                <w:color w:val="000000"/>
                <w:sz w:val="17"/>
              </w:rPr>
              <w:t xml:space="preserve">Latest accepted physical temperature </w:t>
            </w:r>
            <w:r>
              <w:rPr>
                <w:rFonts w:ascii="Calibri" w:hAnsi="Calibri"/>
                <w:b w:val="0"/>
                <w:color w:val="000000"/>
                <w:sz w:val="17"/>
              </w:rPr>
              <w:lastRenderedPageBreak/>
              <w:t>and simulated DO/pH</w:t>
            </w:r>
          </w:p>
        </w:tc>
        <w:tc>
          <w:tcPr>
            <w:tcW w:w="3216" w:type="dxa"/>
            <w:tcMar>
              <w:top w:w="65" w:type="dxa"/>
              <w:left w:w="100" w:type="dxa"/>
              <w:bottom w:w="65" w:type="dxa"/>
              <w:right w:w="100" w:type="dxa"/>
            </w:tcMar>
            <w:vAlign w:val="center"/>
          </w:tcPr>
          <w:p w14:paraId="6DB5F79E" w14:textId="77777777" w:rsidR="00E66F1D" w:rsidRDefault="00E66F1D" w:rsidP="009660AC">
            <w:pPr>
              <w:spacing w:before="40" w:after="100"/>
            </w:pPr>
            <w:r>
              <w:rPr>
                <w:rFonts w:ascii="Calibri" w:hAnsi="Calibri"/>
                <w:b w:val="0"/>
                <w:color w:val="000000"/>
                <w:sz w:val="17"/>
              </w:rPr>
              <w:lastRenderedPageBreak/>
              <w:t>Provide current water-quality visibility</w:t>
            </w:r>
          </w:p>
        </w:tc>
        <w:tc>
          <w:tcPr>
            <w:tcW w:w="3216" w:type="dxa"/>
            <w:tcMar>
              <w:top w:w="65" w:type="dxa"/>
              <w:left w:w="100" w:type="dxa"/>
              <w:bottom w:w="65" w:type="dxa"/>
              <w:right w:w="100" w:type="dxa"/>
            </w:tcMar>
            <w:vAlign w:val="center"/>
          </w:tcPr>
          <w:p w14:paraId="78E95318" w14:textId="77777777" w:rsidR="00F006B3" w:rsidRDefault="00540119">
            <w:pPr>
              <w:spacing w:before="40" w:after="100"/>
            </w:pPr>
            <w:r>
              <w:rPr>
                <w:rFonts w:ascii="Calibri" w:hAnsi="Calibri"/>
                <w:b w:val="0"/>
                <w:color w:val="000000"/>
                <w:sz w:val="17"/>
              </w:rPr>
              <w:t xml:space="preserve">Figure 13: actual dashboard; </w:t>
            </w:r>
            <w:r>
              <w:rPr>
                <w:rFonts w:ascii="Calibri" w:hAnsi="Calibri"/>
                <w:b w:val="0"/>
                <w:color w:val="000000"/>
                <w:sz w:val="17"/>
              </w:rPr>
              <w:lastRenderedPageBreak/>
              <w:t>published source data reaches gateway before monitoring</w:t>
            </w:r>
          </w:p>
        </w:tc>
      </w:tr>
      <w:tr w:rsidR="00E66F1D" w14:paraId="419648A2" w14:textId="77777777" w:rsidTr="009660AC">
        <w:trPr>
          <w:jc w:val="center"/>
        </w:trPr>
        <w:tc>
          <w:tcPr>
            <w:tcW w:w="3216" w:type="dxa"/>
            <w:tcMar>
              <w:top w:w="65" w:type="dxa"/>
              <w:left w:w="100" w:type="dxa"/>
              <w:bottom w:w="65" w:type="dxa"/>
              <w:right w:w="100" w:type="dxa"/>
            </w:tcMar>
            <w:vAlign w:val="center"/>
          </w:tcPr>
          <w:p w14:paraId="0346A93F" w14:textId="77777777" w:rsidR="00E66F1D" w:rsidRDefault="00E66F1D" w:rsidP="009660AC">
            <w:pPr>
              <w:spacing w:before="40" w:after="100"/>
            </w:pPr>
            <w:r>
              <w:rPr>
                <w:rFonts w:ascii="Calibri" w:hAnsi="Calibri"/>
                <w:b w:val="0"/>
                <w:color w:val="000000"/>
                <w:sz w:val="17"/>
              </w:rPr>
              <w:lastRenderedPageBreak/>
              <w:t>Sensor identity and last-valid time</w:t>
            </w:r>
          </w:p>
        </w:tc>
        <w:tc>
          <w:tcPr>
            <w:tcW w:w="3216" w:type="dxa"/>
            <w:tcMar>
              <w:top w:w="65" w:type="dxa"/>
              <w:left w:w="100" w:type="dxa"/>
              <w:bottom w:w="65" w:type="dxa"/>
              <w:right w:w="100" w:type="dxa"/>
            </w:tcMar>
            <w:vAlign w:val="center"/>
          </w:tcPr>
          <w:p w14:paraId="48D78C49" w14:textId="77777777" w:rsidR="00E66F1D" w:rsidRDefault="00E66F1D" w:rsidP="009660AC">
            <w:pPr>
              <w:spacing w:before="40" w:after="100"/>
            </w:pPr>
            <w:r>
              <w:rPr>
                <w:rFonts w:ascii="Calibri" w:hAnsi="Calibri"/>
                <w:b w:val="0"/>
                <w:color w:val="000000"/>
                <w:sz w:val="17"/>
              </w:rPr>
              <w:t>Distinguish active from stale sources</w:t>
            </w:r>
          </w:p>
        </w:tc>
        <w:tc>
          <w:tcPr>
            <w:tcW w:w="3216" w:type="dxa"/>
            <w:tcMar>
              <w:top w:w="65" w:type="dxa"/>
              <w:left w:w="100" w:type="dxa"/>
              <w:bottom w:w="65" w:type="dxa"/>
              <w:right w:w="100" w:type="dxa"/>
            </w:tcMar>
            <w:vAlign w:val="center"/>
          </w:tcPr>
          <w:p w14:paraId="102DA16B" w14:textId="77777777" w:rsidR="00F006B3" w:rsidRDefault="00540119">
            <w:pPr>
              <w:spacing w:before="40" w:after="100"/>
            </w:pPr>
            <w:r>
              <w:rPr>
                <w:rFonts w:ascii="Calibri" w:hAnsi="Calibri"/>
                <w:b w:val="0"/>
                <w:color w:val="000000"/>
                <w:sz w:val="17"/>
              </w:rPr>
              <w:t>Figures 12 and 14: offline indicator; monitoring logic in gateway.py</w:t>
            </w:r>
          </w:p>
        </w:tc>
      </w:tr>
      <w:tr w:rsidR="00E66F1D" w14:paraId="14D78EA3" w14:textId="77777777" w:rsidTr="009660AC">
        <w:trPr>
          <w:jc w:val="center"/>
        </w:trPr>
        <w:tc>
          <w:tcPr>
            <w:tcW w:w="3216" w:type="dxa"/>
            <w:tcMar>
              <w:top w:w="65" w:type="dxa"/>
              <w:left w:w="100" w:type="dxa"/>
              <w:bottom w:w="65" w:type="dxa"/>
              <w:right w:w="100" w:type="dxa"/>
            </w:tcMar>
            <w:vAlign w:val="center"/>
          </w:tcPr>
          <w:p w14:paraId="3D6D429F" w14:textId="77777777" w:rsidR="00E66F1D" w:rsidRDefault="00E66F1D" w:rsidP="009660AC">
            <w:pPr>
              <w:spacing w:before="40" w:after="100"/>
            </w:pPr>
            <w:r>
              <w:rPr>
                <w:rFonts w:ascii="Calibri" w:hAnsi="Calibri"/>
                <w:b w:val="0"/>
                <w:color w:val="000000"/>
                <w:sz w:val="17"/>
              </w:rPr>
              <w:t>Invalid-message event</w:t>
            </w:r>
          </w:p>
        </w:tc>
        <w:tc>
          <w:tcPr>
            <w:tcW w:w="3216" w:type="dxa"/>
            <w:tcMar>
              <w:top w:w="65" w:type="dxa"/>
              <w:left w:w="100" w:type="dxa"/>
              <w:bottom w:w="65" w:type="dxa"/>
              <w:right w:w="100" w:type="dxa"/>
            </w:tcMar>
            <w:vAlign w:val="center"/>
          </w:tcPr>
          <w:p w14:paraId="23A1AA73" w14:textId="77777777" w:rsidR="00E66F1D" w:rsidRDefault="00E66F1D" w:rsidP="009660AC">
            <w:pPr>
              <w:spacing w:before="40" w:after="100"/>
            </w:pPr>
            <w:r>
              <w:rPr>
                <w:rFonts w:ascii="Calibri" w:hAnsi="Calibri"/>
                <w:b w:val="0"/>
                <w:color w:val="000000"/>
                <w:sz w:val="17"/>
              </w:rPr>
              <w:t>Show rejection without accepting altered data</w:t>
            </w:r>
          </w:p>
        </w:tc>
        <w:tc>
          <w:tcPr>
            <w:tcW w:w="3216" w:type="dxa"/>
            <w:tcMar>
              <w:top w:w="65" w:type="dxa"/>
              <w:left w:w="100" w:type="dxa"/>
              <w:bottom w:w="65" w:type="dxa"/>
              <w:right w:w="100" w:type="dxa"/>
            </w:tcMar>
            <w:vAlign w:val="center"/>
          </w:tcPr>
          <w:p w14:paraId="0C14CBB5" w14:textId="77777777" w:rsidR="00F006B3" w:rsidRDefault="00540119">
            <w:pPr>
              <w:spacing w:before="40" w:after="100"/>
            </w:pPr>
            <w:r>
              <w:rPr>
                <w:rFonts w:ascii="Calibri" w:hAnsi="Calibri"/>
                <w:b w:val="0"/>
                <w:color w:val="000000"/>
                <w:sz w:val="17"/>
              </w:rPr>
              <w:t>Figure 11: replay rejection; gateway publishes security-event topics</w:t>
            </w:r>
          </w:p>
        </w:tc>
      </w:tr>
      <w:tr w:rsidR="00E66F1D" w14:paraId="0EE00C28" w14:textId="77777777" w:rsidTr="009660AC">
        <w:trPr>
          <w:jc w:val="center"/>
        </w:trPr>
        <w:tc>
          <w:tcPr>
            <w:tcW w:w="3216" w:type="dxa"/>
            <w:tcMar>
              <w:top w:w="65" w:type="dxa"/>
              <w:left w:w="100" w:type="dxa"/>
              <w:bottom w:w="65" w:type="dxa"/>
              <w:right w:w="100" w:type="dxa"/>
            </w:tcMar>
            <w:vAlign w:val="center"/>
          </w:tcPr>
          <w:p w14:paraId="2C87B951" w14:textId="77777777" w:rsidR="00E66F1D" w:rsidRDefault="00E66F1D" w:rsidP="009660AC">
            <w:pPr>
              <w:spacing w:before="40" w:after="100"/>
            </w:pPr>
            <w:r>
              <w:rPr>
                <w:rFonts w:ascii="Calibri" w:hAnsi="Calibri"/>
                <w:b w:val="0"/>
                <w:color w:val="000000"/>
                <w:sz w:val="17"/>
              </w:rPr>
              <w:t>Outage and SAFE/HOLD state</w:t>
            </w:r>
          </w:p>
        </w:tc>
        <w:tc>
          <w:tcPr>
            <w:tcW w:w="3216" w:type="dxa"/>
            <w:tcMar>
              <w:top w:w="65" w:type="dxa"/>
              <w:left w:w="100" w:type="dxa"/>
              <w:bottom w:w="65" w:type="dxa"/>
              <w:right w:w="100" w:type="dxa"/>
            </w:tcMar>
            <w:vAlign w:val="center"/>
          </w:tcPr>
          <w:p w14:paraId="6DDD1172" w14:textId="77777777" w:rsidR="00E66F1D" w:rsidRDefault="00E66F1D" w:rsidP="009660AC">
            <w:pPr>
              <w:spacing w:before="40" w:after="100"/>
            </w:pPr>
            <w:r>
              <w:rPr>
                <w:rFonts w:ascii="Calibri" w:hAnsi="Calibri"/>
                <w:b w:val="0"/>
                <w:color w:val="000000"/>
                <w:sz w:val="17"/>
              </w:rPr>
              <w:t xml:space="preserve">Illustrate protective </w:t>
            </w:r>
            <w:proofErr w:type="spellStart"/>
            <w:r>
              <w:rPr>
                <w:rFonts w:ascii="Calibri" w:hAnsi="Calibri"/>
                <w:b w:val="0"/>
                <w:color w:val="000000"/>
                <w:sz w:val="17"/>
              </w:rPr>
              <w:t>behaviour</w:t>
            </w:r>
            <w:proofErr w:type="spellEnd"/>
            <w:r>
              <w:rPr>
                <w:rFonts w:ascii="Calibri" w:hAnsi="Calibri"/>
                <w:b w:val="0"/>
                <w:color w:val="000000"/>
                <w:sz w:val="17"/>
              </w:rPr>
              <w:t xml:space="preserve"> during loss of trusted data</w:t>
            </w:r>
          </w:p>
        </w:tc>
        <w:tc>
          <w:tcPr>
            <w:tcW w:w="3216" w:type="dxa"/>
            <w:tcMar>
              <w:top w:w="65" w:type="dxa"/>
              <w:left w:w="100" w:type="dxa"/>
              <w:bottom w:w="65" w:type="dxa"/>
              <w:right w:w="100" w:type="dxa"/>
            </w:tcMar>
            <w:vAlign w:val="center"/>
          </w:tcPr>
          <w:p w14:paraId="54F32505" w14:textId="77777777" w:rsidR="00F006B3" w:rsidRDefault="00540119">
            <w:pPr>
              <w:spacing w:before="40" w:after="100"/>
            </w:pPr>
            <w:r>
              <w:rPr>
                <w:rFonts w:ascii="Calibri" w:hAnsi="Calibri"/>
                <w:b w:val="0"/>
                <w:color w:val="000000"/>
                <w:sz w:val="17"/>
              </w:rPr>
              <w:t>Figure 12: outage gateway log and Figure 14 dashboard offline display</w:t>
            </w:r>
          </w:p>
        </w:tc>
      </w:tr>
    </w:tbl>
    <w:p w14:paraId="443F1E1E" w14:textId="77777777" w:rsidR="008903FD" w:rsidRDefault="00540119" w:rsidP="009E0485">
      <w:pPr>
        <w:pStyle w:val="Heading2"/>
        <w:spacing w:after="140" w:before="160"/>
      </w:pPr>
      <w:r>
        <w:rPr>
          <w:rFonts w:ascii="Calibri" w:hAnsi="Calibri"/>
          <w:color w:val="000000"/>
          <w:sz w:val="20"/>
        </w:rPr>
        <w:t>6.3 Outage indication and SAFE/HOLD representation</w:t>
      </w:r>
    </w:p>
    <w:p w14:paraId="44733898" w14:textId="77777777" w:rsidR="008903FD" w:rsidRDefault="00540119">
      <w:pPr>
        <w:spacing w:after="100" w:before="40"/>
      </w:pPr>
      <w:r>
        <w:rPr>
          <w:rFonts w:ascii="Calibri" w:hAnsi="Calibri"/>
          <w:color w:val="000000"/>
          <w:sz w:val="20"/>
        </w:rPr>
        <w:t>The demonstration includes a sensor interruption followed by an availability alert and a SAFE/HOLD indication. The monitoring logic should base the outage timer on the most recent accepted reading; a rejected attacker message must not reset that timer. SAFE/HOLD in this prototype is a displayed software state and does not switch physical aerators, pumps or feeders. The SAFE/HOLD indication illustrates the operational response to loss of dependable measurements, without controlling physical equipment.</w:t>
      </w:r>
    </w:p>
    <w:p w14:paraId="134EF4F1" w14:textId="77777777" w:rsidR="008903FD" w:rsidRDefault="00540119" w:rsidP="009E0485">
      <w:pPr>
        <w:pStyle w:val="Heading2"/>
        <w:spacing w:after="140" w:before="160"/>
      </w:pPr>
      <w:r>
        <w:rPr>
          <w:rFonts w:ascii="Calibri" w:hAnsi="Calibri"/>
          <w:color w:val="000000"/>
          <w:sz w:val="20"/>
        </w:rPr>
        <w:t>6.4 End-to-end integration and operator access</w:t>
      </w:r>
    </w:p>
    <w:p w14:paraId="57176D3C" w14:textId="77777777" w:rsidR="008903FD" w:rsidRDefault="00540119">
      <w:pPr>
        <w:spacing w:after="100" w:before="40"/>
      </w:pPr>
      <w:r>
        <w:rPr>
          <w:rFonts w:ascii="Calibri" w:hAnsi="Calibri"/>
          <w:color w:val="000000"/>
          <w:sz w:val="20"/>
        </w:rPr>
        <w:t>End-to-end readiness requires a publisher to send a signed reading, the broker to deliver it, the gateway to accept it and the dashboard to show the corresponding trusted value. A second run with altered traffic should demonstrate rejection without a false dashboard update. The operator interface is served through Node-RED, with dashboard access separated from the sensor publishing roles. The optional second-computer attack route follows the showcase plan, with the local attacker VM retained as a fallback.</w:t>
      </w:r>
    </w:p>
    <w:p w14:paraId="38C66CAA" w14:textId="77777777" w:rsidR="008903FD" w:rsidRDefault="00A13F6A">
      <w:pPr>
        <w:pStyle w:val="AQCaption"/>
        <w:spacing w:after="140" w:before="160"/>
        <w:jc w:val="center"/>
      </w:pPr>
      <w:r w:rsidRPr="00A13F6A">
        <w:rPr>
          <w:noProof/>
          <w:color w:val="000000"/>
        </w:rPr>
        <w:drawing>
          <wp:inline distT="0" distB="0" distL="0" distR="0" wp14:anchorId="5F1A0373" wp14:editId="1826D81C">
            <wp:extent cx="5120640" cy="1290774"/>
            <wp:effectExtent l="0" t="0" r="7620" b="0"/>
            <wp:docPr id="202872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7670" name=""/>
                    <pic:cNvPicPr/>
                  </pic:nvPicPr>
                  <pic:blipFill>
                    <a:blip r:embed="rId21"/>
                    <a:stretch>
                      <a:fillRect/>
                    </a:stretch>
                  </pic:blipFill>
                  <pic:spPr>
                    <a:xfrm>
                      <a:off x="0" y="0"/>
                      <a:ext cx="5120640" cy="1290774"/>
                    </a:xfrm>
                    <a:prstGeom prst="rect">
                      <a:avLst/>
                    </a:prstGeom>
                  </pic:spPr>
                </pic:pic>
              </a:graphicData>
            </a:graphic>
          </wp:inline>
        </w:drawing>
      </w:r>
      <w:r>
        <w:rPr>
          <w:color w:val="000000"/>
        </w:rPr>
        <w:t>Figure 13: Node-RED dashboard showing accepted sensor readings and source status.</w:t>
      </w:r>
    </w:p>
    <w:p w14:paraId="2F4395BE" w14:textId="77777777" w:rsidR="008903FD" w:rsidRDefault="00A13F6A">
      <w:pPr>
        <w:pStyle w:val="AQCaption"/>
        <w:spacing w:after="140" w:before="160"/>
        <w:jc w:val="center"/>
      </w:pPr>
      <w:r w:rsidRPr="00A13F6A">
        <w:rPr>
          <w:noProof/>
          <w:color w:val="000000"/>
        </w:rPr>
        <w:drawing>
          <wp:inline distT="0" distB="0" distL="0" distR="0" wp14:anchorId="5AE68F2E" wp14:editId="76CD4AD6">
            <wp:extent cx="5120640" cy="1086437"/>
            <wp:effectExtent l="0" t="0" r="7620" b="0"/>
            <wp:docPr id="46202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0023" name=""/>
                    <pic:cNvPicPr/>
                  </pic:nvPicPr>
                  <pic:blipFill>
                    <a:blip r:embed="rId22"/>
                    <a:stretch>
                      <a:fillRect/>
                    </a:stretch>
                  </pic:blipFill>
                  <pic:spPr>
                    <a:xfrm>
                      <a:off x="0" y="0"/>
                      <a:ext cx="5120640" cy="1086437"/>
                    </a:xfrm>
                    <a:prstGeom prst="rect">
                      <a:avLst/>
                    </a:prstGeom>
                  </pic:spPr>
                </pic:pic>
              </a:graphicData>
            </a:graphic>
          </wp:inline>
        </w:drawing>
      </w:r>
      <w:r>
        <w:rPr>
          <w:color w:val="000000"/>
        </w:rPr>
        <w:t>Figure 14: Dashboard alert and SAFE/HOLD indication after a sensor outage.</w:t>
      </w:r>
    </w:p>
    <w:p w14:paraId="4ED467A6" w14:textId="77777777" w:rsidR="008903FD" w:rsidRDefault="00A13F6A">
      <w:pPr>
        <w:pStyle w:val="AQCaption"/>
        <w:spacing w:after="140" w:before="160"/>
        <w:jc w:val="center"/>
      </w:pPr>
      <w:r w:rsidRPr="00A13F6A">
        <w:rPr>
          <w:noProof/>
          <w:color w:val="000000"/>
        </w:rPr>
        <w:lastRenderedPageBreak/>
        <w:drawing>
          <wp:inline distT="0" distB="0" distL="0" distR="0" wp14:anchorId="26455631" wp14:editId="53FADD44">
            <wp:extent cx="5120640" cy="2576242"/>
            <wp:effectExtent l="0" t="0" r="7620" b="3810"/>
            <wp:docPr id="31439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615" name=""/>
                    <pic:cNvPicPr/>
                  </pic:nvPicPr>
                  <pic:blipFill>
                    <a:blip r:embed="rId23"/>
                    <a:stretch>
                      <a:fillRect/>
                    </a:stretch>
                  </pic:blipFill>
                  <pic:spPr>
                    <a:xfrm>
                      <a:off x="0" y="0"/>
                      <a:ext cx="5120640" cy="2576242"/>
                    </a:xfrm>
                    <a:prstGeom prst="rect">
                      <a:avLst/>
                    </a:prstGeom>
                  </pic:spPr>
                </pic:pic>
              </a:graphicData>
            </a:graphic>
          </wp:inline>
        </w:drawing>
      </w:r>
      <w:r>
        <w:rPr>
          <w:color w:val="000000"/>
        </w:rPr>
        <w:t>Figure 15: Node-RED flow.</w:t>
      </w:r>
    </w:p>
    <w:p w14:paraId="45992C09" w14:textId="77777777" w:rsidR="008903FD" w:rsidRDefault="00540119" w:rsidP="009E0485">
      <w:pPr>
        <w:pStyle w:val="Heading1"/>
        <w:spacing w:after="140" w:before="160"/>
      </w:pPr>
      <w:r>
        <w:rPr>
          <w:rFonts w:ascii="Calibri" w:hAnsi="Calibri"/>
          <w:color w:val="000000"/>
          <w:sz w:val="20"/>
        </w:rPr>
        <w:t>7. Deployment Status, Limitations &amp; Evidence</w:t>
      </w:r>
    </w:p>
    <w:p w14:paraId="203B4238" w14:textId="77777777" w:rsidR="008903FD" w:rsidRDefault="00540119" w:rsidP="009E0485">
      <w:pPr>
        <w:pStyle w:val="Heading2"/>
        <w:spacing w:after="140" w:before="160"/>
      </w:pPr>
      <w:r>
        <w:rPr>
          <w:rFonts w:ascii="Calibri" w:hAnsi="Calibri"/>
          <w:color w:val="000000"/>
          <w:sz w:val="20"/>
        </w:rPr>
        <w:t>7.1 Implementation summary</w:t>
      </w:r>
    </w:p>
    <w:p w14:paraId="1C6815DE" w14:textId="77777777" w:rsidR="008903FD" w:rsidRDefault="00540119">
      <w:pPr>
        <w:spacing w:after="100" w:before="40"/>
      </w:pPr>
      <w:r>
        <w:rPr>
          <w:rFonts w:ascii="Calibri" w:hAnsi="Calibri"/>
          <w:color w:val="000000"/>
          <w:sz w:val="20"/>
        </w:rPr>
        <w:t>Our prototype brings together an ESP32 temperature sensor, simulated DO/pH sensors, MQTT, a Python verification gateway and Node-RED monitoring. It shows how accepted data can be kept separate from tampered or missing readings. This is a laboratory demonstration, not a finished farm control installation.</w:t>
      </w:r>
    </w:p>
    <w:p w14:paraId="601BAFFA" w14:textId="77777777" w:rsidR="008903FD" w:rsidRDefault="00540119" w:rsidP="009E0485">
      <w:pPr>
        <w:pStyle w:val="Heading2"/>
        <w:spacing w:after="140" w:before="160"/>
      </w:pPr>
      <w:r>
        <w:rPr>
          <w:rFonts w:ascii="Calibri" w:hAnsi="Calibri"/>
          <w:color w:val="000000"/>
          <w:sz w:val="20"/>
        </w:rPr>
        <w:t>7.2 Deployment and evidence register</w:t>
      </w:r>
    </w:p>
    <w:tbl>
      <w:tblPr>
        <w:tblStyle w:val="TableGrid"/>
        <w:tblW w:w="0" w:type="auto"/>
        <w:jc w:val="center"/>
        <w:tblLook w:val="04A0" w:firstRow="1" w:lastRow="0" w:firstColumn="1" w:lastColumn="0" w:noHBand="0" w:noVBand="1"/>
      </w:tblPr>
      <w:tblGrid>
        <w:gridCol w:w="3216"/>
        <w:gridCol w:w="3216"/>
        <w:gridCol w:w="3216"/>
      </w:tblGrid>
      <w:tr w:rsidR="00E66F1D" w14:paraId="4B18C971" w14:textId="77777777" w:rsidTr="009660AC">
        <w:trPr>
          <w:tblHeader/>
          <w:jc w:val="center"/>
        </w:trPr>
        <w:tc>
          <w:tcPr>
            <w:tcW w:w="3216" w:type="dxa"/>
            <w:tcMar>
              <w:top w:w="65" w:type="dxa"/>
              <w:left w:w="100" w:type="dxa"/>
              <w:bottom w:w="65" w:type="dxa"/>
              <w:right w:w="100" w:type="dxa"/>
            </w:tcMar>
            <w:vAlign w:val="center"/>
          </w:tcPr>
          <w:p w14:paraId="213AEADB" w14:textId="77777777" w:rsidR="00E66F1D" w:rsidRDefault="00E66F1D" w:rsidP="009660AC">
            <w:pPr>
              <w:spacing w:before="40" w:after="100"/>
            </w:pPr>
            <w:r>
              <w:rPr>
                <w:rFonts w:ascii="Calibri" w:hAnsi="Calibri"/>
                <w:b/>
                <w:color w:val="000000"/>
                <w:sz w:val="17"/>
              </w:rPr>
              <w:t>Component / test</w:t>
            </w:r>
          </w:p>
        </w:tc>
        <w:tc>
          <w:tcPr>
            <w:tcW w:w="3216" w:type="dxa"/>
            <w:tcMar>
              <w:top w:w="65" w:type="dxa"/>
              <w:left w:w="100" w:type="dxa"/>
              <w:bottom w:w="65" w:type="dxa"/>
              <w:right w:w="100" w:type="dxa"/>
            </w:tcMar>
            <w:vAlign w:val="center"/>
          </w:tcPr>
          <w:p w14:paraId="6C508FA6" w14:textId="77777777" w:rsidR="00E66F1D" w:rsidRDefault="00E66F1D" w:rsidP="009660AC">
            <w:pPr>
              <w:spacing w:before="40" w:after="100"/>
            </w:pPr>
            <w:r>
              <w:rPr>
                <w:rFonts w:ascii="Calibri" w:hAnsi="Calibri"/>
                <w:b/>
                <w:color w:val="000000"/>
                <w:sz w:val="17"/>
              </w:rPr>
              <w:t>Expected evidence</w:t>
            </w:r>
          </w:p>
        </w:tc>
        <w:tc>
          <w:tcPr>
            <w:tcW w:w="3216" w:type="dxa"/>
            <w:tcMar>
              <w:top w:w="65" w:type="dxa"/>
              <w:left w:w="100" w:type="dxa"/>
              <w:bottom w:w="65" w:type="dxa"/>
              <w:right w:w="100" w:type="dxa"/>
            </w:tcMar>
            <w:vAlign w:val="center"/>
          </w:tcPr>
          <w:p w14:paraId="69A3C711" w14:textId="77777777" w:rsidR="00E66F1D" w:rsidRDefault="00E66F1D" w:rsidP="009660AC">
            <w:pPr>
              <w:spacing w:before="40" w:after="100"/>
            </w:pPr>
            <w:r>
              <w:rPr>
                <w:rFonts w:ascii="Calibri" w:hAnsi="Calibri"/>
                <w:b/>
                <w:color w:val="000000"/>
                <w:sz w:val="17"/>
              </w:rPr>
              <w:t>Status for final review</w:t>
            </w:r>
          </w:p>
        </w:tc>
      </w:tr>
      <w:tr w:rsidR="00E66F1D" w14:paraId="5207B141" w14:textId="77777777" w:rsidTr="009660AC">
        <w:trPr>
          <w:jc w:val="center"/>
        </w:trPr>
        <w:tc>
          <w:tcPr>
            <w:tcW w:w="3216" w:type="dxa"/>
            <w:tcMar>
              <w:top w:w="65" w:type="dxa"/>
              <w:left w:w="100" w:type="dxa"/>
              <w:bottom w:w="65" w:type="dxa"/>
              <w:right w:w="100" w:type="dxa"/>
            </w:tcMar>
            <w:vAlign w:val="center"/>
          </w:tcPr>
          <w:p w14:paraId="10F4CDF8" w14:textId="77777777" w:rsidR="00E66F1D" w:rsidRDefault="00E66F1D" w:rsidP="009660AC">
            <w:pPr>
              <w:spacing w:before="40" w:after="100"/>
            </w:pPr>
            <w:r>
              <w:rPr>
                <w:rFonts w:ascii="Calibri" w:hAnsi="Calibri"/>
                <w:b w:val="0"/>
                <w:color w:val="000000"/>
                <w:sz w:val="17"/>
              </w:rPr>
              <w:t>Host and VM inventory</w:t>
            </w:r>
          </w:p>
        </w:tc>
        <w:tc>
          <w:tcPr>
            <w:tcW w:w="3216" w:type="dxa"/>
            <w:tcMar>
              <w:top w:w="65" w:type="dxa"/>
              <w:left w:w="100" w:type="dxa"/>
              <w:bottom w:w="65" w:type="dxa"/>
              <w:right w:w="100" w:type="dxa"/>
            </w:tcMar>
            <w:vAlign w:val="center"/>
          </w:tcPr>
          <w:p w14:paraId="1A8E5560" w14:textId="77777777" w:rsidR="00E66F1D" w:rsidRDefault="00E66F1D" w:rsidP="009660AC">
            <w:pPr>
              <w:spacing w:before="40" w:after="100"/>
            </w:pPr>
            <w:r>
              <w:rPr>
                <w:rFonts w:ascii="Calibri" w:hAnsi="Calibri"/>
                <w:b w:val="0"/>
                <w:color w:val="000000"/>
                <w:sz w:val="17"/>
              </w:rPr>
              <w:t>VM settings, OS versions, host assignment, adapter modes</w:t>
            </w:r>
          </w:p>
        </w:tc>
        <w:tc>
          <w:tcPr>
            <w:tcW w:w="3216" w:type="dxa"/>
            <w:tcMar>
              <w:top w:w="65" w:type="dxa"/>
              <w:left w:w="100" w:type="dxa"/>
              <w:bottom w:w="65" w:type="dxa"/>
              <w:right w:w="100" w:type="dxa"/>
            </w:tcMar>
            <w:vAlign w:val="center"/>
          </w:tcPr>
          <w:p w14:paraId="616DF2C7" w14:textId="77777777" w:rsidR="00F006B3" w:rsidRDefault="00540119">
            <w:pPr>
              <w:spacing w:before="40" w:after="100"/>
            </w:pPr>
            <w:r>
              <w:rPr>
                <w:rFonts w:ascii="Calibri" w:hAnsi="Calibri"/>
                <w:b w:val="0"/>
                <w:color w:val="000000"/>
                <w:sz w:val="17"/>
              </w:rPr>
              <w:t>GNS3 topology available (Figure 16); host VM versions/IPs not captured</w:t>
            </w:r>
          </w:p>
        </w:tc>
      </w:tr>
      <w:tr w:rsidR="00E66F1D" w14:paraId="0A9E1A2F" w14:textId="77777777" w:rsidTr="009660AC">
        <w:trPr>
          <w:jc w:val="center"/>
        </w:trPr>
        <w:tc>
          <w:tcPr>
            <w:tcW w:w="3216" w:type="dxa"/>
            <w:tcMar>
              <w:top w:w="65" w:type="dxa"/>
              <w:left w:w="100" w:type="dxa"/>
              <w:bottom w:w="65" w:type="dxa"/>
              <w:right w:w="100" w:type="dxa"/>
            </w:tcMar>
            <w:vAlign w:val="center"/>
          </w:tcPr>
          <w:p w14:paraId="0C27F936" w14:textId="77777777" w:rsidR="00E66F1D" w:rsidRDefault="00E66F1D" w:rsidP="009660AC">
            <w:pPr>
              <w:spacing w:before="40" w:after="100"/>
            </w:pPr>
            <w:r>
              <w:rPr>
                <w:rFonts w:ascii="Calibri" w:hAnsi="Calibri"/>
                <w:b w:val="0"/>
                <w:color w:val="000000"/>
                <w:sz w:val="17"/>
              </w:rPr>
              <w:t>Physical temperature source</w:t>
            </w:r>
          </w:p>
        </w:tc>
        <w:tc>
          <w:tcPr>
            <w:tcW w:w="3216" w:type="dxa"/>
            <w:tcMar>
              <w:top w:w="65" w:type="dxa"/>
              <w:left w:w="100" w:type="dxa"/>
              <w:bottom w:w="65" w:type="dxa"/>
              <w:right w:w="100" w:type="dxa"/>
            </w:tcMar>
            <w:vAlign w:val="center"/>
          </w:tcPr>
          <w:p w14:paraId="749043FC" w14:textId="77777777" w:rsidR="00E66F1D" w:rsidRDefault="00E66F1D" w:rsidP="009660AC">
            <w:pPr>
              <w:spacing w:before="40" w:after="100"/>
            </w:pPr>
            <w:r>
              <w:rPr>
                <w:rFonts w:ascii="Calibri" w:hAnsi="Calibri"/>
                <w:b w:val="0"/>
                <w:color w:val="000000"/>
                <w:sz w:val="17"/>
              </w:rPr>
              <w:t>Sensor photo, model, wiring and sample message</w:t>
            </w:r>
          </w:p>
        </w:tc>
        <w:tc>
          <w:tcPr>
            <w:tcW w:w="3216" w:type="dxa"/>
            <w:tcMar>
              <w:top w:w="65" w:type="dxa"/>
              <w:left w:w="100" w:type="dxa"/>
              <w:bottom w:w="65" w:type="dxa"/>
              <w:right w:w="100" w:type="dxa"/>
            </w:tcMar>
            <w:vAlign w:val="center"/>
          </w:tcPr>
          <w:p w14:paraId="5D8D23AA" w14:textId="77777777" w:rsidR="00F006B3" w:rsidRDefault="00540119">
            <w:pPr>
              <w:spacing w:before="40" w:after="100"/>
            </w:pPr>
            <w:r>
              <w:rPr>
                <w:rFonts w:ascii="Calibri" w:hAnsi="Calibri"/>
                <w:b w:val="0"/>
                <w:color w:val="000000"/>
                <w:sz w:val="17"/>
              </w:rPr>
              <w:t>Physical sensor and serial publication available (Figures 5 and 9)</w:t>
            </w:r>
          </w:p>
        </w:tc>
      </w:tr>
      <w:tr w:rsidR="00E66F1D" w14:paraId="3BF0613B" w14:textId="77777777" w:rsidTr="009660AC">
        <w:trPr>
          <w:jc w:val="center"/>
        </w:trPr>
        <w:tc>
          <w:tcPr>
            <w:tcW w:w="3216" w:type="dxa"/>
            <w:tcMar>
              <w:top w:w="65" w:type="dxa"/>
              <w:left w:w="100" w:type="dxa"/>
              <w:bottom w:w="65" w:type="dxa"/>
              <w:right w:w="100" w:type="dxa"/>
            </w:tcMar>
            <w:vAlign w:val="center"/>
          </w:tcPr>
          <w:p w14:paraId="6E5F465A" w14:textId="77777777" w:rsidR="00F006B3" w:rsidRDefault="00540119">
            <w:pPr>
              <w:spacing w:before="40" w:after="100"/>
            </w:pPr>
            <w:r>
              <w:rPr>
                <w:rFonts w:ascii="Calibri" w:hAnsi="Calibri"/>
                <w:b w:val="0"/>
                <w:color w:val="000000"/>
                <w:sz w:val="17"/>
              </w:rPr>
              <w:t>DO/PH publisher simulation</w:t>
            </w:r>
          </w:p>
        </w:tc>
        <w:tc>
          <w:tcPr>
            <w:tcW w:w="3216" w:type="dxa"/>
            <w:tcMar>
              <w:top w:w="65" w:type="dxa"/>
              <w:left w:w="100" w:type="dxa"/>
              <w:bottom w:w="65" w:type="dxa"/>
              <w:right w:w="100" w:type="dxa"/>
            </w:tcMar>
            <w:vAlign w:val="center"/>
          </w:tcPr>
          <w:p w14:paraId="581ADD42" w14:textId="77777777" w:rsidR="00E66F1D" w:rsidRDefault="00E66F1D" w:rsidP="009660AC">
            <w:pPr>
              <w:spacing w:before="40" w:after="100"/>
            </w:pPr>
            <w:r>
              <w:rPr>
                <w:rFonts w:ascii="Calibri" w:hAnsi="Calibri"/>
                <w:b w:val="0"/>
                <w:color w:val="000000"/>
                <w:sz w:val="17"/>
              </w:rPr>
              <w:t>Publisher terminal output, topics and JSON payloads</w:t>
            </w:r>
          </w:p>
        </w:tc>
        <w:tc>
          <w:tcPr>
            <w:tcW w:w="3216" w:type="dxa"/>
            <w:tcMar>
              <w:top w:w="65" w:type="dxa"/>
              <w:left w:w="100" w:type="dxa"/>
              <w:bottom w:w="65" w:type="dxa"/>
              <w:right w:w="100" w:type="dxa"/>
            </w:tcMar>
            <w:vAlign w:val="center"/>
          </w:tcPr>
          <w:p w14:paraId="19A722D7" w14:textId="77777777" w:rsidR="00F006B3" w:rsidRDefault="00540119">
            <w:pPr>
              <w:spacing w:before="40" w:after="100"/>
            </w:pPr>
            <w:r>
              <w:rPr>
                <w:rFonts w:ascii="Calibri" w:hAnsi="Calibri"/>
                <w:b w:val="0"/>
                <w:color w:val="000000"/>
                <w:sz w:val="17"/>
              </w:rPr>
              <w:t>DO and pH publishers in GNS3 export; simulated publisher evidence Figure 8</w:t>
            </w:r>
          </w:p>
        </w:tc>
      </w:tr>
      <w:tr w:rsidR="00E66F1D" w14:paraId="3E727F81" w14:textId="77777777" w:rsidTr="009660AC">
        <w:trPr>
          <w:jc w:val="center"/>
        </w:trPr>
        <w:tc>
          <w:tcPr>
            <w:tcW w:w="3216" w:type="dxa"/>
            <w:tcMar>
              <w:top w:w="65" w:type="dxa"/>
              <w:left w:w="100" w:type="dxa"/>
              <w:bottom w:w="65" w:type="dxa"/>
              <w:right w:w="100" w:type="dxa"/>
            </w:tcMar>
            <w:vAlign w:val="center"/>
          </w:tcPr>
          <w:p w14:paraId="0FCEE715" w14:textId="77777777" w:rsidR="00E66F1D" w:rsidRDefault="00E66F1D" w:rsidP="009660AC">
            <w:pPr>
              <w:spacing w:before="40" w:after="100"/>
            </w:pPr>
            <w:r>
              <w:rPr>
                <w:rFonts w:ascii="Calibri" w:hAnsi="Calibri"/>
                <w:b w:val="0"/>
                <w:color w:val="000000"/>
                <w:sz w:val="17"/>
              </w:rPr>
              <w:t>MQTT and gateway</w:t>
            </w:r>
          </w:p>
        </w:tc>
        <w:tc>
          <w:tcPr>
            <w:tcW w:w="3216" w:type="dxa"/>
            <w:tcMar>
              <w:top w:w="65" w:type="dxa"/>
              <w:left w:w="100" w:type="dxa"/>
              <w:bottom w:w="65" w:type="dxa"/>
              <w:right w:w="100" w:type="dxa"/>
            </w:tcMar>
            <w:vAlign w:val="center"/>
          </w:tcPr>
          <w:p w14:paraId="0F83D185" w14:textId="77777777" w:rsidR="00E66F1D" w:rsidRDefault="00E66F1D" w:rsidP="009660AC">
            <w:pPr>
              <w:spacing w:before="40" w:after="100"/>
            </w:pPr>
            <w:r>
              <w:rPr>
                <w:rFonts w:ascii="Calibri" w:hAnsi="Calibri"/>
                <w:b w:val="0"/>
                <w:color w:val="000000"/>
                <w:sz w:val="17"/>
              </w:rPr>
              <w:t>Broker configuration and valid-message ACCEPTED log</w:t>
            </w:r>
          </w:p>
        </w:tc>
        <w:tc>
          <w:tcPr>
            <w:tcW w:w="3216" w:type="dxa"/>
            <w:tcMar>
              <w:top w:w="65" w:type="dxa"/>
              <w:left w:w="100" w:type="dxa"/>
              <w:bottom w:w="65" w:type="dxa"/>
              <w:right w:w="100" w:type="dxa"/>
            </w:tcMar>
            <w:vAlign w:val="center"/>
          </w:tcPr>
          <w:p w14:paraId="4F099A55" w14:textId="77777777" w:rsidR="00F006B3" w:rsidRDefault="00540119">
            <w:pPr>
              <w:spacing w:before="40" w:after="100"/>
            </w:pPr>
            <w:r>
              <w:rPr>
                <w:rFonts w:ascii="Calibri" w:hAnsi="Calibri"/>
                <w:b w:val="0"/>
                <w:color w:val="000000"/>
                <w:sz w:val="17"/>
              </w:rPr>
              <w:t>HiveMQ configured in source; authenticated gateway logs Figures 2 and 10</w:t>
            </w:r>
          </w:p>
        </w:tc>
      </w:tr>
      <w:tr w:rsidR="00E66F1D" w14:paraId="34907A88" w14:textId="77777777" w:rsidTr="009660AC">
        <w:trPr>
          <w:jc w:val="center"/>
        </w:trPr>
        <w:tc>
          <w:tcPr>
            <w:tcW w:w="3216" w:type="dxa"/>
            <w:tcMar>
              <w:top w:w="65" w:type="dxa"/>
              <w:left w:w="100" w:type="dxa"/>
              <w:bottom w:w="65" w:type="dxa"/>
              <w:right w:w="100" w:type="dxa"/>
            </w:tcMar>
            <w:vAlign w:val="center"/>
          </w:tcPr>
          <w:p w14:paraId="49923C6C" w14:textId="77777777" w:rsidR="00E66F1D" w:rsidRDefault="00E66F1D" w:rsidP="009660AC">
            <w:pPr>
              <w:spacing w:before="40" w:after="100"/>
            </w:pPr>
            <w:r>
              <w:rPr>
                <w:rFonts w:ascii="Calibri" w:hAnsi="Calibri"/>
                <w:b w:val="0"/>
                <w:color w:val="000000"/>
                <w:sz w:val="17"/>
              </w:rPr>
              <w:t>Integrity rejection</w:t>
            </w:r>
          </w:p>
        </w:tc>
        <w:tc>
          <w:tcPr>
            <w:tcW w:w="3216" w:type="dxa"/>
            <w:tcMar>
              <w:top w:w="65" w:type="dxa"/>
              <w:left w:w="100" w:type="dxa"/>
              <w:bottom w:w="65" w:type="dxa"/>
              <w:right w:w="100" w:type="dxa"/>
            </w:tcMar>
            <w:vAlign w:val="center"/>
          </w:tcPr>
          <w:p w14:paraId="0A24DCCB" w14:textId="77777777" w:rsidR="00E66F1D" w:rsidRDefault="00E66F1D" w:rsidP="009660AC">
            <w:pPr>
              <w:spacing w:before="40" w:after="100"/>
            </w:pPr>
            <w:r>
              <w:rPr>
                <w:rFonts w:ascii="Calibri" w:hAnsi="Calibri"/>
                <w:b w:val="0"/>
                <w:color w:val="000000"/>
                <w:sz w:val="17"/>
              </w:rPr>
              <w:t>Altered-message publication and REJECTED log</w:t>
            </w:r>
          </w:p>
        </w:tc>
        <w:tc>
          <w:tcPr>
            <w:tcW w:w="3216" w:type="dxa"/>
            <w:tcMar>
              <w:top w:w="65" w:type="dxa"/>
              <w:left w:w="100" w:type="dxa"/>
              <w:bottom w:w="65" w:type="dxa"/>
              <w:right w:w="100" w:type="dxa"/>
            </w:tcMar>
            <w:vAlign w:val="center"/>
          </w:tcPr>
          <w:p w14:paraId="43371E41" w14:textId="77777777" w:rsidR="00F006B3" w:rsidRDefault="00540119">
            <w:pPr>
              <w:spacing w:before="40" w:after="100"/>
            </w:pPr>
            <w:r>
              <w:rPr>
                <w:rFonts w:ascii="Calibri" w:hAnsi="Calibri"/>
                <w:b w:val="0"/>
                <w:color w:val="000000"/>
                <w:sz w:val="17"/>
              </w:rPr>
              <w:t>Replay rejection is recorded in Figure 11; invalid HMAC needs distinct log</w:t>
            </w:r>
          </w:p>
        </w:tc>
      </w:tr>
      <w:tr w:rsidR="00E66F1D" w14:paraId="72C39702" w14:textId="77777777" w:rsidTr="009660AC">
        <w:trPr>
          <w:jc w:val="center"/>
        </w:trPr>
        <w:tc>
          <w:tcPr>
            <w:tcW w:w="3216" w:type="dxa"/>
            <w:tcMar>
              <w:top w:w="65" w:type="dxa"/>
              <w:left w:w="100" w:type="dxa"/>
              <w:bottom w:w="65" w:type="dxa"/>
              <w:right w:w="100" w:type="dxa"/>
            </w:tcMar>
            <w:vAlign w:val="center"/>
          </w:tcPr>
          <w:p w14:paraId="25B981DC" w14:textId="77777777" w:rsidR="00E66F1D" w:rsidRDefault="00E66F1D" w:rsidP="009660AC">
            <w:pPr>
              <w:spacing w:before="40" w:after="100"/>
            </w:pPr>
            <w:r>
              <w:rPr>
                <w:rFonts w:ascii="Calibri" w:hAnsi="Calibri"/>
                <w:b w:val="0"/>
                <w:color w:val="000000"/>
                <w:sz w:val="17"/>
              </w:rPr>
              <w:t>Monitoring dashboard</w:t>
            </w:r>
          </w:p>
        </w:tc>
        <w:tc>
          <w:tcPr>
            <w:tcW w:w="3216" w:type="dxa"/>
            <w:tcMar>
              <w:top w:w="65" w:type="dxa"/>
              <w:left w:w="100" w:type="dxa"/>
              <w:bottom w:w="65" w:type="dxa"/>
              <w:right w:w="100" w:type="dxa"/>
            </w:tcMar>
            <w:vAlign w:val="center"/>
          </w:tcPr>
          <w:p w14:paraId="58B78F37" w14:textId="77777777" w:rsidR="00E66F1D" w:rsidRDefault="00E66F1D" w:rsidP="009660AC">
            <w:pPr>
              <w:spacing w:before="40" w:after="100"/>
            </w:pPr>
            <w:r>
              <w:rPr>
                <w:rFonts w:ascii="Calibri" w:hAnsi="Calibri"/>
                <w:b w:val="0"/>
                <w:color w:val="000000"/>
                <w:sz w:val="17"/>
              </w:rPr>
              <w:t>Node-RED flow export and trusted-reading display</w:t>
            </w:r>
          </w:p>
        </w:tc>
        <w:tc>
          <w:tcPr>
            <w:tcW w:w="3216" w:type="dxa"/>
            <w:tcMar>
              <w:top w:w="65" w:type="dxa"/>
              <w:left w:w="100" w:type="dxa"/>
              <w:bottom w:w="65" w:type="dxa"/>
              <w:right w:w="100" w:type="dxa"/>
            </w:tcMar>
            <w:vAlign w:val="center"/>
          </w:tcPr>
          <w:p w14:paraId="14FE16F6" w14:textId="77777777" w:rsidR="00F006B3" w:rsidRDefault="00540119">
            <w:pPr>
              <w:spacing w:before="40" w:after="100"/>
            </w:pPr>
            <w:r>
              <w:rPr>
                <w:rFonts w:ascii="Calibri" w:hAnsi="Calibri"/>
                <w:b w:val="0"/>
                <w:color w:val="000000"/>
                <w:sz w:val="17"/>
              </w:rPr>
              <w:t>Exported Node-RED flow / SQLite and dashboard Figure 13</w:t>
            </w:r>
          </w:p>
        </w:tc>
      </w:tr>
      <w:tr w:rsidR="00E66F1D" w14:paraId="4836F227" w14:textId="77777777" w:rsidTr="009660AC">
        <w:trPr>
          <w:jc w:val="center"/>
        </w:trPr>
        <w:tc>
          <w:tcPr>
            <w:tcW w:w="3216" w:type="dxa"/>
            <w:tcMar>
              <w:top w:w="65" w:type="dxa"/>
              <w:left w:w="100" w:type="dxa"/>
              <w:bottom w:w="65" w:type="dxa"/>
              <w:right w:w="100" w:type="dxa"/>
            </w:tcMar>
            <w:vAlign w:val="center"/>
          </w:tcPr>
          <w:p w14:paraId="5485180B" w14:textId="77777777" w:rsidR="00F006B3" w:rsidRDefault="00540119">
            <w:pPr>
              <w:spacing w:before="40" w:after="100"/>
            </w:pPr>
            <w:r>
              <w:rPr>
                <w:rFonts w:ascii="Calibri" w:hAnsi="Calibri"/>
                <w:b w:val="0"/>
                <w:color w:val="000000"/>
                <w:sz w:val="17"/>
              </w:rPr>
              <w:t>Outage / software SAFE-HOLD</w:t>
            </w:r>
          </w:p>
        </w:tc>
        <w:tc>
          <w:tcPr>
            <w:tcW w:w="3216" w:type="dxa"/>
            <w:tcMar>
              <w:top w:w="65" w:type="dxa"/>
              <w:left w:w="100" w:type="dxa"/>
              <w:bottom w:w="65" w:type="dxa"/>
              <w:right w:w="100" w:type="dxa"/>
            </w:tcMar>
            <w:vAlign w:val="center"/>
          </w:tcPr>
          <w:p w14:paraId="10F842A1" w14:textId="77777777" w:rsidR="00E66F1D" w:rsidRDefault="00E66F1D" w:rsidP="009660AC">
            <w:pPr>
              <w:spacing w:before="40" w:after="100"/>
            </w:pPr>
            <w:r>
              <w:rPr>
                <w:rFonts w:ascii="Calibri" w:hAnsi="Calibri"/>
                <w:b w:val="0"/>
                <w:color w:val="000000"/>
                <w:sz w:val="17"/>
              </w:rPr>
              <w:t>Last-valid timestamp, alert and software state evidence</w:t>
            </w:r>
          </w:p>
        </w:tc>
        <w:tc>
          <w:tcPr>
            <w:tcW w:w="3216" w:type="dxa"/>
            <w:tcMar>
              <w:top w:w="65" w:type="dxa"/>
              <w:left w:w="100" w:type="dxa"/>
              <w:bottom w:w="65" w:type="dxa"/>
              <w:right w:w="100" w:type="dxa"/>
            </w:tcMar>
            <w:vAlign w:val="center"/>
          </w:tcPr>
          <w:p w14:paraId="1F20CBCB" w14:textId="77777777" w:rsidR="00F006B3" w:rsidRDefault="00540119">
            <w:pPr>
              <w:spacing w:before="40" w:after="100"/>
            </w:pPr>
            <w:r>
              <w:rPr>
                <w:rFonts w:ascii="Calibri" w:hAnsi="Calibri"/>
                <w:b w:val="0"/>
                <w:color w:val="000000"/>
                <w:sz w:val="17"/>
              </w:rPr>
              <w:t>Outage and software safe-state logs and display Figures 3, 12 and 14</w:t>
            </w:r>
          </w:p>
        </w:tc>
      </w:tr>
      <w:tr w:rsidR="00E66F1D" w14:paraId="474B5242" w14:textId="77777777" w:rsidTr="009660AC">
        <w:trPr>
          <w:jc w:val="center"/>
        </w:trPr>
        <w:tc>
          <w:tcPr>
            <w:tcW w:w="3216" w:type="dxa"/>
            <w:tcMar>
              <w:top w:w="65" w:type="dxa"/>
              <w:left w:w="100" w:type="dxa"/>
              <w:bottom w:w="65" w:type="dxa"/>
              <w:right w:w="100" w:type="dxa"/>
            </w:tcMar>
            <w:vAlign w:val="center"/>
          </w:tcPr>
          <w:p w14:paraId="7EF49FFA" w14:textId="77777777" w:rsidR="00E66F1D" w:rsidRDefault="00E66F1D" w:rsidP="009660AC">
            <w:pPr>
              <w:spacing w:before="40" w:after="100"/>
            </w:pPr>
            <w:proofErr w:type="gramStart"/>
            <w:r>
              <w:rPr>
                <w:rFonts w:ascii="Calibri" w:hAnsi="Calibri"/>
                <w:b w:val="0"/>
                <w:color w:val="000000"/>
                <w:sz w:val="17"/>
              </w:rPr>
              <w:lastRenderedPageBreak/>
              <w:t>Cross-team</w:t>
            </w:r>
            <w:proofErr w:type="gramEnd"/>
            <w:r>
              <w:rPr>
                <w:rFonts w:ascii="Calibri" w:hAnsi="Calibri"/>
                <w:b w:val="0"/>
                <w:color w:val="000000"/>
                <w:sz w:val="17"/>
              </w:rPr>
              <w:t xml:space="preserve"> or local attack</w:t>
            </w:r>
          </w:p>
        </w:tc>
        <w:tc>
          <w:tcPr>
            <w:tcW w:w="3216" w:type="dxa"/>
            <w:tcMar>
              <w:top w:w="65" w:type="dxa"/>
              <w:left w:w="100" w:type="dxa"/>
              <w:bottom w:w="65" w:type="dxa"/>
              <w:right w:w="100" w:type="dxa"/>
            </w:tcMar>
            <w:vAlign w:val="center"/>
          </w:tcPr>
          <w:p w14:paraId="09AA238C" w14:textId="77777777" w:rsidR="00E66F1D" w:rsidRDefault="00E66F1D" w:rsidP="009660AC">
            <w:pPr>
              <w:spacing w:before="40" w:after="100"/>
            </w:pPr>
            <w:r>
              <w:rPr>
                <w:rFonts w:ascii="Calibri" w:hAnsi="Calibri"/>
                <w:b w:val="0"/>
                <w:color w:val="000000"/>
                <w:sz w:val="17"/>
              </w:rPr>
              <w:t>Network path and chosen live demonstration output</w:t>
            </w:r>
          </w:p>
        </w:tc>
        <w:tc>
          <w:tcPr>
            <w:tcW w:w="3216" w:type="dxa"/>
            <w:tcMar>
              <w:top w:w="65" w:type="dxa"/>
              <w:left w:w="100" w:type="dxa"/>
              <w:bottom w:w="65" w:type="dxa"/>
              <w:right w:w="100" w:type="dxa"/>
            </w:tcMar>
            <w:vAlign w:val="center"/>
          </w:tcPr>
          <w:p w14:paraId="5F2270B9" w14:textId="77777777" w:rsidR="00F006B3" w:rsidRDefault="00540119">
            <w:pPr>
              <w:spacing w:before="40" w:after="100"/>
            </w:pPr>
            <w:r>
              <w:rPr>
                <w:rFonts w:ascii="Calibri" w:hAnsi="Calibri"/>
                <w:b w:val="0"/>
                <w:color w:val="000000"/>
                <w:sz w:val="17"/>
              </w:rPr>
              <w:t>Attacker scripts available; cross-city success not evidenced</w:t>
            </w:r>
          </w:p>
        </w:tc>
      </w:tr>
      <w:tr w:rsidR="00E66F1D" w14:paraId="65CAA766" w14:textId="77777777" w:rsidTr="009660AC">
        <w:trPr>
          <w:jc w:val="center"/>
        </w:trPr>
        <w:tc>
          <w:tcPr>
            <w:tcW w:w="3216" w:type="dxa"/>
            <w:tcMar>
              <w:top w:w="65" w:type="dxa"/>
              <w:left w:w="100" w:type="dxa"/>
              <w:bottom w:w="65" w:type="dxa"/>
              <w:right w:w="100" w:type="dxa"/>
            </w:tcMar>
            <w:vAlign w:val="center"/>
          </w:tcPr>
          <w:p w14:paraId="2F9F7AC8" w14:textId="77777777" w:rsidR="00E66F1D" w:rsidRDefault="00E66F1D" w:rsidP="009660AC">
            <w:pPr>
              <w:spacing w:before="40" w:after="100"/>
            </w:pPr>
            <w:r>
              <w:rPr>
                <w:rFonts w:ascii="Calibri" w:hAnsi="Calibri"/>
                <w:b w:val="0"/>
                <w:color w:val="000000"/>
                <w:sz w:val="17"/>
              </w:rPr>
              <w:t>Repository snapshot</w:t>
            </w:r>
          </w:p>
        </w:tc>
        <w:tc>
          <w:tcPr>
            <w:tcW w:w="3216" w:type="dxa"/>
            <w:tcMar>
              <w:top w:w="65" w:type="dxa"/>
              <w:left w:w="100" w:type="dxa"/>
              <w:bottom w:w="65" w:type="dxa"/>
              <w:right w:w="100" w:type="dxa"/>
            </w:tcMar>
            <w:vAlign w:val="center"/>
          </w:tcPr>
          <w:p w14:paraId="1436051A" w14:textId="77777777" w:rsidR="00E66F1D" w:rsidRDefault="00E66F1D" w:rsidP="009660AC">
            <w:pPr>
              <w:spacing w:before="40" w:after="100"/>
            </w:pPr>
            <w:r>
              <w:rPr>
                <w:rFonts w:ascii="Calibri" w:hAnsi="Calibri"/>
                <w:b w:val="0"/>
                <w:color w:val="000000"/>
                <w:sz w:val="17"/>
              </w:rPr>
              <w:t>Final Git commit/tag and configuration file list</w:t>
            </w:r>
          </w:p>
        </w:tc>
        <w:tc>
          <w:tcPr>
            <w:tcW w:w="3216" w:type="dxa"/>
            <w:tcMar>
              <w:top w:w="65" w:type="dxa"/>
              <w:left w:w="100" w:type="dxa"/>
              <w:bottom w:w="65" w:type="dxa"/>
              <w:right w:w="100" w:type="dxa"/>
            </w:tcMar>
            <w:vAlign w:val="center"/>
          </w:tcPr>
          <w:p w14:paraId="776E83FE" w14:textId="77777777" w:rsidR="00F006B3" w:rsidRDefault="00540119">
            <w:pPr>
              <w:spacing w:before="40" w:after="100"/>
            </w:pPr>
            <w:r>
              <w:rPr>
                <w:rFonts w:ascii="Calibri" w:hAnsi="Calibri"/>
                <w:b w:val="0"/>
                <w:color w:val="000000"/>
                <w:sz w:val="17"/>
              </w:rPr>
              <w:t>Repository URL listed; final commit/version must be verified online</w:t>
            </w:r>
          </w:p>
        </w:tc>
      </w:tr>
    </w:tbl>
    <w:p w14:paraId="2A84E546" w14:textId="77777777" w:rsidR="008903FD" w:rsidRDefault="00540119" w:rsidP="009E0485">
      <w:pPr>
        <w:pStyle w:val="Heading2"/>
        <w:spacing w:after="140" w:before="160"/>
      </w:pPr>
      <w:r>
        <w:rPr>
          <w:rFonts w:ascii="Calibri" w:hAnsi="Calibri"/>
          <w:color w:val="000000"/>
          <w:sz w:val="20"/>
        </w:rPr>
        <w:t>7.3 Known limitations and evidence boundaries</w:t>
      </w:r>
    </w:p>
    <w:p w14:paraId="475C7383" w14:textId="77777777" w:rsidR="008903FD" w:rsidRDefault="00540119">
      <w:pPr>
        <w:spacing w:after="100" w:before="40"/>
      </w:pPr>
      <w:r>
        <w:rPr>
          <w:rFonts w:ascii="Calibri" w:hAnsi="Calibri"/>
          <w:color w:val="000000"/>
          <w:sz w:val="20"/>
        </w:rPr>
        <w:t>This university prototype is not a fully deployed industrial farm network with six permanent monitoring stations. The transferred PH-001 and DO-001 publishers are simulated and do not represent physical probes; temperature is provided by an ESP32-C3 and waterproof DS18B20. There is no evidenced control of pumps, feeders or aerators. HMAC is not encryption, and the public broker at port 1883 lacks TLS and configured topic ACLs. Sequence-based replay checking is included in the gateway in the provided project, but long-term resilience, key compromise and production deployment have not been evaluated.</w:t>
      </w:r>
    </w:p>
    <w:p w14:paraId="40C85490" w14:textId="77777777" w:rsidR="008903FD" w:rsidRDefault="00540119" w:rsidP="009E0485">
      <w:pPr>
        <w:pStyle w:val="Heading2"/>
        <w:spacing w:after="140" w:before="160"/>
      </w:pPr>
      <w:r>
        <w:rPr>
          <w:rFonts w:ascii="Calibri" w:hAnsi="Calibri"/>
          <w:color w:val="000000"/>
          <w:sz w:val="20"/>
        </w:rPr>
        <w:t>7.4 Handover and reproducibility</w:t>
      </w:r>
    </w:p>
    <w:p w14:paraId="6060E856" w14:textId="77777777" w:rsidR="008903FD" w:rsidRDefault="00540119">
      <w:pPr>
        <w:spacing w:after="100" w:before="40"/>
      </w:pPr>
      <w:r>
        <w:rPr>
          <w:rFonts w:ascii="Calibri" w:hAnsi="Calibri"/>
          <w:color w:val="000000"/>
          <w:sz w:val="20"/>
        </w:rPr>
        <w:t>The handover structure identifies VM roles, MQTT broker, publisher and gateway services, Node-RED interface and the normal, rejected and outage demonstration sequence. Technical Artefact 7 provides the reproduction workflow. Security test procedures and measured results are retained for Artefacts 4 and 5 to avoid repeating unverified claims in this implementation record.</w:t>
      </w:r>
    </w:p>
    <w:p w14:paraId="00BE04C9" w14:textId="77777777" w:rsidR="008903FD" w:rsidRDefault="00540119" w:rsidP="009E0485">
      <w:pPr>
        <w:pStyle w:val="Heading2"/>
        <w:spacing w:after="140" w:before="160"/>
      </w:pPr>
      <w:r>
        <w:rPr>
          <w:rFonts w:ascii="Calibri" w:hAnsi="Calibri"/>
          <w:color w:val="000000"/>
          <w:sz w:val="20"/>
        </w:rPr>
        <w:t>7.5 Final evidence checklist and sign-off</w:t>
      </w:r>
    </w:p>
    <w:p w14:paraId="14CA48D2" w14:textId="77777777" w:rsidR="008903FD" w:rsidRDefault="00540119">
      <w:pPr>
        <w:spacing w:after="100" w:before="40"/>
      </w:pPr>
      <w:r>
        <w:rPr>
          <w:rFonts w:ascii="Calibri" w:hAnsi="Calibri"/>
          <w:color w:val="000000"/>
          <w:sz w:val="20"/>
        </w:rPr>
        <w:t>The evidence register groups architecture, publishing, verification, dashboard and outage illustrations. Credentials and HMAC secrets are excluded from this document. The screenshots and diagrams have designated figure locations throughout the artefact.</w:t>
      </w:r>
    </w:p>
    <w:p w14:paraId="2F5863CD" w14:textId="77777777" w:rsidR="00A13F6A" w:rsidRDefault="00A13F6A">
      <w:pPr>
        <w:spacing w:after="100" w:before="40"/>
        <w:jc w:val="center"/>
      </w:pPr>
      <w:r w:rsidRPr="00A13F6A">
        <w:rPr>
          <w:rFonts w:ascii="Calibri" w:hAnsi="Calibri"/>
          <w:noProof/>
          <w:color w:val="000000"/>
          <w:sz w:val="20"/>
        </w:rPr>
        <w:drawing>
          <wp:inline distT="0" distB="0" distL="0" distR="0" wp14:anchorId="1552B26A" wp14:editId="257EF32E">
            <wp:extent cx="5114925" cy="2234599"/>
            <wp:effectExtent l="0" t="0" r="0" b="0"/>
            <wp:docPr id="9617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4978" name=""/>
                    <pic:cNvPicPr/>
                  </pic:nvPicPr>
                  <pic:blipFill>
                    <a:blip r:embed="rId24"/>
                    <a:stretch>
                      <a:fillRect/>
                    </a:stretch>
                  </pic:blipFill>
                  <pic:spPr>
                    <a:xfrm>
                      <a:off x="0" y="0"/>
                      <a:ext cx="5119366" cy="2236539"/>
                    </a:xfrm>
                    <a:prstGeom prst="rect">
                      <a:avLst/>
                    </a:prstGeom>
                  </pic:spPr>
                </pic:pic>
              </a:graphicData>
            </a:graphic>
          </wp:inline>
        </w:drawing>
      </w:r>
    </w:p>
    <w:p w14:paraId="6CF987B3" w14:textId="77777777" w:rsidR="008903FD" w:rsidRDefault="00540119">
      <w:pPr>
        <w:pStyle w:val="AQCaption"/>
        <w:spacing w:after="140" w:before="160"/>
        <w:jc w:val="center"/>
      </w:pPr>
      <w:r>
        <w:rPr>
          <w:color w:val="000000"/>
        </w:rPr>
        <w:t>Figure 16: Final deployment inventory and verified VM/network configuration.</w:t>
      </w:r>
    </w:p>
    <w:p w14:paraId="3BD7C684" w14:textId="77777777" w:rsidR="008903FD" w:rsidRDefault="00540119" w:rsidP="009E0485">
      <w:pPr>
        <w:pStyle w:val="Heading2"/>
        <w:spacing w:after="140" w:before="160"/>
      </w:pPr>
      <w:r>
        <w:rPr>
          <w:rFonts w:ascii="Calibri" w:hAnsi="Calibri"/>
          <w:color w:val="000000"/>
          <w:sz w:val="20"/>
        </w:rPr>
        <w:t>7.6 Source and reference notes</w:t>
      </w:r>
    </w:p>
    <w:p w14:paraId="5FE78826" w14:textId="77777777" w:rsidR="008903FD" w:rsidRDefault="00540119">
      <w:pPr>
        <w:spacing w:after="100" w:before="40"/>
      </w:pPr>
      <w:r>
        <w:rPr>
          <w:rFonts w:ascii="Calibri" w:hAnsi="Calibri"/>
          <w:color w:val="000000"/>
          <w:sz w:val="20"/>
        </w:rPr>
        <w:t>Project source repository: https://github.com/nininehaa/aq1-secure-aquaculture-iot.git (AQ-1 Project Team 2026). Software and protocol references appear below.</w:t>
      </w:r>
    </w:p>
    <w:p w14:paraId="505EFD9C" w14:textId="77777777" w:rsidR="00E66F1D" w:rsidRDefault="00E66F1D">
      <w:pPr>
        <w:spacing w:after="100" w:before="40"/>
      </w:pPr>
    </w:p>
    <w:p w14:paraId="67342169" w14:textId="77777777" w:rsidR="00E66F1D" w:rsidRDefault="00E66F1D">
      <w:pPr>
        <w:spacing w:after="100" w:before="40"/>
      </w:pPr>
    </w:p>
    <w:p w14:paraId="55F2ADE2" w14:textId="77777777" w:rsidR="00E66F1D" w:rsidRDefault="00E66F1D">
      <w:pPr>
        <w:spacing w:after="100" w:before="40"/>
      </w:pPr>
    </w:p>
    <w:p w14:paraId="5A0590CA" w14:textId="77777777" w:rsidR="00E66F1D" w:rsidRDefault="00E66F1D">
      <w:pPr>
        <w:spacing w:after="100" w:before="40"/>
      </w:pPr>
    </w:p>
    <w:p w14:paraId="22907F7C" w14:textId="77777777" w:rsidR="00E66F1D" w:rsidRDefault="00E66F1D">
      <w:pPr>
        <w:spacing w:after="100" w:before="40"/>
      </w:pPr>
    </w:p>
    <w:p w14:paraId="1C777351" w14:textId="77777777" w:rsidR="00E66F1D" w:rsidRDefault="00E66F1D">
      <w:pPr>
        <w:spacing w:after="100" w:before="40"/>
      </w:pPr>
    </w:p>
    <w:p w14:paraId="2D8FB7E7" w14:textId="77777777" w:rsidR="00E66F1D" w:rsidRDefault="00E66F1D">
      <w:pPr>
        <w:spacing w:after="100" w:before="40"/>
      </w:pPr>
    </w:p>
    <w:p w14:paraId="7D8EEBB6" w14:textId="77777777" w:rsidR="00B8424E" w:rsidRDefault="00B8424E">
      <w:pPr>
        <w:spacing w:after="100" w:before="40"/>
      </w:pPr>
    </w:p>
    <w:p w14:paraId="6EF59A4D" w14:textId="77777777" w:rsidR="00B8424E" w:rsidRDefault="00B8424E">
      <w:pPr>
        <w:spacing w:after="100" w:before="40"/>
      </w:pPr>
    </w:p>
    <w:p w14:paraId="5F2D7F78" w14:textId="77777777" w:rsidR="00B8424E" w:rsidRDefault="00B8424E">
      <w:pPr>
        <w:spacing w:after="100" w:before="40"/>
      </w:pPr>
    </w:p>
    <w:p w14:paraId="6F801667" w14:textId="77777777" w:rsidR="00B8424E" w:rsidRDefault="00B8424E">
      <w:pPr>
        <w:spacing w:after="100" w:before="40"/>
      </w:pPr>
    </w:p>
    <w:p w14:paraId="1FE85845" w14:textId="77777777" w:rsidR="00B8424E" w:rsidRDefault="00B8424E">
      <w:pPr>
        <w:spacing w:after="100" w:before="40"/>
      </w:pPr>
    </w:p>
    <w:p w14:paraId="2F8F0371" w14:textId="77777777" w:rsidR="00B8424E" w:rsidRDefault="00B8424E">
      <w:pPr>
        <w:spacing w:after="100" w:before="40"/>
      </w:pPr>
    </w:p>
    <w:p w14:paraId="1C83DE9E" w14:textId="77777777" w:rsidR="00B8424E" w:rsidRDefault="00B8424E">
      <w:pPr>
        <w:spacing w:after="100" w:before="40"/>
      </w:pPr>
    </w:p>
    <w:p w14:paraId="0A0021B4" w14:textId="77777777" w:rsidR="00B8424E" w:rsidRDefault="00B8424E">
      <w:pPr>
        <w:spacing w:after="100" w:before="40"/>
      </w:pPr>
    </w:p>
    <w:p w14:paraId="4219A2C0" w14:textId="77777777" w:rsidR="00B8424E" w:rsidRDefault="00B8424E">
      <w:pPr>
        <w:spacing w:after="100" w:before="40"/>
      </w:pPr>
    </w:p>
    <w:p w14:paraId="6C85679B" w14:textId="77777777" w:rsidR="00B8424E" w:rsidRDefault="00B8424E">
      <w:pPr>
        <w:spacing w:after="100" w:before="40"/>
      </w:pPr>
    </w:p>
    <w:p w14:paraId="54E48691" w14:textId="77777777" w:rsidR="00B8424E" w:rsidRDefault="00B8424E">
      <w:pPr>
        <w:spacing w:after="100" w:before="40"/>
      </w:pPr>
    </w:p>
    <w:p w14:paraId="5E0B39D2" w14:textId="77777777" w:rsidR="00E66F1D" w:rsidRDefault="00E66F1D">
      <w:pPr>
        <w:spacing w:after="100" w:before="40"/>
      </w:pPr>
    </w:p>
    <w:p w14:paraId="6FB622A0" w14:textId="77777777" w:rsidR="00E66F1D" w:rsidRDefault="00E66F1D">
      <w:pPr>
        <w:spacing w:after="100" w:before="40"/>
      </w:pPr>
    </w:p>
    <w:p w14:paraId="395B3F33" w14:textId="77777777" w:rsidR="00B74867" w:rsidRDefault="00540119">
      <w:pPr>
        <w:pStyle w:val="Heading1"/>
        <w:spacing w:after="140" w:before="160"/>
      </w:pPr>
      <w:r>
        <w:rPr>
          <w:rFonts w:ascii="Calibri" w:hAnsi="Calibri"/>
          <w:color w:val="000000"/>
          <w:sz w:val="20"/>
        </w:rPr>
        <w:t>References</w:t>
      </w:r>
    </w:p>
    <w:p w14:paraId="7C9450BB" w14:textId="77777777" w:rsidR="00B74867" w:rsidRDefault="00540119">
      <w:pPr>
        <w:spacing w:after="100" w:before="40"/>
      </w:pPr>
      <w:r>
        <w:rPr>
          <w:rFonts w:ascii="Calibri" w:hAnsi="Calibri"/>
          <w:color w:val="000000"/>
          <w:sz w:val="20"/>
        </w:rPr>
        <w:t>AQ-1 Project Team 2026, AQ-1 Secure Aquaculture IoT, GitHub repository, viewed 11 October 2026, &lt;https://github.com/nininehaa/aq1-secure-aquaculture-iot&gt;.</w:t>
      </w:r>
    </w:p>
    <w:p w14:paraId="60EA0187" w14:textId="77777777" w:rsidR="00B74867" w:rsidRDefault="00540119">
      <w:pPr>
        <w:spacing w:after="100" w:before="40"/>
      </w:pPr>
      <w:r>
        <w:rPr>
          <w:rFonts w:ascii="Calibri" w:hAnsi="Calibri"/>
          <w:color w:val="000000"/>
          <w:sz w:val="20"/>
        </w:rPr>
        <w:t>Alpine Linux n.d., Alpine Linux documentation, viewed 11 October 2026, &lt;https://wiki.alpinelinux.org/&gt;.</w:t>
      </w:r>
    </w:p>
    <w:p w14:paraId="0C4991F4" w14:textId="77777777" w:rsidR="00B74867" w:rsidRDefault="00540119">
      <w:pPr>
        <w:spacing w:after="100" w:before="40"/>
      </w:pPr>
      <w:r>
        <w:rPr>
          <w:rFonts w:ascii="Calibri" w:hAnsi="Calibri"/>
          <w:color w:val="000000"/>
          <w:sz w:val="20"/>
        </w:rPr>
        <w:t>Eclipse Foundation n.d., Eclipse Mosquitto documentation, viewed 11 October 2026, &lt;https://mosquitto.org/documentation/&gt;.</w:t>
      </w:r>
    </w:p>
    <w:p w14:paraId="7D71056B" w14:textId="77777777" w:rsidR="00B74867" w:rsidRDefault="00540119">
      <w:pPr>
        <w:spacing w:after="100" w:before="40"/>
      </w:pPr>
      <w:r>
        <w:rPr>
          <w:rFonts w:ascii="Calibri" w:hAnsi="Calibri"/>
          <w:color w:val="000000"/>
          <w:sz w:val="20"/>
        </w:rPr>
        <w:t>OASIS 2019, MQTT version 5.0, OASIS Standard, viewed 11 October 2026, &lt;https://docs.oasis-open.org/mqtt/mqtt/v5.0/mqtt-v5.0.html&gt;.</w:t>
      </w:r>
    </w:p>
    <w:p w14:paraId="73E9DA85" w14:textId="77777777" w:rsidR="00B74867" w:rsidRDefault="00540119">
      <w:pPr>
        <w:spacing w:after="100" w:before="40"/>
      </w:pPr>
      <w:r>
        <w:rPr>
          <w:rFonts w:ascii="Calibri" w:hAnsi="Calibri"/>
          <w:color w:val="000000"/>
          <w:sz w:val="20"/>
        </w:rPr>
        <w:t>OpenJS Foundation n.d., Node-RED documentation, viewed 11 October 2026, &lt;https://nodered.org/docs/&gt;.</w:t>
      </w:r>
    </w:p>
    <w:p w14:paraId="6D711BDF" w14:textId="77777777" w:rsidR="00B74867" w:rsidRDefault="00540119">
      <w:pPr>
        <w:spacing w:after="100" w:before="40"/>
      </w:pPr>
      <w:r>
        <w:rPr>
          <w:rFonts w:ascii="Calibri" w:hAnsi="Calibri"/>
          <w:color w:val="000000"/>
          <w:sz w:val="20"/>
        </w:rPr>
        <w:t>Python Software Foundation n.d., hmac — Keyed-hashing for message authentication, Python documentation, viewed 11 October 2026, &lt;https://docs.python.org/3/library/hmac.html&gt;.</w:t>
      </w:r>
    </w:p>
    <w:p w14:paraId="27472815" w14:textId="77777777" w:rsidR="00B74867" w:rsidRDefault="00540119">
      <w:pPr>
        <w:spacing w:after="100" w:before="40"/>
      </w:pPr>
      <w:r>
        <w:rPr>
          <w:rFonts w:ascii="Calibri" w:hAnsi="Calibri"/>
          <w:color w:val="000000"/>
          <w:sz w:val="20"/>
        </w:rPr>
        <w:t>VMware n.d., VMware Workstation Pro documentation, Broadcom, viewed 11 October 2026, &lt;https://techdocs.broadcom.com/&gt;.</w:t>
      </w:r>
    </w:p>
    <w:sectPr w:rsidR="00B74867" w:rsidSect="002E4417">
      <w:footerReference w:type="default" r:id="rId25"/>
      <w:headerReference w:type="default" r:id="rId28"/>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5F743" w14:textId="77777777" w:rsidR="00540119" w:rsidRDefault="00540119">
      <w:pPr>
        <w:spacing w:after="0" w:line="240" w:lineRule="auto"/>
      </w:pPr>
      <w:r>
        <w:separator/>
      </w:r>
    </w:p>
  </w:endnote>
  <w:endnote w:type="continuationSeparator" w:id="0">
    <w:p w14:paraId="3C69A5DF" w14:textId="77777777" w:rsidR="00540119" w:rsidRDefault="00540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9ED2" w14:textId="77777777" w:rsidR="000028DC" w:rsidRDefault="00540119">
    <w:pPr>
      <w:pStyle w:val="Footer"/>
      <w:spacing w:after="140" w:before="160"/>
      <w:jc w:val="right"/>
    </w:pPr>
    <w:r>
      <w:rPr>
        <w:color w:val="000000"/>
      </w:rPr>
      <w:t>AQ-1 | Technical Artefact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54D05" w14:textId="77777777" w:rsidR="00540119" w:rsidRDefault="00540119">
      <w:pPr>
        <w:spacing w:after="0" w:line="240" w:lineRule="auto"/>
      </w:pPr>
      <w:r>
        <w:separator/>
      </w:r>
    </w:p>
  </w:footnote>
  <w:footnote w:type="continuationSeparator" w:id="0">
    <w:p w14:paraId="03FD1C81" w14:textId="77777777" w:rsidR="00540119" w:rsidRDefault="0054011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40" w:before="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226060">
    <w:abstractNumId w:val="8"/>
  </w:num>
  <w:num w:numId="2" w16cid:durableId="1620450694">
    <w:abstractNumId w:val="6"/>
  </w:num>
  <w:num w:numId="3" w16cid:durableId="275142931">
    <w:abstractNumId w:val="5"/>
  </w:num>
  <w:num w:numId="4" w16cid:durableId="1787187659">
    <w:abstractNumId w:val="4"/>
  </w:num>
  <w:num w:numId="5" w16cid:durableId="1209684289">
    <w:abstractNumId w:val="7"/>
  </w:num>
  <w:num w:numId="6" w16cid:durableId="791166470">
    <w:abstractNumId w:val="3"/>
  </w:num>
  <w:num w:numId="7" w16cid:durableId="2012484794">
    <w:abstractNumId w:val="2"/>
  </w:num>
  <w:num w:numId="8" w16cid:durableId="455219765">
    <w:abstractNumId w:val="1"/>
  </w:num>
  <w:num w:numId="9" w16cid:durableId="177617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DC"/>
    <w:rsid w:val="00034616"/>
    <w:rsid w:val="0006063C"/>
    <w:rsid w:val="00146068"/>
    <w:rsid w:val="0015074B"/>
    <w:rsid w:val="00180BA5"/>
    <w:rsid w:val="0018583B"/>
    <w:rsid w:val="00252995"/>
    <w:rsid w:val="0029639D"/>
    <w:rsid w:val="002D67F3"/>
    <w:rsid w:val="002E2F00"/>
    <w:rsid w:val="002E4417"/>
    <w:rsid w:val="00326F90"/>
    <w:rsid w:val="003A4EF9"/>
    <w:rsid w:val="00540119"/>
    <w:rsid w:val="005848E1"/>
    <w:rsid w:val="005D4679"/>
    <w:rsid w:val="00657A10"/>
    <w:rsid w:val="00662655"/>
    <w:rsid w:val="00721C61"/>
    <w:rsid w:val="00736D30"/>
    <w:rsid w:val="00797785"/>
    <w:rsid w:val="0081306D"/>
    <w:rsid w:val="008903FD"/>
    <w:rsid w:val="008B64B1"/>
    <w:rsid w:val="00940673"/>
    <w:rsid w:val="009E0485"/>
    <w:rsid w:val="00A13F6A"/>
    <w:rsid w:val="00A6346C"/>
    <w:rsid w:val="00AA1D8D"/>
    <w:rsid w:val="00B47730"/>
    <w:rsid w:val="00B74867"/>
    <w:rsid w:val="00B8424E"/>
    <w:rsid w:val="00CB0664"/>
    <w:rsid w:val="00CF07CF"/>
    <w:rsid w:val="00E66F1D"/>
    <w:rsid w:val="00EC78C6"/>
    <w:rsid w:val="00F006B3"/>
    <w:rsid w:val="00FA5610"/>
    <w:rsid w:val="00FC693F"/>
    <w:rsid w:val="00FE34A4"/>
    <w:rsid w:val="00FF39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A922C"/>
  <w14:defaultImageDpi w14:val="300"/>
  <w15:docId w15:val="{8D5FF469-4A30-4D98-871A-54F4E126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60" w:line="240" w:lineRule="auto"/>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28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ind w:left="360"/>
      <w:contextualSpacing/>
    </w:pPr>
    <w:rPr>
      <w:rFonts w:ascii="Calibri" w:hAnsi="Calibri"/>
      <w:color w:val="000000"/>
    </w:rPr>
  </w:style>
  <w:style w:type="paragraph" w:styleId="ListContinue2">
    <w:name w:val="List Continue 2"/>
    <w:basedOn w:val="Normal"/>
    <w:uiPriority w:val="99"/>
    <w:unhideWhenUsed/>
    <w:rsid w:val="0029639D"/>
    <w:pPr>
      <w:ind w:left="720"/>
      <w:contextualSpacing/>
    </w:pPr>
    <w:rPr>
      <w:rFonts w:ascii="Calibri" w:hAnsi="Calibri"/>
      <w:color w:val="000000"/>
    </w:rPr>
  </w:style>
  <w:style w:type="paragraph" w:styleId="ListContinue3">
    <w:name w:val="List Continue 3"/>
    <w:basedOn w:val="Normal"/>
    <w:uiPriority w:val="99"/>
    <w:unhideWhenUsed/>
    <w:rsid w:val="0029639D"/>
    <w:pPr>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QCaption">
    <w:name w:val="AQ Caption"/>
    <w:pPr>
      <w:spacing w:before="60" w:after="100"/>
    </w:pPr>
    <w:rPr>
      <w:rFonts w:ascii="Calibri" w:hAnsi="Calibri"/>
      <w: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4319</Words>
  <Characters>24621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AQ-1 Cyber Security Project – Technical Artefact</dc:subject>
  <dc:creator>python-docx</dc:creator>
  <cp:keywords>AQ-1, MQTT, HMAC-SHA256, cyber security, aquaculture, capstone</cp:keywords>
  <dc:description>generated by python-docx</dc:description>
  <cp:lastModifiedBy>Neha Thanait</cp:lastModifiedBy>
  <cp:revision>2</cp:revision>
  <dcterms:created xsi:type="dcterms:W3CDTF">2026-10-11T10:55:00Z</dcterms:created>
  <dcterms:modified xsi:type="dcterms:W3CDTF">2026-10-11T10:55:00Z</dcterms:modified>
  <cp:category/>
</cp:coreProperties>
</file>