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57" w:rsidRPr="005D450C" w:rsidRDefault="001F7B57">
      <w:pPr>
        <w:rPr>
          <w:rFonts w:ascii="Consolas" w:hAnsi="Consolas"/>
          <w:b/>
          <w:i/>
          <w:sz w:val="36"/>
          <w:u w:val="single"/>
        </w:rPr>
      </w:pPr>
      <w:r w:rsidRPr="005D450C">
        <w:rPr>
          <w:rFonts w:ascii="Consolas" w:hAnsi="Consolas"/>
          <w:b/>
          <w:i/>
          <w:sz w:val="36"/>
          <w:u w:val="single"/>
        </w:rPr>
        <w:t>Within a Constructor</w:t>
      </w:r>
    </w:p>
    <w:p w:rsidR="006B75C1" w:rsidRPr="00C06854" w:rsidRDefault="005607E5">
      <w:pPr>
        <w:rPr>
          <w:rFonts w:ascii="Consolas" w:hAnsi="Consolas"/>
        </w:rPr>
      </w:pPr>
      <w:r w:rsidRPr="00C06854">
        <w:rPr>
          <w:rFonts w:ascii="Consolas" w:hAnsi="Consolas"/>
        </w:rPr>
        <w:t>- “this.propName” will create a public variable</w:t>
      </w:r>
    </w:p>
    <w:p w:rsidR="005607E5" w:rsidRPr="00C06854" w:rsidRDefault="005607E5">
      <w:pPr>
        <w:rPr>
          <w:rFonts w:ascii="Consolas" w:hAnsi="Consolas"/>
        </w:rPr>
      </w:pPr>
      <w:r w:rsidRPr="00C06854">
        <w:rPr>
          <w:rFonts w:ascii="Consolas" w:hAnsi="Consolas"/>
        </w:rPr>
        <w:t>- “var propertyName” will create a private variable</w:t>
      </w:r>
    </w:p>
    <w:p w:rsidR="005607E5" w:rsidRPr="00C06854" w:rsidRDefault="003279AB">
      <w:pPr>
        <w:rPr>
          <w:rFonts w:ascii="Consolas" w:hAnsi="Consolas"/>
        </w:rPr>
      </w:pPr>
      <w:r w:rsidRPr="00C06854">
        <w:rPr>
          <w:rFonts w:ascii="Consolas" w:hAnsi="Consolas"/>
        </w:rPr>
        <w:t>- “this.funcName = function(){}” will create a public function</w:t>
      </w:r>
    </w:p>
    <w:p w:rsidR="003279AB" w:rsidRPr="00C06854" w:rsidRDefault="003279AB">
      <w:pPr>
        <w:rPr>
          <w:rFonts w:ascii="Consolas" w:hAnsi="Consolas"/>
        </w:rPr>
      </w:pPr>
      <w:r w:rsidRPr="00C06854">
        <w:rPr>
          <w:rFonts w:ascii="Consolas" w:hAnsi="Consolas"/>
        </w:rPr>
        <w:t>- “var funcName = function(){}” will create a private function</w:t>
      </w:r>
    </w:p>
    <w:p w:rsidR="00EC7F7E" w:rsidRPr="00C06854" w:rsidRDefault="00EC7F7E">
      <w:pPr>
        <w:rPr>
          <w:rFonts w:ascii="Consolas" w:hAnsi="Consolas"/>
        </w:rPr>
      </w:pPr>
    </w:p>
    <w:p w:rsidR="00EC7F7E" w:rsidRPr="00C06854" w:rsidRDefault="00EC7F7E">
      <w:pPr>
        <w:rPr>
          <w:rFonts w:ascii="Consolas" w:hAnsi="Consolas"/>
        </w:rPr>
      </w:pPr>
      <w:r w:rsidRPr="00C06854">
        <w:rPr>
          <w:rFonts w:ascii="Consolas" w:hAnsi="Consolas"/>
        </w:rPr>
        <w:t>- Public properties and methods must be referred to using the “this.”</w:t>
      </w:r>
      <w:r w:rsidR="008F220A" w:rsidRPr="00C06854">
        <w:rPr>
          <w:rFonts w:ascii="Consolas" w:hAnsi="Consolas"/>
        </w:rPr>
        <w:t xml:space="preserve"> keyword.</w:t>
      </w:r>
    </w:p>
    <w:p w:rsidR="008F220A" w:rsidRDefault="008F220A">
      <w:pPr>
        <w:rPr>
          <w:rFonts w:ascii="Consolas" w:hAnsi="Consolas"/>
        </w:rPr>
      </w:pPr>
      <w:r w:rsidRPr="00C06854">
        <w:rPr>
          <w:rFonts w:ascii="Consolas" w:hAnsi="Consolas"/>
        </w:rPr>
        <w:t xml:space="preserve">- Private properties and methods must simply be </w:t>
      </w:r>
      <w:r w:rsidR="000A5CA8" w:rsidRPr="00C06854">
        <w:rPr>
          <w:rFonts w:ascii="Consolas" w:hAnsi="Consolas"/>
        </w:rPr>
        <w:t>referred</w:t>
      </w:r>
      <w:r w:rsidRPr="00C06854">
        <w:rPr>
          <w:rFonts w:ascii="Consolas" w:hAnsi="Consolas"/>
        </w:rPr>
        <w:t xml:space="preserve"> to with their name without the “this.” keyword.</w:t>
      </w:r>
    </w:p>
    <w:p w:rsidR="00F763AD" w:rsidRPr="00C06854" w:rsidRDefault="00F763AD">
      <w:pPr>
        <w:rPr>
          <w:rFonts w:ascii="Consolas" w:hAnsi="Consolas"/>
        </w:rPr>
      </w:pPr>
      <w:r>
        <w:rPr>
          <w:rFonts w:ascii="Consolas" w:hAnsi="Consolas"/>
        </w:rPr>
        <w:t>- Referring to private properties and methods with the “this.” keyword will result in an error and should not be done.</w:t>
      </w:r>
    </w:p>
    <w:p w:rsidR="00673FC0" w:rsidRDefault="00673FC0">
      <w:pPr>
        <w:rPr>
          <w:rFonts w:ascii="Consolas" w:hAnsi="Consolas"/>
        </w:rPr>
      </w:pPr>
      <w:r w:rsidRPr="00673FC0">
        <w:rPr>
          <w:rFonts w:ascii="Consolas" w:hAnsi="Consolas"/>
        </w:rPr>
        <w:t xml:space="preserve">- </w:t>
      </w:r>
      <w:r w:rsidR="00F0404E" w:rsidRPr="00C06854">
        <w:rPr>
          <w:rFonts w:ascii="Consolas" w:hAnsi="Consolas"/>
        </w:rPr>
        <w:t xml:space="preserve">Attempting to refer to a public property without the “this.” keyword will actually create a new variable that is private and </w:t>
      </w:r>
      <w:r w:rsidR="00C06854" w:rsidRPr="00C06854">
        <w:rPr>
          <w:rFonts w:ascii="Consolas" w:hAnsi="Consolas"/>
        </w:rPr>
        <w:t>accessible</w:t>
      </w:r>
      <w:r w:rsidR="00F0404E" w:rsidRPr="00C06854">
        <w:rPr>
          <w:rFonts w:ascii="Consolas" w:hAnsi="Consolas"/>
        </w:rPr>
        <w:t xml:space="preserve"> throughout the entire class.</w:t>
      </w:r>
    </w:p>
    <w:p w:rsidR="009A6A45" w:rsidRDefault="00CC435B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090336">
        <w:rPr>
          <w:rFonts w:ascii="Consolas" w:hAnsi="Consolas"/>
        </w:rPr>
        <w:t xml:space="preserve">The context of the “this.” keyword changes when used in a function to passed to </w:t>
      </w:r>
      <w:r>
        <w:rPr>
          <w:rFonts w:ascii="Consolas" w:hAnsi="Consolas"/>
        </w:rPr>
        <w:t>“setInterval(functionName, delay)</w:t>
      </w:r>
      <w:r w:rsidR="00090336">
        <w:rPr>
          <w:rFonts w:ascii="Consolas" w:hAnsi="Consolas"/>
        </w:rPr>
        <w:t>”. When “setInterval()” calls that function, “this.” no longer refers to the class object but to the global object.</w:t>
      </w:r>
    </w:p>
    <w:p w:rsidR="00CC435B" w:rsidRDefault="00661438" w:rsidP="009A6A45">
      <w:pPr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6AC24" wp14:editId="7B26A915">
                <wp:simplePos x="0" y="0"/>
                <wp:positionH relativeFrom="column">
                  <wp:posOffset>123825</wp:posOffset>
                </wp:positionH>
                <wp:positionV relativeFrom="paragraph">
                  <wp:posOffset>877570</wp:posOffset>
                </wp:positionV>
                <wp:extent cx="5886450" cy="3819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FC0" w:rsidRPr="00E417D2" w:rsidRDefault="00673FC0" w:rsidP="00E76CD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/*Constructor*/ 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</w:rPr>
                              <w:t>function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 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MyClass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() {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this.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 xml:space="preserve">publicProperty 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= “Property”;</w:t>
                            </w:r>
                          </w:p>
                          <w:p w:rsidR="00E76CD0" w:rsidRDefault="00673FC0" w:rsidP="00E76CD0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this.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 xml:space="preserve">Method1 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= 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</w:rPr>
                              <w:t>function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() </w:t>
                            </w:r>
                          </w:p>
                          <w:p w:rsidR="004A0379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{</w:t>
                            </w:r>
                          </w:p>
                          <w:p w:rsidR="00673FC0" w:rsidRPr="00E417D2" w:rsidRDefault="004A0379" w:rsidP="00E76CD0">
                            <w:pPr>
                              <w:spacing w:after="0" w:line="360" w:lineRule="auto"/>
                              <w:ind w:left="144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//New variable created that is private</w:t>
                            </w:r>
                            <w:r w:rsidR="00673FC0"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br/>
                            </w:r>
                            <w:r w:rsidR="00673FC0"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 xml:space="preserve">publicProperty </w:t>
                            </w:r>
                            <w:r w:rsidR="00673FC0"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= “New Private Property”;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console.log(this.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publicProperty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);</w:t>
                            </w:r>
                            <w:r w:rsidR="005B3A26"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 //Property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console.log(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publicProperty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);</w:t>
                            </w:r>
                            <w:r w:rsidR="005B3A26"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 //New Private Property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}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this.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Method1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();</w:t>
                            </w:r>
                          </w:p>
                          <w:p w:rsidR="00E76CD0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this.Method2 = 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FF0000"/>
                                <w:sz w:val="20"/>
                              </w:rPr>
                              <w:t xml:space="preserve">function 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Method2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 xml:space="preserve">() 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left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{</w:t>
                            </w:r>
                          </w:p>
                          <w:p w:rsidR="00E417D2" w:rsidRPr="00E417D2" w:rsidRDefault="00E417D2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console.log(this.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publicProperty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); //Property</w:t>
                            </w:r>
                          </w:p>
                          <w:p w:rsidR="00E417D2" w:rsidRPr="00E417D2" w:rsidRDefault="00E417D2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ab/>
                              <w:t>console.log(</w:t>
                            </w:r>
                            <w:r w:rsidRPr="003721E6">
                              <w:rPr>
                                <w:rFonts w:ascii="Consolas" w:hAnsi="Consolas"/>
                                <w:b/>
                                <w:color w:val="E36C0A" w:themeColor="accent6" w:themeShade="BF"/>
                                <w:sz w:val="20"/>
                              </w:rPr>
                              <w:t>publicProperty</w:t>
                            </w: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); //New Private Property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ind w:firstLine="720"/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}</w:t>
                            </w:r>
                          </w:p>
                          <w:p w:rsidR="00673FC0" w:rsidRPr="00E417D2" w:rsidRDefault="00673FC0" w:rsidP="00E76CD0">
                            <w:pPr>
                              <w:spacing w:after="0" w:line="360" w:lineRule="auto"/>
                              <w:rPr>
                                <w:b/>
                                <w:color w:val="365F91" w:themeColor="accent1" w:themeShade="BF"/>
                                <w:sz w:val="20"/>
                              </w:rPr>
                            </w:pPr>
                            <w:r w:rsidRPr="00E417D2">
                              <w:rPr>
                                <w:rFonts w:ascii="Consolas" w:hAnsi="Consolas"/>
                                <w:b/>
                                <w:color w:val="365F91" w:themeColor="accent1" w:themeShade="BF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.75pt;margin-top:69.1pt;width:463.5pt;height:30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" fillcolor="white [3201]" strokeweight=".5pt">
                <v:textbox>
                  <w:txbxContent>
                    <w:p w:rsidR="00673FC0" w:rsidRPr="00E417D2" w:rsidRDefault="00673FC0" w:rsidP="00E76CD0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/*Constructor*/ </w:t>
                      </w:r>
                      <w:r w:rsidRPr="003721E6">
                        <w:rPr>
                          <w:rFonts w:ascii="Consolas" w:hAnsi="Consolas"/>
                          <w:b/>
                          <w:color w:val="FF0000"/>
                          <w:sz w:val="20"/>
                        </w:rPr>
                        <w:t>function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 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MyClass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() {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this.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 xml:space="preserve">publicProperty 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= “Property”;</w:t>
                      </w:r>
                    </w:p>
                    <w:p w:rsidR="00E76CD0" w:rsidRDefault="00673FC0" w:rsidP="00E76CD0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this.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 xml:space="preserve">Method1 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= </w:t>
                      </w:r>
                      <w:r w:rsidRPr="003721E6">
                        <w:rPr>
                          <w:rFonts w:ascii="Consolas" w:hAnsi="Consolas"/>
                          <w:b/>
                          <w:color w:val="FF0000"/>
                          <w:sz w:val="20"/>
                        </w:rPr>
                        <w:t>function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() </w:t>
                      </w:r>
                    </w:p>
                    <w:p w:rsidR="004A0379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{</w:t>
                      </w:r>
                    </w:p>
                    <w:p w:rsidR="00673FC0" w:rsidRPr="00E417D2" w:rsidRDefault="004A0379" w:rsidP="00E76CD0">
                      <w:pPr>
                        <w:spacing w:after="0" w:line="360" w:lineRule="auto"/>
                        <w:ind w:left="144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//New variable created that is private</w:t>
                      </w:r>
                      <w:r w:rsidR="00673FC0"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br/>
                      </w:r>
                      <w:r w:rsidR="00673FC0"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 xml:space="preserve">publicProperty </w:t>
                      </w:r>
                      <w:r w:rsidR="00673FC0"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= “New Private Property”;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console.log(this.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publicProperty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);</w:t>
                      </w:r>
                      <w:r w:rsidR="005B3A26"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 //Property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console.log(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publicProperty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);</w:t>
                      </w:r>
                      <w:r w:rsidR="005B3A26"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 //New Private Property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}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this.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Method1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();</w:t>
                      </w:r>
                    </w:p>
                    <w:p w:rsidR="00E76CD0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this.Method2 = </w:t>
                      </w:r>
                      <w:r w:rsidRPr="003721E6">
                        <w:rPr>
                          <w:rFonts w:ascii="Consolas" w:hAnsi="Consolas"/>
                          <w:b/>
                          <w:color w:val="FF0000"/>
                          <w:sz w:val="20"/>
                        </w:rPr>
                        <w:t xml:space="preserve">function 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Method2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 xml:space="preserve">() 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left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{</w:t>
                      </w:r>
                    </w:p>
                    <w:p w:rsidR="00E417D2" w:rsidRPr="00E417D2" w:rsidRDefault="00E417D2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console.log(this.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publicProperty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); //Property</w:t>
                      </w:r>
                    </w:p>
                    <w:p w:rsidR="00E417D2" w:rsidRPr="00E417D2" w:rsidRDefault="00E417D2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ab/>
                        <w:t>console.log(</w:t>
                      </w:r>
                      <w:r w:rsidRPr="003721E6">
                        <w:rPr>
                          <w:rFonts w:ascii="Consolas" w:hAnsi="Consolas"/>
                          <w:b/>
                          <w:color w:val="E36C0A" w:themeColor="accent6" w:themeShade="BF"/>
                          <w:sz w:val="20"/>
                        </w:rPr>
                        <w:t>publicProperty</w:t>
                      </w: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); //New Private Property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ind w:firstLine="720"/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}</w:t>
                      </w:r>
                    </w:p>
                    <w:p w:rsidR="00673FC0" w:rsidRPr="00E417D2" w:rsidRDefault="00673FC0" w:rsidP="00E76CD0">
                      <w:pPr>
                        <w:spacing w:after="0" w:line="360" w:lineRule="auto"/>
                        <w:rPr>
                          <w:b/>
                          <w:color w:val="365F91" w:themeColor="accent1" w:themeShade="BF"/>
                          <w:sz w:val="20"/>
                        </w:rPr>
                      </w:pPr>
                      <w:r w:rsidRPr="00E417D2">
                        <w:rPr>
                          <w:rFonts w:ascii="Consolas" w:hAnsi="Consolas"/>
                          <w:b/>
                          <w:color w:val="365F91" w:themeColor="accent1" w:themeShade="BF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0336">
        <w:rPr>
          <w:rFonts w:ascii="Consolas" w:hAnsi="Consolas"/>
        </w:rPr>
        <w:t xml:space="preserve">To solve this, create a private property “var self = this” and use “self.” instead of “this.” within functions passed to “setInterval()”. </w:t>
      </w:r>
      <w:r w:rsidR="009A6A45">
        <w:rPr>
          <w:rFonts w:ascii="Consolas" w:hAnsi="Consolas"/>
        </w:rPr>
        <w:t>Alternatively</w:t>
      </w:r>
      <w:r w:rsidR="00090336">
        <w:rPr>
          <w:rFonts w:ascii="Consolas" w:hAnsi="Consolas"/>
        </w:rPr>
        <w:t xml:space="preserve"> use “call()” or “apply()” methods to call the functions and specify the context of the “this.” keyword in the arguments.</w:t>
      </w:r>
      <w:r w:rsidR="00090336">
        <w:rPr>
          <w:rFonts w:ascii="Consolas" w:hAnsi="Consolas"/>
        </w:rPr>
        <w:br/>
        <w:t xml:space="preserve"> </w:t>
      </w:r>
    </w:p>
    <w:p w:rsidR="00661438" w:rsidRDefault="00661438">
      <w:pPr>
        <w:rPr>
          <w:rFonts w:ascii="Consolas" w:hAnsi="Consolas"/>
        </w:rPr>
      </w:pPr>
    </w:p>
    <w:p w:rsidR="00661438" w:rsidRDefault="0066143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534E1B" w:rsidRPr="00673FC0" w:rsidRDefault="00661438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Internet Explorer does not support the javascript method </w:t>
      </w:r>
      <w:r w:rsidR="001F31DD">
        <w:rPr>
          <w:rFonts w:ascii="Consolas" w:hAnsi="Consolas"/>
        </w:rPr>
        <w:t>“</w:t>
      </w:r>
      <w:r>
        <w:rPr>
          <w:rFonts w:ascii="Consolas" w:hAnsi="Consolas"/>
        </w:rPr>
        <w:t>Math.sign()</w:t>
      </w:r>
      <w:bookmarkStart w:id="0" w:name="_GoBack"/>
      <w:bookmarkEnd w:id="0"/>
    </w:p>
    <w:sectPr w:rsidR="00534E1B" w:rsidRPr="00673FC0" w:rsidSect="00AD3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E"/>
    <w:rsid w:val="00090336"/>
    <w:rsid w:val="000A5CA8"/>
    <w:rsid w:val="00127F11"/>
    <w:rsid w:val="001E3DA7"/>
    <w:rsid w:val="001F31DD"/>
    <w:rsid w:val="001F7B57"/>
    <w:rsid w:val="00230ABA"/>
    <w:rsid w:val="002B5AED"/>
    <w:rsid w:val="003279AB"/>
    <w:rsid w:val="003721E6"/>
    <w:rsid w:val="003D375B"/>
    <w:rsid w:val="003F6AFF"/>
    <w:rsid w:val="004A0379"/>
    <w:rsid w:val="00534E1B"/>
    <w:rsid w:val="005607E5"/>
    <w:rsid w:val="005B3A26"/>
    <w:rsid w:val="005D450C"/>
    <w:rsid w:val="00661438"/>
    <w:rsid w:val="00673FC0"/>
    <w:rsid w:val="007500DB"/>
    <w:rsid w:val="007B5349"/>
    <w:rsid w:val="008F220A"/>
    <w:rsid w:val="0091696F"/>
    <w:rsid w:val="00997366"/>
    <w:rsid w:val="009A6A45"/>
    <w:rsid w:val="00A36A42"/>
    <w:rsid w:val="00AC12CD"/>
    <w:rsid w:val="00AD3A89"/>
    <w:rsid w:val="00B632D5"/>
    <w:rsid w:val="00C06854"/>
    <w:rsid w:val="00C62C0A"/>
    <w:rsid w:val="00CC435B"/>
    <w:rsid w:val="00DC58FE"/>
    <w:rsid w:val="00E417D2"/>
    <w:rsid w:val="00E76CD0"/>
    <w:rsid w:val="00EC7F7E"/>
    <w:rsid w:val="00F0404E"/>
    <w:rsid w:val="00F763AD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2ADAA-DD2B-4FCD-A627-B6BA14E2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2017-03-21T14:56:00Z</dcterms:created>
  <dcterms:modified xsi:type="dcterms:W3CDTF">2017-03-22T02:05:00Z</dcterms:modified>
</cp:coreProperties>
</file>