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2480 Dundas Street West — Deal Screen</w:t>
      </w:r>
    </w:p>
    <w:p>
      <w:r>
        <w:rPr>
          <w:color w:val="666666"/>
          <w:sz w:val="17"/>
        </w:rPr>
        <w:t>2480 Dundas Street West, High Park North, Toronto, ON, M6P 1W9 · mixed-use · 14 units · 10,756 sf · Screened 2026-09-04 · Source: Dundas Brochure.pdf</w:t>
      </w:r>
    </w:p>
    <w:p>
      <w:r>
        <w:rPr>
          <w:b/>
        </w:rPr>
        <w:t xml:space="preserve">Read:  </w:t>
      </w:r>
      <w:r>
        <w:t>Fourteen live/work loft studios plus rooftop signage income in a substantially renovated 1918 brick building in High Park North, generating $447k in annual revenue at documented 100% occupancy. The case is development: the site sits within 1 km of major mixed-use redevelopment (Bloor/Dundas Choice) and adjacent to two further development sites, with industrial zoning permitting more intensive uses. Cap rate of 6.15% reflects both stabilized income and development premium.</w:t>
      </w:r>
    </w:p>
    <w:p>
      <w:pPr>
        <w:pStyle w:val="Heading1"/>
      </w:pPr>
      <w:r>
        <w:t>Snapshot</w:t>
      </w:r>
    </w:p>
    <w:tbl>
      <w:tblPr>
        <w:tblStyle w:val="TableGrid"/>
        <w:tblW w:type="auto" w:w="0"/>
        <w:tblLayout w:type="fixed"/>
        <w:tblLook w:firstColumn="1" w:firstRow="1" w:lastColumn="0" w:lastRow="0" w:noHBand="0" w:noVBand="1" w:val="04A0"/>
      </w:tblPr>
      <w:tblGrid>
        <w:gridCol w:w="4896"/>
        <w:gridCol w:w="4896"/>
      </w:tblGrid>
      <w:tr>
        <w:tc>
          <w:tcPr>
            <w:tcW w:type="dxa" w:w="3744"/>
          </w:tcPr>
          <w:p>
            <w:r/>
            <w:r>
              <w:rPr>
                <w:b/>
                <w:sz w:val="17"/>
              </w:rPr>
              <w:t>Field</w:t>
            </w:r>
          </w:p>
        </w:tc>
        <w:tc>
          <w:tcPr>
            <w:tcW w:type="dxa" w:w="6048"/>
          </w:tcPr>
          <w:p>
            <w:r/>
            <w:r>
              <w:rPr>
                <w:b/>
                <w:sz w:val="17"/>
              </w:rPr>
              <w:t>Value</w:t>
            </w:r>
          </w:p>
        </w:tc>
      </w:tr>
      <w:tr>
        <w:tc>
          <w:tcPr>
            <w:tcW w:type="dxa" w:w="3744"/>
          </w:tcPr>
          <w:p>
            <w:r/>
            <w:r>
              <w:rPr>
                <w:sz w:val="17"/>
              </w:rPr>
              <w:t>Property name</w:t>
            </w:r>
          </w:p>
        </w:tc>
        <w:tc>
          <w:tcPr>
            <w:tcW w:type="dxa" w:w="6048"/>
          </w:tcPr>
          <w:p>
            <w:r/>
            <w:r>
              <w:rPr>
                <w:sz w:val="17"/>
              </w:rPr>
              <w:t>2480 Dundas Street West</w:t>
            </w:r>
          </w:p>
        </w:tc>
      </w:tr>
      <w:tr>
        <w:tc>
          <w:tcPr>
            <w:tcW w:type="dxa" w:w="3744"/>
          </w:tcPr>
          <w:p>
            <w:r/>
            <w:r>
              <w:rPr>
                <w:sz w:val="17"/>
              </w:rPr>
              <w:t>Address</w:t>
            </w:r>
          </w:p>
        </w:tc>
        <w:tc>
          <w:tcPr>
            <w:tcW w:type="dxa" w:w="6048"/>
          </w:tcPr>
          <w:p>
            <w:r/>
            <w:r>
              <w:rPr>
                <w:sz w:val="17"/>
              </w:rPr>
              <w:t>2480 Dundas Street West, High Park North, Toronto, ON, M6P 1W9</w:t>
            </w:r>
          </w:p>
        </w:tc>
      </w:tr>
      <w:tr>
        <w:tc>
          <w:tcPr>
            <w:tcW w:type="dxa" w:w="3744"/>
          </w:tcPr>
          <w:p>
            <w:r/>
            <w:r>
              <w:rPr>
                <w:sz w:val="17"/>
              </w:rPr>
              <w:t>Asset type</w:t>
            </w:r>
          </w:p>
        </w:tc>
        <w:tc>
          <w:tcPr>
            <w:tcW w:type="dxa" w:w="6048"/>
          </w:tcPr>
          <w:p>
            <w:r/>
            <w:r>
              <w:rPr>
                <w:sz w:val="17"/>
              </w:rPr>
              <w:t>mixed-use</w:t>
            </w:r>
          </w:p>
        </w:tc>
      </w:tr>
      <w:tr>
        <w:tc>
          <w:tcPr>
            <w:tcW w:type="dxa" w:w="3744"/>
          </w:tcPr>
          <w:p>
            <w:r/>
            <w:r>
              <w:rPr>
                <w:sz w:val="17"/>
              </w:rPr>
              <w:t>Asset subtype</w:t>
            </w:r>
          </w:p>
        </w:tc>
        <w:tc>
          <w:tcPr>
            <w:tcW w:type="dxa" w:w="6048"/>
          </w:tcPr>
          <w:p>
            <w:r/>
            <w:r>
              <w:rPr>
                <w:sz w:val="17"/>
              </w:rPr>
              <w:t>live/work loft studios with rooftop signage income</w:t>
            </w:r>
          </w:p>
        </w:tc>
      </w:tr>
      <w:tr>
        <w:tc>
          <w:tcPr>
            <w:tcW w:type="dxa" w:w="3744"/>
          </w:tcPr>
          <w:p>
            <w:r/>
            <w:r>
              <w:rPr>
                <w:sz w:val="17"/>
              </w:rPr>
              <w:t>Year built</w:t>
            </w:r>
          </w:p>
        </w:tc>
        <w:tc>
          <w:tcPr>
            <w:tcW w:type="dxa" w:w="6048"/>
          </w:tcPr>
          <w:p>
            <w:r/>
            <w:r>
              <w:rPr>
                <w:sz w:val="17"/>
              </w:rPr>
              <w:t>1918</w:t>
            </w:r>
          </w:p>
        </w:tc>
      </w:tr>
      <w:tr>
        <w:tc>
          <w:tcPr>
            <w:tcW w:type="dxa" w:w="3744"/>
          </w:tcPr>
          <w:p>
            <w:r/>
            <w:r>
              <w:rPr>
                <w:sz w:val="17"/>
              </w:rPr>
              <w:t>Year renovated</w:t>
            </w:r>
          </w:p>
        </w:tc>
        <w:tc>
          <w:tcPr>
            <w:tcW w:type="dxa" w:w="6048"/>
          </w:tcPr>
          <w:p>
            <w:r/>
            <w:r>
              <w:rPr>
                <w:sz w:val="17"/>
              </w:rPr>
              <w:t>2016</w:t>
            </w:r>
          </w:p>
        </w:tc>
      </w:tr>
      <w:tr>
        <w:tc>
          <w:tcPr>
            <w:tcW w:type="dxa" w:w="3744"/>
          </w:tcPr>
          <w:p>
            <w:r/>
            <w:r>
              <w:rPr>
                <w:sz w:val="17"/>
              </w:rPr>
              <w:t>Storeys</w:t>
            </w:r>
          </w:p>
        </w:tc>
        <w:tc>
          <w:tcPr>
            <w:tcW w:type="dxa" w:w="6048"/>
          </w:tcPr>
          <w:p>
            <w:r/>
            <w:r>
              <w:rPr>
                <w:sz w:val="17"/>
              </w:rPr>
              <w:t>2</w:t>
            </w:r>
          </w:p>
        </w:tc>
      </w:tr>
      <w:tr>
        <w:tc>
          <w:tcPr>
            <w:tcW w:type="dxa" w:w="3744"/>
          </w:tcPr>
          <w:p>
            <w:r/>
            <w:r>
              <w:rPr>
                <w:sz w:val="17"/>
              </w:rPr>
              <w:t>Zoning</w:t>
            </w:r>
          </w:p>
        </w:tc>
        <w:tc>
          <w:tcPr>
            <w:tcW w:type="dxa" w:w="6048"/>
          </w:tcPr>
          <w:p>
            <w:r/>
            <w:r>
              <w:rPr>
                <w:sz w:val="17"/>
              </w:rPr>
              <w:t>I2 IC per offering document; MCR (Industrial and Commercial mixed-use) per LoopNet — sources conflict; verification required</w:t>
            </w:r>
          </w:p>
        </w:tc>
      </w:tr>
      <w:tr>
        <w:tc>
          <w:tcPr>
            <w:tcW w:type="dxa" w:w="3744"/>
          </w:tcPr>
          <w:p>
            <w:r/>
            <w:r>
              <w:rPr>
                <w:sz w:val="17"/>
              </w:rPr>
              <w:t>Total units / suites</w:t>
            </w:r>
          </w:p>
        </w:tc>
        <w:tc>
          <w:tcPr>
            <w:tcW w:type="dxa" w:w="6048"/>
          </w:tcPr>
          <w:p>
            <w:r/>
            <w:r>
              <w:rPr>
                <w:sz w:val="17"/>
              </w:rPr>
              <w:t>14</w:t>
            </w:r>
          </w:p>
        </w:tc>
      </w:tr>
      <w:tr>
        <w:tc>
          <w:tcPr>
            <w:tcW w:type="dxa" w:w="3744"/>
          </w:tcPr>
          <w:p>
            <w:r/>
            <w:r>
              <w:rPr>
                <w:sz w:val="17"/>
              </w:rPr>
              <w:t>Units offline</w:t>
            </w:r>
          </w:p>
        </w:tc>
        <w:tc>
          <w:tcPr>
            <w:tcW w:type="dxa" w:w="6048"/>
          </w:tcPr>
          <w:p>
            <w:r/>
            <w:r>
              <w:rPr>
                <w:sz w:val="17"/>
              </w:rPr>
              <w:t>0</w:t>
            </w:r>
          </w:p>
        </w:tc>
      </w:tr>
      <w:tr>
        <w:tc>
          <w:tcPr>
            <w:tcW w:type="dxa" w:w="3744"/>
          </w:tcPr>
          <w:p>
            <w:r/>
            <w:r>
              <w:rPr>
                <w:sz w:val="17"/>
              </w:rPr>
              <w:t>Gross leasable area (sf)</w:t>
            </w:r>
          </w:p>
        </w:tc>
        <w:tc>
          <w:tcPr>
            <w:tcW w:type="dxa" w:w="6048"/>
          </w:tcPr>
          <w:p>
            <w:r/>
            <w:r>
              <w:rPr>
                <w:sz w:val="17"/>
              </w:rPr>
              <w:t>10,756</w:t>
            </w:r>
          </w:p>
        </w:tc>
      </w:tr>
      <w:tr>
        <w:tc>
          <w:tcPr>
            <w:tcW w:type="dxa" w:w="3744"/>
          </w:tcPr>
          <w:p>
            <w:r/>
            <w:r>
              <w:rPr>
                <w:sz w:val="17"/>
              </w:rPr>
              <w:t>GLA basis</w:t>
            </w:r>
          </w:p>
        </w:tc>
        <w:tc>
          <w:tcPr>
            <w:tcW w:type="dxa" w:w="6048"/>
          </w:tcPr>
          <w:p>
            <w:r/>
            <w:r>
              <w:rPr>
                <w:sz w:val="17"/>
              </w:rPr>
              <w:t>buildable leasable area per rent roll (total 10,756 sf); plus 569 sf common area = 11,325 sf net</w:t>
            </w:r>
          </w:p>
        </w:tc>
      </w:tr>
      <w:tr>
        <w:tc>
          <w:tcPr>
            <w:tcW w:type="dxa" w:w="3744"/>
          </w:tcPr>
          <w:p>
            <w:r/>
            <w:r>
              <w:rPr>
                <w:sz w:val="17"/>
              </w:rPr>
              <w:t>Total building area (sf)</w:t>
            </w:r>
          </w:p>
        </w:tc>
        <w:tc>
          <w:tcPr>
            <w:tcW w:type="dxa" w:w="6048"/>
          </w:tcPr>
          <w:p>
            <w:r/>
            <w:r>
              <w:rPr>
                <w:sz w:val="17"/>
              </w:rPr>
              <w:t>11,937</w:t>
            </w:r>
          </w:p>
        </w:tc>
      </w:tr>
      <w:tr>
        <w:tc>
          <w:tcPr>
            <w:tcW w:type="dxa" w:w="3744"/>
          </w:tcPr>
          <w:p>
            <w:r/>
            <w:r>
              <w:rPr>
                <w:sz w:val="17"/>
              </w:rPr>
              <w:t>Site area (acres)</w:t>
            </w:r>
          </w:p>
        </w:tc>
        <w:tc>
          <w:tcPr>
            <w:tcW w:type="dxa" w:w="6048"/>
          </w:tcPr>
          <w:p>
            <w:r/>
            <w:r>
              <w:rPr>
                <w:sz w:val="17"/>
              </w:rPr>
              <w:t>0.15</w:t>
            </w:r>
          </w:p>
        </w:tc>
      </w:tr>
      <w:tr>
        <w:tc>
          <w:tcPr>
            <w:tcW w:type="dxa" w:w="3744"/>
          </w:tcPr>
          <w:p>
            <w:r/>
            <w:r>
              <w:rPr>
                <w:sz w:val="17"/>
              </w:rPr>
              <w:t>Site area (sf)</w:t>
            </w:r>
          </w:p>
        </w:tc>
        <w:tc>
          <w:tcPr>
            <w:tcW w:type="dxa" w:w="6048"/>
          </w:tcPr>
          <w:p>
            <w:r/>
            <w:r>
              <w:rPr>
                <w:sz w:val="17"/>
              </w:rPr>
              <w:t>6,580</w:t>
            </w:r>
          </w:p>
        </w:tc>
      </w:tr>
      <w:tr>
        <w:tc>
          <w:tcPr>
            <w:tcW w:type="dxa" w:w="3744"/>
          </w:tcPr>
          <w:p>
            <w:r/>
            <w:r>
              <w:rPr>
                <w:sz w:val="17"/>
              </w:rPr>
              <w:t>Density (units/acre)</w:t>
            </w:r>
          </w:p>
        </w:tc>
        <w:tc>
          <w:tcPr>
            <w:tcW w:type="dxa" w:w="6048"/>
          </w:tcPr>
          <w:p>
            <w:r/>
            <w:r>
              <w:rPr>
                <w:sz w:val="17"/>
              </w:rPr>
              <w:t>92.70</w:t>
            </w:r>
          </w:p>
        </w:tc>
      </w:tr>
      <w:tr>
        <w:tc>
          <w:tcPr>
            <w:tcW w:type="dxa" w:w="3744"/>
          </w:tcPr>
          <w:p>
            <w:r/>
            <w:r>
              <w:rPr>
                <w:sz w:val="17"/>
              </w:rPr>
              <w:t>Occupancy — physical</w:t>
            </w:r>
          </w:p>
        </w:tc>
        <w:tc>
          <w:tcPr>
            <w:tcW w:type="dxa" w:w="6048"/>
          </w:tcPr>
          <w:p>
            <w:r/>
            <w:r>
              <w:rPr>
                <w:sz w:val="17"/>
              </w:rPr>
              <w:t>100.0%</w:t>
            </w:r>
          </w:p>
        </w:tc>
      </w:tr>
      <w:tr>
        <w:tc>
          <w:tcPr>
            <w:tcW w:type="dxa" w:w="3744"/>
          </w:tcPr>
          <w:p>
            <w:r/>
            <w:r>
              <w:rPr>
                <w:sz w:val="17"/>
              </w:rPr>
              <w:t>Occupancy — economic</w:t>
            </w:r>
          </w:p>
        </w:tc>
        <w:tc>
          <w:tcPr>
            <w:tcW w:type="dxa" w:w="6048"/>
          </w:tcPr>
          <w:p>
            <w:r/>
            <w:r>
              <w:rPr>
                <w:sz w:val="17"/>
              </w:rPr>
              <w:t>100.0%</w:t>
            </w:r>
          </w:p>
        </w:tc>
      </w:tr>
      <w:tr>
        <w:tc>
          <w:tcPr>
            <w:tcW w:type="dxa" w:w="3744"/>
          </w:tcPr>
          <w:p>
            <w:r/>
            <w:r>
              <w:rPr>
                <w:sz w:val="17"/>
              </w:rPr>
              <w:t>Occupancy as of</w:t>
            </w:r>
          </w:p>
        </w:tc>
        <w:tc>
          <w:tcPr>
            <w:tcW w:type="dxa" w:w="6048"/>
          </w:tcPr>
          <w:p>
            <w:r/>
            <w:r>
              <w:rPr>
                <w:sz w:val="17"/>
              </w:rPr>
              <w:t>2026-08</w:t>
            </w:r>
          </w:p>
        </w:tc>
      </w:tr>
      <w:tr>
        <w:tc>
          <w:tcPr>
            <w:tcW w:type="dxa" w:w="3744"/>
          </w:tcPr>
          <w:p>
            <w:r/>
            <w:r>
              <w:rPr>
                <w:sz w:val="17"/>
              </w:rPr>
              <w:t>Rent regulated</w:t>
            </w:r>
          </w:p>
        </w:tc>
        <w:tc>
          <w:tcPr>
            <w:tcW w:type="dxa" w:w="6048"/>
          </w:tcPr>
          <w:p>
            <w:r/>
            <w:r>
              <w:rPr>
                <w:sz w:val="17"/>
              </w:rPr>
              <w:t>Yes</w:t>
            </w:r>
          </w:p>
        </w:tc>
      </w:tr>
    </w:tbl>
    <w:p/>
    <w:p>
      <w:pPr>
        <w:pStyle w:val="Heading1"/>
      </w:pPr>
      <w:r>
        <w:t>Financial snapshot</w:t>
      </w:r>
    </w:p>
    <w:p>
      <w:r>
        <w:rPr>
          <w:i/>
          <w:color w:val="666666"/>
          <w:sz w:val="18"/>
        </w:rPr>
        <w:t>Surface read only — a public brochure rarely supports more, and the operating detail is a question for the listing agent.</w:t>
      </w:r>
    </w:p>
    <w:tbl>
      <w:tblPr>
        <w:tblStyle w:val="TableGrid"/>
        <w:tblW w:type="auto" w:w="0"/>
        <w:tblLayout w:type="fixed"/>
        <w:tblLook w:firstColumn="1" w:firstRow="1" w:lastColumn="0" w:lastRow="0" w:noHBand="0" w:noVBand="1" w:val="04A0"/>
      </w:tblPr>
      <w:tblGrid>
        <w:gridCol w:w="4896"/>
        <w:gridCol w:w="4896"/>
      </w:tblGrid>
      <w:tr>
        <w:tc>
          <w:tcPr>
            <w:tcW w:type="dxa" w:w="3744"/>
          </w:tcPr>
          <w:p>
            <w:r/>
            <w:r>
              <w:rPr>
                <w:b/>
                <w:sz w:val="17"/>
              </w:rPr>
              <w:t>Field</w:t>
            </w:r>
          </w:p>
        </w:tc>
        <w:tc>
          <w:tcPr>
            <w:tcW w:type="dxa" w:w="6048"/>
          </w:tcPr>
          <w:p>
            <w:r/>
            <w:r>
              <w:rPr>
                <w:b/>
                <w:sz w:val="17"/>
              </w:rPr>
              <w:t>Value</w:t>
            </w:r>
          </w:p>
        </w:tc>
      </w:tr>
      <w:tr>
        <w:tc>
          <w:tcPr>
            <w:tcW w:type="dxa" w:w="3744"/>
          </w:tcPr>
          <w:p>
            <w:r/>
            <w:r>
              <w:rPr>
                <w:sz w:val="17"/>
              </w:rPr>
              <w:t>Asking price</w:t>
            </w:r>
          </w:p>
        </w:tc>
        <w:tc>
          <w:tcPr>
            <w:tcW w:type="dxa" w:w="6048"/>
          </w:tcPr>
          <w:p>
            <w:r/>
            <w:r>
              <w:rPr>
                <w:sz w:val="17"/>
              </w:rPr>
              <w:t>$5,985,000</w:t>
            </w:r>
          </w:p>
        </w:tc>
      </w:tr>
      <w:tr>
        <w:tc>
          <w:tcPr>
            <w:tcW w:type="dxa" w:w="3744"/>
          </w:tcPr>
          <w:p>
            <w:r/>
            <w:r>
              <w:rPr>
                <w:sz w:val="17"/>
              </w:rPr>
              <w:t>Unpriced</w:t>
            </w:r>
          </w:p>
        </w:tc>
        <w:tc>
          <w:tcPr>
            <w:tcW w:type="dxa" w:w="6048"/>
          </w:tcPr>
          <w:p>
            <w:r/>
            <w:r>
              <w:rPr>
                <w:sz w:val="17"/>
              </w:rPr>
              <w:t>No</w:t>
            </w:r>
          </w:p>
        </w:tc>
      </w:tr>
      <w:tr>
        <w:tc>
          <w:tcPr>
            <w:tcW w:type="dxa" w:w="3744"/>
          </w:tcPr>
          <w:p>
            <w:r/>
            <w:r>
              <w:rPr>
                <w:sz w:val="17"/>
              </w:rPr>
              <w:t>NOI</w:t>
            </w:r>
          </w:p>
        </w:tc>
        <w:tc>
          <w:tcPr>
            <w:tcW w:type="dxa" w:w="6048"/>
          </w:tcPr>
          <w:p>
            <w:r/>
            <w:r>
              <w:rPr>
                <w:sz w:val="17"/>
              </w:rPr>
              <w:t>$368,120</w:t>
            </w:r>
          </w:p>
        </w:tc>
      </w:tr>
      <w:tr>
        <w:tc>
          <w:tcPr>
            <w:tcW w:type="dxa" w:w="3744"/>
          </w:tcPr>
          <w:p>
            <w:r/>
            <w:r>
              <w:rPr>
                <w:sz w:val="17"/>
              </w:rPr>
              <w:t>NOI basis</w:t>
            </w:r>
          </w:p>
        </w:tc>
        <w:tc>
          <w:tcPr>
            <w:tcW w:type="dxa" w:w="6048"/>
          </w:tcPr>
          <w:p>
            <w:r/>
            <w:r>
              <w:rPr>
                <w:sz w:val="17"/>
              </w:rPr>
              <w:t>in_place</w:t>
            </w:r>
          </w:p>
        </w:tc>
      </w:tr>
      <w:tr>
        <w:tc>
          <w:tcPr>
            <w:tcW w:type="dxa" w:w="3744"/>
          </w:tcPr>
          <w:p>
            <w:r/>
            <w:r>
              <w:rPr>
                <w:sz w:val="17"/>
              </w:rPr>
              <w:t>NOI period</w:t>
            </w:r>
          </w:p>
        </w:tc>
        <w:tc>
          <w:tcPr>
            <w:tcW w:type="dxa" w:w="6048"/>
          </w:tcPr>
          <w:p>
            <w:r/>
            <w:r>
              <w:rPr>
                <w:sz w:val="17"/>
              </w:rPr>
              <w:t>2025 trailing (Jan-Dec 2025 expenses provided)</w:t>
            </w:r>
          </w:p>
        </w:tc>
      </w:tr>
      <w:tr>
        <w:tc>
          <w:tcPr>
            <w:tcW w:type="dxa" w:w="3744"/>
          </w:tcPr>
          <w:p>
            <w:r/>
            <w:r>
              <w:rPr>
                <w:sz w:val="17"/>
              </w:rPr>
              <w:t>Implied NOI at stated cap rate</w:t>
            </w:r>
          </w:p>
        </w:tc>
        <w:tc>
          <w:tcPr>
            <w:tcW w:type="dxa" w:w="6048"/>
          </w:tcPr>
          <w:p>
            <w:r/>
            <w:r>
              <w:rPr>
                <w:i/>
                <w:color w:val="808080"/>
                <w:sz w:val="17"/>
              </w:rPr>
              <w:t>Not disclosed</w:t>
            </w:r>
          </w:p>
        </w:tc>
      </w:tr>
      <w:tr>
        <w:tc>
          <w:tcPr>
            <w:tcW w:type="dxa" w:w="3744"/>
          </w:tcPr>
          <w:p>
            <w:r/>
            <w:r>
              <w:rPr>
                <w:sz w:val="17"/>
              </w:rPr>
              <w:t>Cap rate</w:t>
            </w:r>
          </w:p>
        </w:tc>
        <w:tc>
          <w:tcPr>
            <w:tcW w:type="dxa" w:w="6048"/>
          </w:tcPr>
          <w:p>
            <w:r/>
            <w:r>
              <w:rPr>
                <w:sz w:val="17"/>
              </w:rPr>
              <w:t>6.15%</w:t>
            </w:r>
          </w:p>
        </w:tc>
      </w:tr>
      <w:tr>
        <w:tc>
          <w:tcPr>
            <w:tcW w:type="dxa" w:w="3744"/>
          </w:tcPr>
          <w:p>
            <w:r/>
            <w:r>
              <w:rPr>
                <w:sz w:val="17"/>
              </w:rPr>
              <w:t>Cap rate basis</w:t>
            </w:r>
          </w:p>
        </w:tc>
        <w:tc>
          <w:tcPr>
            <w:tcW w:type="dxa" w:w="6048"/>
          </w:tcPr>
          <w:p>
            <w:r/>
            <w:r>
              <w:rPr>
                <w:sz w:val="17"/>
              </w:rPr>
              <w:t>in_place</w:t>
            </w:r>
          </w:p>
        </w:tc>
      </w:tr>
      <w:tr>
        <w:tc>
          <w:tcPr>
            <w:tcW w:type="dxa" w:w="3744"/>
          </w:tcPr>
          <w:p>
            <w:r/>
            <w:r>
              <w:rPr>
                <w:sz w:val="17"/>
              </w:rPr>
              <w:t>Gross income</w:t>
            </w:r>
          </w:p>
        </w:tc>
        <w:tc>
          <w:tcPr>
            <w:tcW w:type="dxa" w:w="6048"/>
          </w:tcPr>
          <w:p>
            <w:r/>
            <w:r>
              <w:rPr>
                <w:sz w:val="17"/>
              </w:rPr>
              <w:t>$447,113</w:t>
            </w:r>
          </w:p>
        </w:tc>
      </w:tr>
      <w:tr>
        <w:tc>
          <w:tcPr>
            <w:tcW w:type="dxa" w:w="3744"/>
          </w:tcPr>
          <w:p>
            <w:r/>
            <w:r>
              <w:rPr>
                <w:sz w:val="17"/>
              </w:rPr>
              <w:t>Operating expenses</w:t>
            </w:r>
          </w:p>
        </w:tc>
        <w:tc>
          <w:tcPr>
            <w:tcW w:type="dxa" w:w="6048"/>
          </w:tcPr>
          <w:p>
            <w:r/>
            <w:r>
              <w:rPr>
                <w:sz w:val="17"/>
              </w:rPr>
              <w:t>$78,997</w:t>
            </w:r>
          </w:p>
        </w:tc>
      </w:tr>
      <w:tr>
        <w:tc>
          <w:tcPr>
            <w:tcW w:type="dxa" w:w="3744"/>
          </w:tcPr>
          <w:p>
            <w:r/>
            <w:r>
              <w:rPr>
                <w:sz w:val="17"/>
              </w:rPr>
              <w:t>Operating expense ratio</w:t>
            </w:r>
          </w:p>
        </w:tc>
        <w:tc>
          <w:tcPr>
            <w:tcW w:type="dxa" w:w="6048"/>
          </w:tcPr>
          <w:p>
            <w:r/>
            <w:r>
              <w:rPr>
                <w:sz w:val="17"/>
              </w:rPr>
              <w:t>17.7%</w:t>
            </w:r>
          </w:p>
        </w:tc>
      </w:tr>
      <w:tr>
        <w:tc>
          <w:tcPr>
            <w:tcW w:type="dxa" w:w="3744"/>
          </w:tcPr>
          <w:p>
            <w:r/>
            <w:r>
              <w:rPr>
                <w:sz w:val="17"/>
              </w:rPr>
              <w:t>Price per unit</w:t>
            </w:r>
          </w:p>
        </w:tc>
        <w:tc>
          <w:tcPr>
            <w:tcW w:type="dxa" w:w="6048"/>
          </w:tcPr>
          <w:p>
            <w:r/>
            <w:r>
              <w:rPr>
                <w:sz w:val="17"/>
              </w:rPr>
              <w:t>$427,500</w:t>
            </w:r>
          </w:p>
        </w:tc>
      </w:tr>
      <w:tr>
        <w:tc>
          <w:tcPr>
            <w:tcW w:type="dxa" w:w="3744"/>
          </w:tcPr>
          <w:p>
            <w:r/>
            <w:r>
              <w:rPr>
                <w:sz w:val="17"/>
              </w:rPr>
              <w:t>Price per sf</w:t>
            </w:r>
          </w:p>
        </w:tc>
        <w:tc>
          <w:tcPr>
            <w:tcW w:type="dxa" w:w="6048"/>
          </w:tcPr>
          <w:p>
            <w:r/>
            <w:r>
              <w:rPr>
                <w:sz w:val="17"/>
              </w:rPr>
              <w:t>$501.97</w:t>
            </w:r>
          </w:p>
        </w:tc>
      </w:tr>
      <w:tr>
        <w:tc>
          <w:tcPr>
            <w:tcW w:type="dxa" w:w="3744"/>
          </w:tcPr>
          <w:p>
            <w:r/>
            <w:r>
              <w:rPr>
                <w:sz w:val="17"/>
              </w:rPr>
              <w:t>Rent per sf (leasable)</w:t>
            </w:r>
          </w:p>
        </w:tc>
        <w:tc>
          <w:tcPr>
            <w:tcW w:type="dxa" w:w="6048"/>
          </w:tcPr>
          <w:p>
            <w:r/>
            <w:r>
              <w:rPr>
                <w:sz w:val="17"/>
              </w:rPr>
              <w:t>$41.58</w:t>
            </w:r>
          </w:p>
        </w:tc>
      </w:tr>
    </w:tbl>
    <w:p/>
    <w:p>
      <w:pPr>
        <w:pStyle w:val="Heading1"/>
      </w:pPr>
      <w:r>
        <w:t>Taxes &amp; assessment</w:t>
      </w:r>
    </w:p>
    <w:tbl>
      <w:tblPr>
        <w:tblStyle w:val="TableGrid"/>
        <w:tblW w:type="auto" w:w="0"/>
        <w:tblLayout w:type="fixed"/>
        <w:tblLook w:firstColumn="1" w:firstRow="1" w:lastColumn="0" w:lastRow="0" w:noHBand="0" w:noVBand="1" w:val="04A0"/>
      </w:tblPr>
      <w:tblGrid>
        <w:gridCol w:w="4896"/>
        <w:gridCol w:w="4896"/>
      </w:tblGrid>
      <w:tr>
        <w:tc>
          <w:tcPr>
            <w:tcW w:type="dxa" w:w="3744"/>
          </w:tcPr>
          <w:p>
            <w:r/>
            <w:r>
              <w:rPr>
                <w:b/>
                <w:sz w:val="17"/>
              </w:rPr>
              <w:t>Field</w:t>
            </w:r>
          </w:p>
        </w:tc>
        <w:tc>
          <w:tcPr>
            <w:tcW w:type="dxa" w:w="6048"/>
          </w:tcPr>
          <w:p>
            <w:r/>
            <w:r>
              <w:rPr>
                <w:b/>
                <w:sz w:val="17"/>
              </w:rPr>
              <w:t>Value</w:t>
            </w:r>
          </w:p>
        </w:tc>
      </w:tr>
      <w:tr>
        <w:tc>
          <w:tcPr>
            <w:tcW w:type="dxa" w:w="3744"/>
          </w:tcPr>
          <w:p>
            <w:r/>
            <w:r>
              <w:rPr>
                <w:sz w:val="17"/>
              </w:rPr>
              <w:t>Realty taxes</w:t>
            </w:r>
          </w:p>
        </w:tc>
        <w:tc>
          <w:tcPr>
            <w:tcW w:type="dxa" w:w="6048"/>
          </w:tcPr>
          <w:p>
            <w:r/>
            <w:r>
              <w:rPr>
                <w:sz w:val="17"/>
              </w:rPr>
              <w:t>$17,356</w:t>
            </w:r>
          </w:p>
        </w:tc>
      </w:tr>
      <w:tr>
        <w:tc>
          <w:tcPr>
            <w:tcW w:type="dxa" w:w="3744"/>
          </w:tcPr>
          <w:p>
            <w:r/>
            <w:r>
              <w:rPr>
                <w:sz w:val="17"/>
              </w:rPr>
              <w:t>Tax year</w:t>
            </w:r>
          </w:p>
        </w:tc>
        <w:tc>
          <w:tcPr>
            <w:tcW w:type="dxa" w:w="6048"/>
          </w:tcPr>
          <w:p>
            <w:r/>
            <w:r>
              <w:rPr>
                <w:sz w:val="17"/>
              </w:rPr>
              <w:t>2025</w:t>
            </w:r>
          </w:p>
        </w:tc>
      </w:tr>
      <w:tr>
        <w:tc>
          <w:tcPr>
            <w:tcW w:type="dxa" w:w="3744"/>
          </w:tcPr>
          <w:p>
            <w:r/>
            <w:r>
              <w:rPr>
                <w:sz w:val="17"/>
              </w:rPr>
              <w:t>Source of tax figure</w:t>
            </w:r>
          </w:p>
        </w:tc>
        <w:tc>
          <w:tcPr>
            <w:tcW w:type="dxa" w:w="6048"/>
          </w:tcPr>
          <w:p>
            <w:r/>
            <w:r>
              <w:rPr>
                <w:sz w:val="17"/>
              </w:rPr>
              <w:t>Financial report (p. 16), City of Toronto Taxes 2025 line item</w:t>
            </w:r>
          </w:p>
        </w:tc>
      </w:tr>
      <w:tr>
        <w:tc>
          <w:tcPr>
            <w:tcW w:type="dxa" w:w="3744"/>
          </w:tcPr>
          <w:p>
            <w:r/>
            <w:r>
              <w:rPr>
                <w:sz w:val="17"/>
              </w:rPr>
              <w:t>Assessed value (CVA)</w:t>
            </w:r>
          </w:p>
        </w:tc>
        <w:tc>
          <w:tcPr>
            <w:tcW w:type="dxa" w:w="6048"/>
          </w:tcPr>
          <w:p>
            <w:r/>
            <w:r>
              <w:rPr>
                <w:i/>
                <w:color w:val="808080"/>
                <w:sz w:val="17"/>
              </w:rPr>
              <w:t>Not disclosed</w:t>
            </w:r>
          </w:p>
        </w:tc>
      </w:tr>
      <w:tr>
        <w:tc>
          <w:tcPr>
            <w:tcW w:type="dxa" w:w="3744"/>
          </w:tcPr>
          <w:p>
            <w:r/>
            <w:r>
              <w:rPr>
                <w:sz w:val="17"/>
              </w:rPr>
              <w:t>CVA calculated, not found</w:t>
            </w:r>
          </w:p>
        </w:tc>
        <w:tc>
          <w:tcPr>
            <w:tcW w:type="dxa" w:w="6048"/>
          </w:tcPr>
          <w:p>
            <w:r/>
            <w:r>
              <w:rPr>
                <w:sz w:val="17"/>
              </w:rPr>
              <w:t>No</w:t>
            </w:r>
          </w:p>
        </w:tc>
      </w:tr>
      <w:tr>
        <w:tc>
          <w:tcPr>
            <w:tcW w:type="dxa" w:w="3744"/>
          </w:tcPr>
          <w:p>
            <w:r/>
            <w:r>
              <w:rPr>
                <w:sz w:val="17"/>
              </w:rPr>
              <w:t>Assessment year</w:t>
            </w:r>
          </w:p>
        </w:tc>
        <w:tc>
          <w:tcPr>
            <w:tcW w:type="dxa" w:w="6048"/>
          </w:tcPr>
          <w:p>
            <w:r/>
            <w:r>
              <w:rPr>
                <w:i/>
                <w:color w:val="808080"/>
                <w:sz w:val="17"/>
              </w:rPr>
              <w:t>Not disclosed</w:t>
            </w:r>
          </w:p>
        </w:tc>
      </w:tr>
      <w:tr>
        <w:tc>
          <w:tcPr>
            <w:tcW w:type="dxa" w:w="3744"/>
          </w:tcPr>
          <w:p>
            <w:r/>
            <w:r>
              <w:rPr>
                <w:sz w:val="17"/>
              </w:rPr>
              <w:t>Valuation date</w:t>
            </w:r>
          </w:p>
        </w:tc>
        <w:tc>
          <w:tcPr>
            <w:tcW w:type="dxa" w:w="6048"/>
          </w:tcPr>
          <w:p>
            <w:r/>
            <w:r>
              <w:rPr>
                <w:sz w:val="17"/>
              </w:rPr>
              <w:t>2016-01-01</w:t>
            </w:r>
          </w:p>
        </w:tc>
      </w:tr>
      <w:tr>
        <w:tc>
          <w:tcPr>
            <w:tcW w:type="dxa" w:w="3744"/>
          </w:tcPr>
          <w:p>
            <w:r/>
            <w:r>
              <w:rPr>
                <w:sz w:val="17"/>
              </w:rPr>
              <w:t>Property tax class</w:t>
            </w:r>
          </w:p>
        </w:tc>
        <w:tc>
          <w:tcPr>
            <w:tcW w:type="dxa" w:w="6048"/>
          </w:tcPr>
          <w:p>
            <w:r/>
            <w:r>
              <w:rPr>
                <w:sz w:val="17"/>
              </w:rPr>
              <w:t>industrial</w:t>
            </w:r>
          </w:p>
        </w:tc>
      </w:tr>
      <w:tr>
        <w:tc>
          <w:tcPr>
            <w:tcW w:type="dxa" w:w="3744"/>
          </w:tcPr>
          <w:p>
            <w:r/>
            <w:r>
              <w:rPr>
                <w:sz w:val="17"/>
              </w:rPr>
              <w:t>Tax rate applied</w:t>
            </w:r>
          </w:p>
        </w:tc>
        <w:tc>
          <w:tcPr>
            <w:tcW w:type="dxa" w:w="6048"/>
          </w:tcPr>
          <w:p>
            <w:r/>
            <w:r>
              <w:rPr>
                <w:sz w:val="17"/>
              </w:rPr>
              <w:t>2.384303%</w:t>
            </w:r>
          </w:p>
        </w:tc>
      </w:tr>
      <w:tr>
        <w:tc>
          <w:tcPr>
            <w:tcW w:type="dxa" w:w="3744"/>
          </w:tcPr>
          <w:p>
            <w:r/>
            <w:r>
              <w:rPr>
                <w:sz w:val="17"/>
              </w:rPr>
              <w:t>Tax rate year</w:t>
            </w:r>
          </w:p>
        </w:tc>
        <w:tc>
          <w:tcPr>
            <w:tcW w:type="dxa" w:w="6048"/>
          </w:tcPr>
          <w:p>
            <w:r/>
            <w:r>
              <w:rPr>
                <w:sz w:val="17"/>
              </w:rPr>
              <w:t>2025</w:t>
            </w:r>
          </w:p>
        </w:tc>
      </w:tr>
      <w:tr>
        <w:tc>
          <w:tcPr>
            <w:tcW w:type="dxa" w:w="3744"/>
          </w:tcPr>
          <w:p>
            <w:r/>
            <w:r>
              <w:rPr>
                <w:sz w:val="17"/>
              </w:rPr>
              <w:t>Municipality</w:t>
            </w:r>
          </w:p>
        </w:tc>
        <w:tc>
          <w:tcPr>
            <w:tcW w:type="dxa" w:w="6048"/>
          </w:tcPr>
          <w:p>
            <w:r/>
            <w:r>
              <w:rPr>
                <w:sz w:val="17"/>
              </w:rPr>
              <w:t>Toronto</w:t>
            </w:r>
          </w:p>
        </w:tc>
      </w:tr>
    </w:tbl>
    <w:p/>
    <w:p>
      <w:r>
        <w:rPr>
          <w:i/>
          <w:sz w:val="18"/>
        </w:rPr>
        <w:t>Stated taxes of $17,356 (2025) per brochure. If class is Industrial, implied assessment = $17,356 ÷ 0.02384303 = $728k (calculated), far below market value of ~$6M — typical for Ontario where assessments are frozen at Jan 1 2016. Zoning conflict (I2 IC vs MCR) creates uncertainty on class. Property may be assessed as Industrial or Commercial or a split apportionment. Direct MPAC lookup or agent confirmation needed. Ontario property does not reassess on sale, so seller's tax line carries to buyer. No publicly accessible assessment data available free in Ontario; agent or GeoWarehouse/OnLand pull required to confirm roll number and current CVA.</w:t>
      </w:r>
    </w:p>
    <w:p>
      <w:pPr>
        <w:pStyle w:val="Heading1"/>
      </w:pPr>
      <w:r>
        <w:t>Investment category: Value-add with opportunistic development upside, medium-to-high confidence</w:t>
      </w:r>
    </w:p>
    <w:p>
      <w:r>
        <w:rPr>
          <w:b/>
        </w:rPr>
        <w:t>Confidence: high</w:t>
      </w:r>
      <w:r>
        <w:t xml:space="preserve">   ·   The brochure calls it: Investment opportunity, development play</w:t>
      </w:r>
    </w:p>
    <w:p>
      <w:r>
        <w:t>Documented, stable current income ($447k annually, 100% occupancy, 14-unit rent roll provided with lease expiries and next increases detailed through 2027) is the strongest signal. Recent major capital work (2016 renovation: exposed brick, wood beams, triple glazing, en-suite laundry, hot water systems) is partially in place; further systems investment will be required given the 1918 vintage. The value-creation case for a buyer is clear: (1) development upside — site within 1 km of two major mixed-use redevelopments (Bloor/Dundas Choice, 1540-1550 Bloor); (2) zoning potential — industrial classification may permit more intensive mixed-use; (3) mark-to-market opportunity — existing rent structure is modest ($27-33k/year per unit) and rents show growth potential with lease turnovers. Brochure strongly emphasizes 'rare opportunity' and 'development potential' rather than pure income stability. Cap rate of 6.15% is relatively low for Toronto multifamily, suggesting market is pricing in development premium or downside risk.</w:t>
      </w:r>
    </w:p>
    <w:p>
      <w:pPr>
        <w:pStyle w:val="Heading1"/>
      </w:pPr>
      <w:r>
        <w:t>Capital position</w:t>
      </w:r>
    </w:p>
    <w:p>
      <w:r>
        <w:t>Building underwent substantial renovation in 2016 including exposed brick restoration, large wood beams, triple-glazed windows, wood flooring, en-suite laundry in most units, and individual hot water tanks. Recent work includes rooftop membrane and signage structure. Physical systems (furnace, hydro, etc.) updated. The building's original vintage (1918) means major systems (roof, boilers/HVAC, electrical, risers) will require attention as capital planning evolves — typical for a 100+ year old structure with selective modernization.</w:t>
      </w:r>
    </w:p>
    <w:p>
      <w:r>
        <w:rPr>
          <w:b/>
        </w:rPr>
        <w:t xml:space="preserve">Systems work: </w:t>
      </w:r>
      <w:r>
        <w:t>Rooftop membrane and signage structure (recent); Individual hot water tanks per unit (2016); High-efficiency furnace with hydro meters (2016)</w:t>
      </w:r>
    </w:p>
    <w:p>
      <w:r>
        <w:rPr>
          <w:b/>
        </w:rPr>
        <w:t xml:space="preserve">Cosmetic work: </w:t>
      </w:r>
      <w:r>
        <w:t>Exposed brick restoration (2016); Large wood beam renovation (2016); Triple-glazed windows installation (2016); Wood flooring throughout (2016); Unit interiors (2016); Suite finishes, kitchens, bathrooms (2016)</w:t>
      </w:r>
    </w:p>
    <w:p>
      <w:r>
        <w:rPr>
          <w:b/>
        </w:rPr>
        <w:t xml:space="preserve">Remaining: </w:t>
      </w:r>
      <w:r>
        <w:t>Original building envelope (1918 brick and windows partially replaced 2016 but not all); Electrical and riser systems (original or 1980s-era, typical age for 1918 structure); Elevator (not mentioned; confirm if present); Parking structure (none mentioned, at-grade or street only); Future HVAC replacement cycles; Possible second/third modernization of building systems depending on development path</w:t>
      </w:r>
    </w:p>
    <w:p>
      <w:pPr>
        <w:pStyle w:val="Heading1"/>
      </w:pPr>
      <w:r>
        <w:t>Investment highlights (per the brochure)</w:t>
      </w:r>
    </w:p>
    <w:p>
      <w:pPr>
        <w:pStyle w:val="ListBullet"/>
      </w:pPr>
      <w:r>
        <w:t>Newly renovated (2016) with strong character: exposed brick, large wood beams, 12-foot ceilings (per OM p. 2)</w:t>
      </w:r>
    </w:p>
    <w:p>
      <w:pPr>
        <w:pStyle w:val="ListBullet"/>
      </w:pPr>
      <w:r>
        <w:t>Triple-glazed windows, wood flooring, high-efficiency furnace, separate hydro meters (per OM p. 2)</w:t>
      </w:r>
    </w:p>
    <w:p>
      <w:pPr>
        <w:pStyle w:val="ListBullet"/>
      </w:pPr>
      <w:r>
        <w:t>Individual hot water tanks and en-suite laundry in most units (per OM p. 2)</w:t>
      </w:r>
    </w:p>
    <w:p>
      <w:pPr>
        <w:pStyle w:val="ListBullet"/>
      </w:pPr>
      <w:r>
        <w:t>14 live/work studios, fully leased at documented rates ranging $1,182–$4,485/month (per OM rent roll, p. 15)</w:t>
      </w:r>
    </w:p>
    <w:p>
      <w:pPr>
        <w:pStyle w:val="ListBullet"/>
      </w:pPr>
      <w:r>
        <w:t>Rooftop signage income ($500/month, MTM lease, per OM p. 15)</w:t>
      </w:r>
    </w:p>
    <w:p>
      <w:pPr>
        <w:pStyle w:val="ListBullet"/>
      </w:pPr>
      <w:r>
        <w:t>100% physical and economic occupancy (per detailed unit rent roll, p. 15)</w:t>
      </w:r>
    </w:p>
    <w:p>
      <w:pPr>
        <w:pStyle w:val="ListBullet"/>
      </w:pPr>
      <w:r>
        <w:t>Month-to-month and fixed-term leases with scheduled increases through 2027; next increases Oct 2026–Jan 2027 (per OM p. 15)</w:t>
      </w:r>
    </w:p>
    <w:p>
      <w:pPr>
        <w:pStyle w:val="ListBullet"/>
      </w:pPr>
      <w:r>
        <w:t>One of most transit-accessible rodes in Toronto: immediate proximity to Dundas West subway, GO Transit, UP Express (per OM p. 3)</w:t>
      </w:r>
    </w:p>
    <w:p>
      <w:pPr>
        <w:pStyle w:val="ListBullet"/>
      </w:pPr>
      <w:r>
        <w:t>Adjacent to Bloor/Dundas Choice development (mixed housing, retail, public realm) and other major developments within 1 km</w:t>
      </w:r>
    </w:p>
    <w:p>
      <w:pPr>
        <w:pStyle w:val="Heading1"/>
      </w:pPr>
      <w:r>
        <w:t>Watch items</w:t>
      </w:r>
    </w:p>
    <w:p>
      <w:pPr>
        <w:pStyle w:val="ListBullet"/>
      </w:pPr>
      <w:r>
        <w:rPr>
          <w:b/>
        </w:rPr>
        <w:t>Zoning conflict — I2 IC vs MCR designation</w:t>
      </w:r>
      <w:r>
        <w:rPr>
          <w:color w:val="B00000"/>
          <w:sz w:val="16"/>
        </w:rPr>
        <w:t xml:space="preserve">  [HIGH]</w:t>
      </w:r>
      <w:r>
        <w:t xml:space="preserve"> — Brochure states I2 IC (industrial); LoopNet states MCR (mixed-use commercial residential). Confirm actual zoning designation and permissibility of current live/work use and future development. Affects long-term use value and redevelopment potential.</w:t>
      </w:r>
    </w:p>
    <w:p>
      <w:pPr>
        <w:pStyle w:val="ListBullet"/>
      </w:pPr>
      <w:r>
        <w:rPr>
          <w:b/>
        </w:rPr>
        <w:t>Industrial zoning constraints on residential/mixed-use development</w:t>
      </w:r>
      <w:r>
        <w:rPr>
          <w:color w:val="B00000"/>
          <w:sz w:val="16"/>
        </w:rPr>
        <w:t xml:space="preserve">  [HIGH]</w:t>
      </w:r>
      <w:r>
        <w:t xml:space="preserve"> — Property is in industrial zone. Toronto's employment areas conversion restrictions and rental replacement by-law (Chapter 667) may apply if property is developed or converted. Any redevelopment to residential would require replacement rental units at similar rents for current 14-unit occupancy. Confirms development as opportunistic, not routine value-add.</w:t>
      </w:r>
    </w:p>
    <w:p>
      <w:pPr>
        <w:pStyle w:val="ListBullet"/>
      </w:pPr>
      <w:r>
        <w:rPr>
          <w:b/>
        </w:rPr>
        <w:t>Development risk — upside depends on 3rd-party development and zoning approval</w:t>
      </w:r>
      <w:r>
        <w:rPr>
          <w:color w:val="B00000"/>
          <w:sz w:val="16"/>
        </w:rPr>
        <w:t xml:space="preserve">  [HIGH]</w:t>
      </w:r>
      <w:r>
        <w:t xml:space="preserve"> — Brochure marketing emphasizes nearby developments (Bloor/Dundas Choice, 1540-1550 Bloor Street West). Property value upside depends on these projects proceeding and on rezoning/approval potential for the subject site. Neither is certain. Verify status of neighboring development approvals.</w:t>
      </w:r>
    </w:p>
    <w:p>
      <w:pPr>
        <w:pStyle w:val="ListBullet"/>
      </w:pPr>
      <w:r>
        <w:rPr>
          <w:b/>
        </w:rPr>
        <w:t>Ontario property assessment frozen at 2016 valuation — $728k implied vs $6M asking price</w:t>
      </w:r>
      <w:r>
        <w:rPr>
          <w:color w:val="808080"/>
          <w:sz w:val="16"/>
        </w:rPr>
        <w:t xml:space="preserve">  [MEDIUM]</w:t>
      </w:r>
      <w:r>
        <w:t xml:space="preserve"> — Ontario assessments do not update on sale. Stated taxes (2025) of $17,356 imply assessed value of ~$728k at industrial rate, far below market. When Ontario eventually reassesses (date uncertain), taxes could rise materially. Not an immediate issue but a forward planning consideration.</w:t>
      </w:r>
    </w:p>
    <w:p>
      <w:pPr>
        <w:pStyle w:val="ListBullet"/>
      </w:pPr>
      <w:r>
        <w:rPr>
          <w:b/>
        </w:rPr>
        <w:t>Building age (1918) and partial systems modernization</w:t>
      </w:r>
      <w:r>
        <w:rPr>
          <w:color w:val="808080"/>
          <w:sz w:val="16"/>
        </w:rPr>
        <w:t xml:space="preserve">  [MEDIUM]</w:t>
      </w:r>
      <w:r>
        <w:t xml:space="preserve"> — Building is over 100 years old. 2016 renovation addressed envelope, interiors, and some systems (furnace, hot water, hydro); original or aging electrical, risers, and structural elements remain. Buyer should budget for phased systems replacement typical of historic buildings. Operating expense ratio of 17.7% is modest and may not reflect full systems refresh costs.</w:t>
      </w:r>
    </w:p>
    <w:p>
      <w:pPr>
        <w:pStyle w:val="ListBullet"/>
      </w:pPr>
      <w:r>
        <w:rPr>
          <w:b/>
        </w:rPr>
        <w:t>Lease expiry clustering and rent guideline risk</w:t>
      </w:r>
      <w:r>
        <w:rPr>
          <w:color w:val="808080"/>
          <w:sz w:val="16"/>
        </w:rPr>
        <w:t xml:space="preserve">  [MEDIUM]</w:t>
      </w:r>
      <w:r>
        <w:t xml:space="preserve"> — Most leases expire 2026-2027 with scheduled increases of $50-800/mo in Oct 2026 and beyond. If market does not support increases, lease turnover risk is concentrated in Q4 2026 and Q1 2027. Property is subject to Ontario rent guidelines on pre-Nov 15 2018 units; next turnover achieves market rent but only as vacancy decontrol applies per unit, not building-wide.</w:t>
      </w:r>
    </w:p>
    <w:p>
      <w:pPr>
        <w:pStyle w:val="ListBullet"/>
      </w:pPr>
      <w:r>
        <w:rPr>
          <w:b/>
        </w:rPr>
        <w:t>Parking and loading — not disclosed</w:t>
      </w:r>
      <w:r>
        <w:rPr>
          <w:color w:val="808080"/>
          <w:sz w:val="16"/>
        </w:rPr>
        <w:t xml:space="preserve">  [MEDIUM]</w:t>
      </w:r>
      <w:r>
        <w:t xml:space="preserve"> — Brochure does not mention parking, loading, or vehicle access. Industrial zoning and High Park North location suggest limited street parking; tenant parking arrangements should be verified, as this affects unit marketability and operating expenses.</w:t>
      </w:r>
    </w:p>
    <w:p>
      <w:pPr>
        <w:pStyle w:val="ListBullet"/>
      </w:pPr>
      <w:r>
        <w:rPr>
          <w:b/>
        </w:rPr>
        <w:t>Signage income ($500/month, $6k annually) — small revenue stream but watch tenant stability</w:t>
      </w:r>
      <w:r>
        <w:rPr>
          <w:color w:val="808080"/>
          <w:sz w:val="16"/>
        </w:rPr>
        <w:t xml:space="preserve">  [LOW]</w:t>
      </w:r>
      <w:r>
        <w:t xml:space="preserve"> — Rooftop signage generates $6k annually (1.3% of total revenue) on MTM lease. Confirm tenant, use, and longevity of this income stream; not a material issue but should be verified in due diligence.</w:t>
      </w:r>
    </w:p>
    <w:p>
      <w:pPr>
        <w:pStyle w:val="Heading1"/>
      </w:pPr>
      <w:r>
        <w:t>Location</w:t>
      </w:r>
    </w:p>
    <w:p>
      <w:r>
        <w:t>Located on Dundas Street West at the Dundas West subway station intersection, in High Park North neighborhood. TTC access immediate; Union Pearson Express (UP) and GO Transit within 1 km. Surrounded by Sault College campus, institutional uses, and local retail. Two major developments within 1 km: Bloor/Dundas Choice Properties (mixed-use with housing, retail, public realm) and Fora Development at 1540-1550 Bloor Street West (high-rise with public space). The area is transitioning from light industrial to mixed-use; neighboring properties include automotive, film studios, and commercial service uses.</w:t>
      </w:r>
    </w:p>
    <w:tbl>
      <w:tblPr>
        <w:tblStyle w:val="TableGrid"/>
        <w:tblW w:type="auto" w:w="0"/>
        <w:tblLayout w:type="fixed"/>
        <w:tblLook w:firstColumn="1" w:firstRow="1" w:lastColumn="0" w:lastRow="0" w:noHBand="0" w:noVBand="1" w:val="04A0"/>
      </w:tblPr>
      <w:tblGrid>
        <w:gridCol w:w="3264"/>
        <w:gridCol w:w="3264"/>
        <w:gridCol w:w="3264"/>
      </w:tblGrid>
      <w:tr>
        <w:tc>
          <w:tcPr>
            <w:tcW w:type="dxa" w:w="2160"/>
          </w:tcPr>
          <w:p>
            <w:r/>
            <w:r>
              <w:rPr>
                <w:b/>
                <w:sz w:val="17"/>
              </w:rPr>
              <w:t>Category</w:t>
            </w:r>
          </w:p>
        </w:tc>
        <w:tc>
          <w:tcPr>
            <w:tcW w:type="dxa" w:w="5616"/>
          </w:tcPr>
          <w:p>
            <w:r/>
            <w:r>
              <w:rPr>
                <w:b/>
                <w:sz w:val="17"/>
              </w:rPr>
              <w:t>Nearest</w:t>
            </w:r>
          </w:p>
        </w:tc>
        <w:tc>
          <w:tcPr>
            <w:tcW w:type="dxa" w:w="2016"/>
          </w:tcPr>
          <w:p>
            <w:r/>
            <w:r>
              <w:rPr>
                <w:b/>
                <w:sz w:val="17"/>
              </w:rPr>
              <w:t>Distance</w:t>
            </w:r>
          </w:p>
        </w:tc>
      </w:tr>
      <w:tr>
        <w:tc>
          <w:tcPr>
            <w:tcW w:type="dxa" w:w="2160"/>
          </w:tcPr>
          <w:p>
            <w:r/>
            <w:r>
              <w:rPr>
                <w:sz w:val="17"/>
              </w:rPr>
              <w:t>Rapid Transit</w:t>
            </w:r>
          </w:p>
        </w:tc>
        <w:tc>
          <w:tcPr>
            <w:tcW w:type="dxa" w:w="5616"/>
          </w:tcPr>
          <w:p>
            <w:r/>
            <w:r>
              <w:rPr>
                <w:sz w:val="17"/>
              </w:rPr>
              <w:t>TTC Dundas West subway station</w:t>
            </w:r>
          </w:p>
        </w:tc>
        <w:tc>
          <w:tcPr>
            <w:tcW w:type="dxa" w:w="2016"/>
          </w:tcPr>
          <w:p>
            <w:r/>
            <w:r>
              <w:rPr>
                <w:sz w:val="17"/>
              </w:rPr>
              <w:t>At station intersection; immediate access</w:t>
            </w:r>
          </w:p>
        </w:tc>
      </w:tr>
      <w:tr>
        <w:tc>
          <w:tcPr>
            <w:tcW w:type="dxa" w:w="2160"/>
          </w:tcPr>
          <w:p>
            <w:r/>
            <w:r>
              <w:rPr>
                <w:sz w:val="17"/>
              </w:rPr>
              <w:t>Regional Rail</w:t>
            </w:r>
          </w:p>
        </w:tc>
        <w:tc>
          <w:tcPr>
            <w:tcW w:type="dxa" w:w="5616"/>
          </w:tcPr>
          <w:p>
            <w:r/>
            <w:r>
              <w:rPr>
                <w:sz w:val="17"/>
              </w:rPr>
              <w:t>GO Transit / Union Station / UP Express</w:t>
            </w:r>
          </w:p>
        </w:tc>
        <w:tc>
          <w:tcPr>
            <w:tcW w:type="dxa" w:w="2016"/>
          </w:tcPr>
          <w:p>
            <w:r/>
            <w:r>
              <w:rPr>
                <w:sz w:val="17"/>
              </w:rPr>
              <w:t>Less than 1 km per brochure</w:t>
            </w:r>
          </w:p>
        </w:tc>
      </w:tr>
      <w:tr>
        <w:tc>
          <w:tcPr>
            <w:tcW w:type="dxa" w:w="2160"/>
          </w:tcPr>
          <w:p>
            <w:r/>
            <w:r>
              <w:rPr>
                <w:sz w:val="17"/>
              </w:rPr>
              <w:t>Institutional</w:t>
            </w:r>
          </w:p>
        </w:tc>
        <w:tc>
          <w:tcPr>
            <w:tcW w:type="dxa" w:w="5616"/>
          </w:tcPr>
          <w:p>
            <w:r/>
            <w:r>
              <w:rPr>
                <w:sz w:val="17"/>
              </w:rPr>
              <w:t>Sault College — Toronto Campus</w:t>
            </w:r>
          </w:p>
        </w:tc>
        <w:tc>
          <w:tcPr>
            <w:tcW w:type="dxa" w:w="2016"/>
          </w:tcPr>
          <w:p>
            <w:r/>
            <w:r>
              <w:rPr>
                <w:sz w:val="17"/>
              </w:rPr>
              <w:t>Adjacent</w:t>
            </w:r>
          </w:p>
        </w:tc>
      </w:tr>
      <w:tr>
        <w:tc>
          <w:tcPr>
            <w:tcW w:type="dxa" w:w="2160"/>
          </w:tcPr>
          <w:p>
            <w:r/>
            <w:r>
              <w:rPr>
                <w:sz w:val="17"/>
              </w:rPr>
              <w:t>Retail Food</w:t>
            </w:r>
          </w:p>
        </w:tc>
        <w:tc>
          <w:tcPr>
            <w:tcW w:type="dxa" w:w="5616"/>
          </w:tcPr>
          <w:p>
            <w:r/>
            <w:r>
              <w:rPr>
                <w:sz w:val="17"/>
              </w:rPr>
              <w:t>Bandit Brewery, local cafés, restaurants on Dundas Street</w:t>
            </w:r>
          </w:p>
        </w:tc>
        <w:tc>
          <w:tcPr>
            <w:tcW w:type="dxa" w:w="2016"/>
          </w:tcPr>
          <w:p>
            <w:r/>
            <w:r>
              <w:rPr>
                <w:sz w:val="17"/>
              </w:rPr>
              <w:t>Walking distance</w:t>
            </w:r>
          </w:p>
        </w:tc>
      </w:tr>
      <w:tr>
        <w:tc>
          <w:tcPr>
            <w:tcW w:type="dxa" w:w="2160"/>
          </w:tcPr>
          <w:p>
            <w:r/>
            <w:r>
              <w:rPr>
                <w:sz w:val="17"/>
              </w:rPr>
              <w:t>Cultural</w:t>
            </w:r>
          </w:p>
        </w:tc>
        <w:tc>
          <w:tcPr>
            <w:tcW w:type="dxa" w:w="5616"/>
          </w:tcPr>
          <w:p>
            <w:r/>
            <w:r>
              <w:rPr>
                <w:sz w:val="17"/>
              </w:rPr>
              <w:t>Museum of Contemporary Art (MoCA)</w:t>
            </w:r>
          </w:p>
        </w:tc>
        <w:tc>
          <w:tcPr>
            <w:tcW w:type="dxa" w:w="2016"/>
          </w:tcPr>
          <w:p>
            <w:r/>
            <w:r>
              <w:rPr>
                <w:sz w:val="17"/>
              </w:rPr>
              <w:t>Circa 1.2 km</w:t>
            </w:r>
          </w:p>
        </w:tc>
      </w:tr>
      <w:tr>
        <w:tc>
          <w:tcPr>
            <w:tcW w:type="dxa" w:w="2160"/>
          </w:tcPr>
          <w:p>
            <w:r/>
            <w:r>
              <w:rPr>
                <w:sz w:val="17"/>
              </w:rPr>
              <w:t>Recreation</w:t>
            </w:r>
          </w:p>
        </w:tc>
        <w:tc>
          <w:tcPr>
            <w:tcW w:type="dxa" w:w="5616"/>
          </w:tcPr>
          <w:p>
            <w:r/>
            <w:r>
              <w:rPr>
                <w:sz w:val="17"/>
              </w:rPr>
              <w:t>High Park — major urban park with trails and sports facilities</w:t>
            </w:r>
          </w:p>
        </w:tc>
        <w:tc>
          <w:tcPr>
            <w:tcW w:type="dxa" w:w="2016"/>
          </w:tcPr>
          <w:p>
            <w:r/>
            <w:r>
              <w:rPr>
                <w:sz w:val="17"/>
              </w:rPr>
              <w:t>0.5–1 km depending on entry</w:t>
            </w:r>
          </w:p>
        </w:tc>
      </w:tr>
    </w:tbl>
    <w:p/>
    <w:p>
      <w:r>
        <w:rPr>
          <w:b/>
        </w:rPr>
        <w:t>Brochure claims checked</w:t>
      </w:r>
    </w:p>
    <w:tbl>
      <w:tblPr>
        <w:tblStyle w:val="TableGrid"/>
        <w:tblW w:type="auto" w:w="0"/>
        <w:tblLayout w:type="fixed"/>
        <w:tblLook w:firstColumn="1" w:firstRow="1" w:lastColumn="0" w:lastRow="0" w:noHBand="0" w:noVBand="1" w:val="04A0"/>
      </w:tblPr>
      <w:tblGrid>
        <w:gridCol w:w="3264"/>
        <w:gridCol w:w="3264"/>
        <w:gridCol w:w="3264"/>
      </w:tblGrid>
      <w:tr>
        <w:tc>
          <w:tcPr>
            <w:tcW w:type="dxa" w:w="3168"/>
          </w:tcPr>
          <w:p>
            <w:r/>
            <w:r>
              <w:rPr>
                <w:b/>
                <w:sz w:val="17"/>
              </w:rPr>
              <w:t>Claim</w:t>
            </w:r>
          </w:p>
        </w:tc>
        <w:tc>
          <w:tcPr>
            <w:tcW w:type="dxa" w:w="4896"/>
          </w:tcPr>
          <w:p>
            <w:r/>
            <w:r>
              <w:rPr>
                <w:b/>
                <w:sz w:val="17"/>
              </w:rPr>
              <w:t>Measured</w:t>
            </w:r>
          </w:p>
        </w:tc>
        <w:tc>
          <w:tcPr>
            <w:tcW w:type="dxa" w:w="1728"/>
          </w:tcPr>
          <w:p>
            <w:r/>
            <w:r>
              <w:rPr>
                <w:b/>
                <w:sz w:val="17"/>
              </w:rPr>
              <w:t>Verdict</w:t>
            </w:r>
          </w:p>
        </w:tc>
      </w:tr>
      <w:tr>
        <w:tc>
          <w:tcPr>
            <w:tcW w:type="dxa" w:w="3168"/>
          </w:tcPr>
          <w:p>
            <w:r/>
            <w:r>
              <w:rPr>
                <w:sz w:val="17"/>
              </w:rPr>
              <w:t>Located in one of the most transit-accessible rodes in Toronto (per OM p. 3)</w:t>
            </w:r>
          </w:p>
        </w:tc>
        <w:tc>
          <w:tcPr>
            <w:tcW w:type="dxa" w:w="4896"/>
          </w:tcPr>
          <w:p>
            <w:r/>
            <w:r>
              <w:rPr>
                <w:sz w:val="17"/>
              </w:rPr>
              <w:t>Immediate at Dundas West subway; GO Transit 1 km away</w:t>
            </w:r>
          </w:p>
        </w:tc>
        <w:tc>
          <w:tcPr>
            <w:tcW w:type="dxa" w:w="1728"/>
          </w:tcPr>
          <w:p>
            <w:r/>
            <w:r>
              <w:rPr>
                <w:sz w:val="17"/>
              </w:rPr>
              <w:t>Confirmed</w:t>
            </w:r>
          </w:p>
        </w:tc>
      </w:tr>
      <w:tr>
        <w:tc>
          <w:tcPr>
            <w:tcW w:type="dxa" w:w="3168"/>
          </w:tcPr>
          <w:p>
            <w:r/>
            <w:r>
              <w:rPr>
                <w:sz w:val="17"/>
              </w:rPr>
              <w:t>Less than 1 km from Bloor/Dundas Choice Properties development (new park, housing, retail)</w:t>
            </w:r>
          </w:p>
        </w:tc>
        <w:tc>
          <w:tcPr>
            <w:tcW w:type="dxa" w:w="4896"/>
          </w:tcPr>
          <w:p>
            <w:r/>
            <w:r>
              <w:rPr>
                <w:sz w:val="17"/>
              </w:rPr>
              <w:t>Approximately 0.8–1.0 km to development site north of Dundas at Bloor Street West intersection</w:t>
            </w:r>
          </w:p>
        </w:tc>
        <w:tc>
          <w:tcPr>
            <w:tcW w:type="dxa" w:w="1728"/>
          </w:tcPr>
          <w:p>
            <w:r/>
            <w:r>
              <w:rPr>
                <w:sz w:val="17"/>
              </w:rPr>
              <w:t>Confirmed</w:t>
            </w:r>
          </w:p>
        </w:tc>
      </w:tr>
      <w:tr>
        <w:tc>
          <w:tcPr>
            <w:tcW w:type="dxa" w:w="3168"/>
          </w:tcPr>
          <w:p>
            <w:r/>
            <w:r>
              <w:rPr>
                <w:sz w:val="17"/>
              </w:rPr>
              <w:t>Adjacent to Bloor West subway station and Union Pearson Express (per OM p. 5)</w:t>
            </w:r>
          </w:p>
        </w:tc>
        <w:tc>
          <w:tcPr>
            <w:tcW w:type="dxa" w:w="4896"/>
          </w:tcPr>
          <w:p>
            <w:r/>
            <w:r>
              <w:rPr>
                <w:sz w:val="17"/>
              </w:rPr>
              <w:t>Dundas West subway is immediate; Bloor West subway is ~1.5 km away; UP Express at Union is ~1 km</w:t>
            </w:r>
          </w:p>
        </w:tc>
        <w:tc>
          <w:tcPr>
            <w:tcW w:type="dxa" w:w="1728"/>
          </w:tcPr>
          <w:p>
            <w:r/>
            <w:r>
              <w:rPr>
                <w:sz w:val="17"/>
              </w:rPr>
              <w:t>Overstated — Property Is Adjacent To Dundas West, Not Bloor West; Claim Conflates Two Stations</w:t>
            </w:r>
          </w:p>
        </w:tc>
      </w:tr>
    </w:tbl>
    <w:p/>
    <w:p>
      <w:pPr>
        <w:pStyle w:val="Heading1"/>
      </w:pPr>
      <w:r>
        <w:t>Questions for the listing agent</w:t>
      </w:r>
    </w:p>
    <w:p>
      <w:pPr>
        <w:pStyle w:val="ListNumber"/>
      </w:pPr>
      <w:r>
        <w:t>Can you confirm the actual zoning designation (I2 IC per OM vs MCR per public listing) and confirm that live/work studios are a permitted use under current zoning?</w:t>
      </w:r>
    </w:p>
    <w:p>
      <w:pPr>
        <w:pStyle w:val="ListNumber"/>
      </w:pPr>
      <w:r>
        <w:t>What is the property's current property class for tax assessment purposes (industrial, commercial, residential, or mixed), and has MPAC assessed the property post-2016 renovation? Please provide the roll number and current CVA if available.</w:t>
      </w:r>
    </w:p>
    <w:p>
      <w:pPr>
        <w:pStyle w:val="ListNumber"/>
      </w:pPr>
      <w:r>
        <w:t>What is the building's parking situation? No parking is mentioned in the brochure — are there surface spaces, a structure, or street-only access? How do tenants handle vehicle storage?</w:t>
      </w:r>
    </w:p>
    <w:p>
      <w:pPr>
        <w:pStyle w:val="ListNumber"/>
      </w:pPr>
      <w:r>
        <w:t>The brochure shows 2016 as the renovation year. What major systems (electrical, risers, HVAC, structural) remain at or near original 1918 condition? When was the roof last replaced or inspected?</w:t>
      </w:r>
    </w:p>
    <w:p>
      <w:pPr>
        <w:pStyle w:val="ListNumber"/>
      </w:pPr>
      <w:r>
        <w:t>Lease expiries cluster in Q4 2026–Q1 2027. Have any tenants indicated non-renewal? What market rent comps support the next-year increases ($50–$800/mo)?</w:t>
      </w:r>
    </w:p>
    <w:p>
      <w:pPr>
        <w:pStyle w:val="ListNumber"/>
      </w:pPr>
      <w:r>
        <w:t>Rooftop signage (Unit: Roof Sign, $500/mo MTM) — who is the tenant? What is the signage use, and what is the probability of renewal?</w:t>
      </w:r>
    </w:p>
    <w:p>
      <w:pPr>
        <w:pStyle w:val="ListNumber"/>
      </w:pPr>
      <w:r>
        <w:t>Can you provide a schedule of all capital improvements and their costs since the 2016 renovation?</w:t>
      </w:r>
    </w:p>
    <w:p>
      <w:pPr>
        <w:pStyle w:val="ListNumber"/>
      </w:pPr>
      <w:r>
        <w:t>What is the status of the nearby Bloor/Dundas Choice Properties and 1540–1550 Bloor Street West developments? Have either received final approvals or begun construction?</w:t>
      </w:r>
    </w:p>
    <w:p>
      <w:pPr>
        <w:pStyle w:val="ListNumber"/>
      </w:pPr>
      <w:r>
        <w:t>Have there been any discussions with the City regarding rezoning, development potential, or heritage designation for 2480 Dundas? Is the building on the City's inventory of properties with development constraints?</w:t>
      </w:r>
    </w:p>
    <w:p>
      <w:pPr>
        <w:pStyle w:val="ListNumber"/>
      </w:pPr>
      <w:r>
        <w:t>Are there any existing or proposed Ontario Regulation 153/04 Record of Site Condition requirements (environmental) for this site?</w:t>
      </w:r>
    </w:p>
    <w:p>
      <w:pPr>
        <w:pStyle w:val="ListNumber"/>
      </w:pPr>
      <w:r>
        <w:t>What reserves or capital reserve studies, if any, have been conducted? Given the building age, what is the owner's forward capital plan?</w:t>
      </w:r>
    </w:p>
    <w:p>
      <w:pPr>
        <w:pStyle w:val="ListNumber"/>
      </w:pPr>
      <w:r>
        <w:t>Is this property currently financed? If so, what are the terms, lender, and maturity?</w:t>
      </w:r>
    </w:p>
    <w:p>
      <w:pPr>
        <w:pStyle w:val="ListNumber"/>
      </w:pPr>
      <w:r>
        <w:t>Can you provide copies of the 14 lease agreements, with sensitive tenant information redacted, to verify terms, increases, and expiry dates?</w:t>
      </w:r>
    </w:p>
    <w:p>
      <w:pPr>
        <w:pStyle w:val="Heading1"/>
      </w:pPr>
      <w:r>
        <w:t>Not disclosed</w:t>
      </w:r>
    </w:p>
    <w:p>
      <w:r>
        <w:rPr>
          <w:sz w:val="19"/>
        </w:rPr>
        <w:t>Year-over-year revenue trend (only 2026 current rent roll shown); Historical expense data (only 2025 Jan–Dec provided); Operating expense breakdown detail (management costs shown as 3.5% of revenue, but other costs not itemized); Reserve fund or capital reserve studies; Current debt / financing terms; Tenant credit profiles or lease enforcement history; HST registration status or implications for purchase; Environmental Phase 1 or Phase 2 ESA (brochure notes Phase 1 available on request); Heritage or conservation designation status; Development application timeline or approval status for site redevelopment</w:t>
      </w:r>
    </w:p>
    <w:p>
      <w:pPr>
        <w:jc w:val="left"/>
      </w:pPr>
      <w:r>
        <w:rPr>
          <w:i/>
          <w:color w:val="808080"/>
          <w:sz w:val="16"/>
        </w:rPr>
        <w:t>Screening note, not an underwriting. Figures are as disclosed in the source document unless marked calculated; fields shown as “Not disclosed” were absent from the document and could not be found in public sources.</w:t>
      </w:r>
    </w:p>
    <w:p>
      <w:pPr>
        <w:pStyle w:val="Heading1"/>
      </w:pPr>
      <w:r>
        <w:t>Sources</w:t>
      </w:r>
    </w:p>
    <w:p>
      <w:r>
        <w:rPr>
          <w:b/>
          <w:sz w:val="19"/>
        </w:rPr>
        <w:t xml:space="preserve">Offering document: </w:t>
      </w:r>
      <w:r>
        <w:rPr>
          <w:sz w:val="19"/>
        </w:rPr>
        <w:t>2480 Dundas Street West, Toronto — Offering document, EXP Realty, August 2026, 16 pages</w:t>
      </w:r>
    </w:p>
    <w:p>
      <w:pPr>
        <w:pStyle w:val="ListBullet"/>
      </w:pPr>
      <w:hyperlink r:id="rId9">
        <w:r>
          <w:rPr>
            <w:color w:val="0563C1"/>
            <w:u w:val="single"/>
            <w:sz w:val="19"/>
          </w:rPr>
          <w:t>LoopNet Canada — 2480 Dundas St W, Toronto, ON</w:t>
        </w:r>
      </w:hyperlink>
      <w:r>
        <w:rPr>
          <w:color w:val="595959"/>
          <w:sz w:val="18"/>
        </w:rPr>
        <w:t xml:space="preserve"> — Confirmed year built (1918), year renovated (2016), lot size (0.12 AC), zoning (MCR), building class (C), stories (2), and total building SF (11,937)</w:t>
      </w:r>
    </w:p>
    <w:p>
      <w:pPr>
        <w:pStyle w:val="ListBullet"/>
      </w:pPr>
      <w:hyperlink r:id="rId10">
        <w:r>
          <w:rPr>
            <w:color w:val="0563C1"/>
            <w:u w:val="single"/>
            <w:sz w:val="19"/>
          </w:rPr>
          <w:t>Zolo.ca — 2480 Dundas Street West, Toronto</w:t>
        </w:r>
      </w:hyperlink>
      <w:r>
        <w:rPr>
          <w:color w:val="595959"/>
          <w:sz w:val="18"/>
        </w:rPr>
        <w:t xml:space="preserve"> — Property listing data; detailed property specifications not available in free listing but confirmed property exists in MLS system</w:t>
      </w:r>
    </w:p>
    <w:p>
      <w:pPr>
        <w:pStyle w:val="ListBullet"/>
      </w:pPr>
      <w:hyperlink r:id="rId11">
        <w:r>
          <w:rPr>
            <w:color w:val="0563C1"/>
            <w:u w:val="single"/>
            <w:sz w:val="19"/>
          </w:rPr>
          <w:t>City of Toronto Property Taxes — 2025 tax rate schedule</w:t>
        </w:r>
      </w:hyperlink>
      <w:r>
        <w:rPr>
          <w:color w:val="595959"/>
          <w:sz w:val="18"/>
        </w:rPr>
        <w:t xml:space="preserve"> — Industrial tax rate of 2.384303% used to calculate implied assessment from stated taxes</w:t>
      </w:r>
    </w:p>
    <w:p>
      <w:pPr>
        <w:pStyle w:val="ListBullet"/>
      </w:pPr>
      <w:hyperlink r:id="rId12">
        <w:r>
          <w:rPr>
            <w:color w:val="0563C1"/>
            <w:u w:val="single"/>
            <w:sz w:val="19"/>
          </w:rPr>
          <w:t>TTC — Dundas West Station</w:t>
        </w:r>
      </w:hyperlink>
      <w:r>
        <w:rPr>
          <w:color w:val="595959"/>
          <w:sz w:val="18"/>
        </w:rPr>
        <w:t xml:space="preserve"> — Confirmed transit access and station location</w:t>
      </w:r>
    </w:p>
    <w:p>
      <w:pPr>
        <w:pStyle w:val="ListBullet"/>
      </w:pPr>
      <w:hyperlink r:id="rId13">
        <w:r>
          <w:rPr>
            <w:color w:val="0563C1"/>
            <w:u w:val="single"/>
            <w:sz w:val="19"/>
          </w:rPr>
          <w:t>Google Maps</w:t>
        </w:r>
      </w:hyperlink>
      <w:r>
        <w:rPr>
          <w:color w:val="595959"/>
          <w:sz w:val="18"/>
        </w:rPr>
        <w:t xml:space="preserve"> — Distance verification to transit, institutional uses (Sault College), cultural amenities (MoCA), and recreation (High Park)</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oopnet.ca/Listing/2480-Dundas-St-W-Toronto-ON/37164807/" TargetMode="External"/><Relationship Id="rId10" Type="http://schemas.openxmlformats.org/officeDocument/2006/relationships/hyperlink" Target="https://www.zolo.ca/toronto-real-estate/2480-dundas-street-west" TargetMode="External"/><Relationship Id="rId11" Type="http://schemas.openxmlformats.org/officeDocument/2006/relationships/hyperlink" Target="https://www.toronto.ca/city-government/budget-finances/city-budget/" TargetMode="External"/><Relationship Id="rId12" Type="http://schemas.openxmlformats.org/officeDocument/2006/relationships/hyperlink" Target="https://www.ttc.ca/" TargetMode="External"/><Relationship Id="rId13" Type="http://schemas.openxmlformats.org/officeDocument/2006/relationships/hyperlink" Target="https://maps.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