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391 Major Mackenzie Drive East — Deal Screen</w:t>
      </w:r>
    </w:p>
    <w:p>
      <w:r>
        <w:rPr>
          <w:color w:val="666666"/>
          <w:sz w:val="17"/>
        </w:rPr>
        <w:t>391 Major Mackenzie Drive East, Richmond Hill, Richmond Hill, ON, L4C 1H8 · multifamily · 44 units · Screened 2026-09-03 · Source: 391 Major Mackenzie Drive E  Sale Brochure.pdf</w:t>
      </w:r>
    </w:p>
    <w:p>
      <w:r>
        <w:rPr>
          <w:b/>
        </w:rPr>
        <w:t xml:space="preserve">Read:  </w:t>
      </w:r>
      <w:r>
        <w:t>A 44-suite multifamily building in central Richmond Hill, completed in 1959 and recently upgraded (2016–2026), on 1.38 acres directly across Richmond Hill GO Station. Value-add: significant rental upside (67%), recent capital investment focused on systems and cosmetic work, and underutilized land for future intensification. Strong transit orientation and stable existing income support long-term value creation.</w:t>
      </w:r>
    </w:p>
    <w:p>
      <w:pPr>
        <w:pStyle w:val="Heading1"/>
      </w:pPr>
      <w:r>
        <w:t>Snapshot</w:t>
      </w:r>
    </w:p>
    <w:tbl>
      <w:tblPr>
        <w:tblStyle w:val="TableGrid"/>
        <w:tblW w:type="auto" w:w="0"/>
        <w:tblLayout w:type="fixed"/>
        <w:tblLook w:firstColumn="1" w:firstRow="1" w:lastColumn="0" w:lastRow="0" w:noHBand="0" w:noVBand="1" w:val="04A0"/>
      </w:tblPr>
      <w:tblGrid>
        <w:gridCol w:w="4896"/>
        <w:gridCol w:w="4896"/>
      </w:tblGrid>
      <w:tr>
        <w:tc>
          <w:tcPr>
            <w:tcW w:type="dxa" w:w="3744"/>
          </w:tcPr>
          <w:p>
            <w:r/>
            <w:r>
              <w:rPr>
                <w:b/>
                <w:sz w:val="17"/>
              </w:rPr>
              <w:t>Field</w:t>
            </w:r>
          </w:p>
        </w:tc>
        <w:tc>
          <w:tcPr>
            <w:tcW w:type="dxa" w:w="6048"/>
          </w:tcPr>
          <w:p>
            <w:r/>
            <w:r>
              <w:rPr>
                <w:b/>
                <w:sz w:val="17"/>
              </w:rPr>
              <w:t>Value</w:t>
            </w:r>
          </w:p>
        </w:tc>
      </w:tr>
      <w:tr>
        <w:tc>
          <w:tcPr>
            <w:tcW w:type="dxa" w:w="3744"/>
          </w:tcPr>
          <w:p>
            <w:r/>
            <w:r>
              <w:rPr>
                <w:sz w:val="17"/>
              </w:rPr>
              <w:t>Property name</w:t>
            </w:r>
          </w:p>
        </w:tc>
        <w:tc>
          <w:tcPr>
            <w:tcW w:type="dxa" w:w="6048"/>
          </w:tcPr>
          <w:p>
            <w:r/>
            <w:r>
              <w:rPr>
                <w:sz w:val="17"/>
              </w:rPr>
              <w:t>391 Major Mackenzie Drive East</w:t>
            </w:r>
          </w:p>
        </w:tc>
      </w:tr>
      <w:tr>
        <w:tc>
          <w:tcPr>
            <w:tcW w:type="dxa" w:w="3744"/>
          </w:tcPr>
          <w:p>
            <w:r/>
            <w:r>
              <w:rPr>
                <w:sz w:val="17"/>
              </w:rPr>
              <w:t>Address</w:t>
            </w:r>
          </w:p>
        </w:tc>
        <w:tc>
          <w:tcPr>
            <w:tcW w:type="dxa" w:w="6048"/>
          </w:tcPr>
          <w:p>
            <w:r/>
            <w:r>
              <w:rPr>
                <w:sz w:val="17"/>
              </w:rPr>
              <w:t>391 Major Mackenzie Drive East, Richmond Hill, Richmond Hill, ON, L4C 1H8</w:t>
            </w:r>
          </w:p>
        </w:tc>
      </w:tr>
      <w:tr>
        <w:tc>
          <w:tcPr>
            <w:tcW w:type="dxa" w:w="3744"/>
          </w:tcPr>
          <w:p>
            <w:r/>
            <w:r>
              <w:rPr>
                <w:sz w:val="17"/>
              </w:rPr>
              <w:t>Asset type</w:t>
            </w:r>
          </w:p>
        </w:tc>
        <w:tc>
          <w:tcPr>
            <w:tcW w:type="dxa" w:w="6048"/>
          </w:tcPr>
          <w:p>
            <w:r/>
            <w:r>
              <w:rPr>
                <w:sz w:val="17"/>
              </w:rPr>
              <w:t>multifamily</w:t>
            </w:r>
          </w:p>
        </w:tc>
      </w:tr>
      <w:tr>
        <w:tc>
          <w:tcPr>
            <w:tcW w:type="dxa" w:w="3744"/>
          </w:tcPr>
          <w:p>
            <w:r/>
            <w:r>
              <w:rPr>
                <w:sz w:val="17"/>
              </w:rPr>
              <w:t>Asset subtype</w:t>
            </w:r>
          </w:p>
        </w:tc>
        <w:tc>
          <w:tcPr>
            <w:tcW w:type="dxa" w:w="6048"/>
          </w:tcPr>
          <w:p>
            <w:r/>
            <w:r>
              <w:rPr>
                <w:sz w:val="17"/>
              </w:rPr>
              <w:t>purpose-built rental, mid-rise</w:t>
            </w:r>
          </w:p>
        </w:tc>
      </w:tr>
      <w:tr>
        <w:tc>
          <w:tcPr>
            <w:tcW w:type="dxa" w:w="3744"/>
          </w:tcPr>
          <w:p>
            <w:r/>
            <w:r>
              <w:rPr>
                <w:sz w:val="17"/>
              </w:rPr>
              <w:t>Year built</w:t>
            </w:r>
          </w:p>
        </w:tc>
        <w:tc>
          <w:tcPr>
            <w:tcW w:type="dxa" w:w="6048"/>
          </w:tcPr>
          <w:p>
            <w:r/>
            <w:r>
              <w:rPr>
                <w:sz w:val="17"/>
              </w:rPr>
              <w:t>1959</w:t>
            </w:r>
          </w:p>
        </w:tc>
      </w:tr>
      <w:tr>
        <w:tc>
          <w:tcPr>
            <w:tcW w:type="dxa" w:w="3744"/>
          </w:tcPr>
          <w:p>
            <w:r/>
            <w:r>
              <w:rPr>
                <w:sz w:val="17"/>
              </w:rPr>
              <w:t>Year renovated</w:t>
            </w:r>
          </w:p>
        </w:tc>
        <w:tc>
          <w:tcPr>
            <w:tcW w:type="dxa" w:w="6048"/>
          </w:tcPr>
          <w:p>
            <w:r/>
            <w:r>
              <w:rPr>
                <w:sz w:val="17"/>
              </w:rPr>
              <w:t>2026</w:t>
            </w:r>
          </w:p>
        </w:tc>
      </w:tr>
      <w:tr>
        <w:tc>
          <w:tcPr>
            <w:tcW w:type="dxa" w:w="3744"/>
          </w:tcPr>
          <w:p>
            <w:r/>
            <w:r>
              <w:rPr>
                <w:sz w:val="17"/>
              </w:rPr>
              <w:t>Storeys</w:t>
            </w:r>
          </w:p>
        </w:tc>
        <w:tc>
          <w:tcPr>
            <w:tcW w:type="dxa" w:w="6048"/>
          </w:tcPr>
          <w:p>
            <w:r/>
            <w:r>
              <w:rPr>
                <w:sz w:val="17"/>
              </w:rPr>
              <w:t>6</w:t>
            </w:r>
          </w:p>
        </w:tc>
      </w:tr>
      <w:tr>
        <w:tc>
          <w:tcPr>
            <w:tcW w:type="dxa" w:w="3744"/>
          </w:tcPr>
          <w:p>
            <w:r/>
            <w:r>
              <w:rPr>
                <w:sz w:val="17"/>
              </w:rPr>
              <w:t>Zoning</w:t>
            </w:r>
          </w:p>
        </w:tc>
        <w:tc>
          <w:tcPr>
            <w:tcW w:type="dxa" w:w="6048"/>
          </w:tcPr>
          <w:p>
            <w:r/>
            <w:r>
              <w:rPr>
                <w:sz w:val="17"/>
              </w:rPr>
              <w:t>Not disclosed; Richmond Hill planning framework encourages compact communities but no specific entitlement assumed without further review</w:t>
            </w:r>
          </w:p>
        </w:tc>
      </w:tr>
      <w:tr>
        <w:tc>
          <w:tcPr>
            <w:tcW w:type="dxa" w:w="3744"/>
          </w:tcPr>
          <w:p>
            <w:r/>
            <w:r>
              <w:rPr>
                <w:sz w:val="17"/>
              </w:rPr>
              <w:t>Total units / suites</w:t>
            </w:r>
          </w:p>
        </w:tc>
        <w:tc>
          <w:tcPr>
            <w:tcW w:type="dxa" w:w="6048"/>
          </w:tcPr>
          <w:p>
            <w:r/>
            <w:r>
              <w:rPr>
                <w:sz w:val="17"/>
              </w:rPr>
              <w:t>44</w:t>
            </w:r>
          </w:p>
        </w:tc>
      </w:tr>
      <w:tr>
        <w:tc>
          <w:tcPr>
            <w:tcW w:type="dxa" w:w="3744"/>
          </w:tcPr>
          <w:p>
            <w:r/>
            <w:r>
              <w:rPr>
                <w:sz w:val="17"/>
              </w:rPr>
              <w:t>Units offline</w:t>
            </w:r>
          </w:p>
        </w:tc>
        <w:tc>
          <w:tcPr>
            <w:tcW w:type="dxa" w:w="6048"/>
          </w:tcPr>
          <w:p>
            <w:r/>
            <w:r>
              <w:rPr>
                <w:sz w:val="17"/>
              </w:rPr>
              <w:t>0</w:t>
            </w:r>
          </w:p>
        </w:tc>
      </w:tr>
      <w:tr>
        <w:tc>
          <w:tcPr>
            <w:tcW w:type="dxa" w:w="3744"/>
          </w:tcPr>
          <w:p>
            <w:r/>
            <w:r>
              <w:rPr>
                <w:sz w:val="17"/>
              </w:rPr>
              <w:t>Gross leasable area (sf)</w:t>
            </w:r>
          </w:p>
        </w:tc>
        <w:tc>
          <w:tcPr>
            <w:tcW w:type="dxa" w:w="6048"/>
          </w:tcPr>
          <w:p>
            <w:r/>
            <w:r>
              <w:rPr>
                <w:i/>
                <w:color w:val="808080"/>
                <w:sz w:val="17"/>
              </w:rPr>
              <w:t>Not disclosed</w:t>
            </w:r>
          </w:p>
        </w:tc>
      </w:tr>
      <w:tr>
        <w:tc>
          <w:tcPr>
            <w:tcW w:type="dxa" w:w="3744"/>
          </w:tcPr>
          <w:p>
            <w:r/>
            <w:r>
              <w:rPr>
                <w:sz w:val="17"/>
              </w:rPr>
              <w:t>GLA basis</w:t>
            </w:r>
          </w:p>
        </w:tc>
        <w:tc>
          <w:tcPr>
            <w:tcW w:type="dxa" w:w="6048"/>
          </w:tcPr>
          <w:p>
            <w:r/>
            <w:r>
              <w:rPr>
                <w:i/>
                <w:color w:val="808080"/>
                <w:sz w:val="17"/>
              </w:rPr>
              <w:t>Not disclosed</w:t>
            </w:r>
          </w:p>
        </w:tc>
      </w:tr>
      <w:tr>
        <w:tc>
          <w:tcPr>
            <w:tcW w:type="dxa" w:w="3744"/>
          </w:tcPr>
          <w:p>
            <w:r/>
            <w:r>
              <w:rPr>
                <w:sz w:val="17"/>
              </w:rPr>
              <w:t>Total building area (sf)</w:t>
            </w:r>
          </w:p>
        </w:tc>
        <w:tc>
          <w:tcPr>
            <w:tcW w:type="dxa" w:w="6048"/>
          </w:tcPr>
          <w:p>
            <w:r/>
            <w:r>
              <w:rPr>
                <w:i/>
                <w:color w:val="808080"/>
                <w:sz w:val="17"/>
              </w:rPr>
              <w:t>Not disclosed</w:t>
            </w:r>
          </w:p>
        </w:tc>
      </w:tr>
      <w:tr>
        <w:tc>
          <w:tcPr>
            <w:tcW w:type="dxa" w:w="3744"/>
          </w:tcPr>
          <w:p>
            <w:r/>
            <w:r>
              <w:rPr>
                <w:sz w:val="17"/>
              </w:rPr>
              <w:t>Site area (acres)</w:t>
            </w:r>
          </w:p>
        </w:tc>
        <w:tc>
          <w:tcPr>
            <w:tcW w:type="dxa" w:w="6048"/>
          </w:tcPr>
          <w:p>
            <w:r/>
            <w:r>
              <w:rPr>
                <w:sz w:val="17"/>
              </w:rPr>
              <w:t>1.38</w:t>
            </w:r>
          </w:p>
        </w:tc>
      </w:tr>
      <w:tr>
        <w:tc>
          <w:tcPr>
            <w:tcW w:type="dxa" w:w="3744"/>
          </w:tcPr>
          <w:p>
            <w:r/>
            <w:r>
              <w:rPr>
                <w:sz w:val="17"/>
              </w:rPr>
              <w:t>Site area (sf)</w:t>
            </w:r>
          </w:p>
        </w:tc>
        <w:tc>
          <w:tcPr>
            <w:tcW w:type="dxa" w:w="6048"/>
          </w:tcPr>
          <w:p>
            <w:r/>
            <w:r>
              <w:rPr>
                <w:sz w:val="17"/>
              </w:rPr>
              <w:t>60,093</w:t>
            </w:r>
          </w:p>
        </w:tc>
      </w:tr>
      <w:tr>
        <w:tc>
          <w:tcPr>
            <w:tcW w:type="dxa" w:w="3744"/>
          </w:tcPr>
          <w:p>
            <w:r/>
            <w:r>
              <w:rPr>
                <w:sz w:val="17"/>
              </w:rPr>
              <w:t>Density (units/acre)</w:t>
            </w:r>
          </w:p>
        </w:tc>
        <w:tc>
          <w:tcPr>
            <w:tcW w:type="dxa" w:w="6048"/>
          </w:tcPr>
          <w:p>
            <w:r/>
            <w:r>
              <w:rPr>
                <w:sz w:val="17"/>
              </w:rPr>
              <w:t>31.90</w:t>
            </w:r>
          </w:p>
        </w:tc>
      </w:tr>
      <w:tr>
        <w:tc>
          <w:tcPr>
            <w:tcW w:type="dxa" w:w="3744"/>
          </w:tcPr>
          <w:p>
            <w:r/>
            <w:r>
              <w:rPr>
                <w:sz w:val="17"/>
              </w:rPr>
              <w:t>FAR</w:t>
            </w:r>
          </w:p>
        </w:tc>
        <w:tc>
          <w:tcPr>
            <w:tcW w:type="dxa" w:w="6048"/>
          </w:tcPr>
          <w:p>
            <w:r/>
            <w:r>
              <w:rPr>
                <w:i/>
                <w:color w:val="808080"/>
                <w:sz w:val="17"/>
              </w:rPr>
              <w:t>Not disclosed</w:t>
            </w:r>
          </w:p>
        </w:tc>
      </w:tr>
      <w:tr>
        <w:tc>
          <w:tcPr>
            <w:tcW w:type="dxa" w:w="3744"/>
          </w:tcPr>
          <w:p>
            <w:r/>
            <w:r>
              <w:rPr>
                <w:sz w:val="17"/>
              </w:rPr>
              <w:t>Parking spaces</w:t>
            </w:r>
          </w:p>
        </w:tc>
        <w:tc>
          <w:tcPr>
            <w:tcW w:type="dxa" w:w="6048"/>
          </w:tcPr>
          <w:p>
            <w:r/>
            <w:r>
              <w:rPr>
                <w:i/>
                <w:color w:val="808080"/>
                <w:sz w:val="17"/>
              </w:rPr>
              <w:t>Not disclosed</w:t>
            </w:r>
          </w:p>
        </w:tc>
      </w:tr>
      <w:tr>
        <w:tc>
          <w:tcPr>
            <w:tcW w:type="dxa" w:w="3744"/>
          </w:tcPr>
          <w:p>
            <w:r/>
            <w:r>
              <w:rPr>
                <w:sz w:val="17"/>
              </w:rPr>
              <w:t>Occupancy — physical</w:t>
            </w:r>
          </w:p>
        </w:tc>
        <w:tc>
          <w:tcPr>
            <w:tcW w:type="dxa" w:w="6048"/>
          </w:tcPr>
          <w:p>
            <w:r/>
            <w:r>
              <w:rPr>
                <w:i/>
                <w:color w:val="808080"/>
                <w:sz w:val="17"/>
              </w:rPr>
              <w:t>Not disclosed</w:t>
            </w:r>
          </w:p>
        </w:tc>
      </w:tr>
      <w:tr>
        <w:tc>
          <w:tcPr>
            <w:tcW w:type="dxa" w:w="3744"/>
          </w:tcPr>
          <w:p>
            <w:r/>
            <w:r>
              <w:rPr>
                <w:sz w:val="17"/>
              </w:rPr>
              <w:t>Occupancy — economic</w:t>
            </w:r>
          </w:p>
        </w:tc>
        <w:tc>
          <w:tcPr>
            <w:tcW w:type="dxa" w:w="6048"/>
          </w:tcPr>
          <w:p>
            <w:r/>
            <w:r>
              <w:rPr>
                <w:i/>
                <w:color w:val="808080"/>
                <w:sz w:val="17"/>
              </w:rPr>
              <w:t>Not disclosed</w:t>
            </w:r>
          </w:p>
        </w:tc>
      </w:tr>
      <w:tr>
        <w:tc>
          <w:tcPr>
            <w:tcW w:type="dxa" w:w="3744"/>
          </w:tcPr>
          <w:p>
            <w:r/>
            <w:r>
              <w:rPr>
                <w:sz w:val="17"/>
              </w:rPr>
              <w:t>Occupancy as of</w:t>
            </w:r>
          </w:p>
        </w:tc>
        <w:tc>
          <w:tcPr>
            <w:tcW w:type="dxa" w:w="6048"/>
          </w:tcPr>
          <w:p>
            <w:r/>
            <w:r>
              <w:rPr>
                <w:i/>
                <w:color w:val="808080"/>
                <w:sz w:val="17"/>
              </w:rPr>
              <w:t>Not disclosed</w:t>
            </w:r>
          </w:p>
        </w:tc>
      </w:tr>
      <w:tr>
        <w:tc>
          <w:tcPr>
            <w:tcW w:type="dxa" w:w="3744"/>
          </w:tcPr>
          <w:p>
            <w:r/>
            <w:r>
              <w:rPr>
                <w:sz w:val="17"/>
              </w:rPr>
              <w:t>Rent regulated</w:t>
            </w:r>
          </w:p>
        </w:tc>
        <w:tc>
          <w:tcPr>
            <w:tcW w:type="dxa" w:w="6048"/>
          </w:tcPr>
          <w:p>
            <w:r/>
            <w:r>
              <w:rPr>
                <w:sz w:val="17"/>
              </w:rPr>
              <w:t>Yes</w:t>
            </w:r>
          </w:p>
        </w:tc>
      </w:tr>
    </w:tbl>
    <w:p/>
    <w:p>
      <w:pPr>
        <w:pStyle w:val="Heading1"/>
      </w:pPr>
      <w:r>
        <w:t>Financial snapshot</w:t>
      </w:r>
    </w:p>
    <w:p>
      <w:r>
        <w:rPr>
          <w:i/>
          <w:color w:val="666666"/>
          <w:sz w:val="18"/>
        </w:rPr>
        <w:t>Surface read only — a public brochure rarely supports more, and the operating detail is a question for the listing agent.</w:t>
      </w:r>
    </w:p>
    <w:tbl>
      <w:tblPr>
        <w:tblStyle w:val="TableGrid"/>
        <w:tblW w:type="auto" w:w="0"/>
        <w:tblLayout w:type="fixed"/>
        <w:tblLook w:firstColumn="1" w:firstRow="1" w:lastColumn="0" w:lastRow="0" w:noHBand="0" w:noVBand="1" w:val="04A0"/>
      </w:tblPr>
      <w:tblGrid>
        <w:gridCol w:w="4896"/>
        <w:gridCol w:w="4896"/>
      </w:tblGrid>
      <w:tr>
        <w:tc>
          <w:tcPr>
            <w:tcW w:type="dxa" w:w="3744"/>
          </w:tcPr>
          <w:p>
            <w:r/>
            <w:r>
              <w:rPr>
                <w:b/>
                <w:sz w:val="17"/>
              </w:rPr>
              <w:t>Field</w:t>
            </w:r>
          </w:p>
        </w:tc>
        <w:tc>
          <w:tcPr>
            <w:tcW w:type="dxa" w:w="6048"/>
          </w:tcPr>
          <w:p>
            <w:r/>
            <w:r>
              <w:rPr>
                <w:b/>
                <w:sz w:val="17"/>
              </w:rPr>
              <w:t>Value</w:t>
            </w:r>
          </w:p>
        </w:tc>
      </w:tr>
      <w:tr>
        <w:tc>
          <w:tcPr>
            <w:tcW w:type="dxa" w:w="3744"/>
          </w:tcPr>
          <w:p>
            <w:r/>
            <w:r>
              <w:rPr>
                <w:sz w:val="17"/>
              </w:rPr>
              <w:t>Asking price</w:t>
            </w:r>
          </w:p>
        </w:tc>
        <w:tc>
          <w:tcPr>
            <w:tcW w:type="dxa" w:w="6048"/>
          </w:tcPr>
          <w:p>
            <w:r/>
            <w:r>
              <w:rPr>
                <w:sz w:val="17"/>
              </w:rPr>
              <w:t>$12,900,000</w:t>
            </w:r>
          </w:p>
        </w:tc>
      </w:tr>
      <w:tr>
        <w:tc>
          <w:tcPr>
            <w:tcW w:type="dxa" w:w="3744"/>
          </w:tcPr>
          <w:p>
            <w:r/>
            <w:r>
              <w:rPr>
                <w:sz w:val="17"/>
              </w:rPr>
              <w:t>Unpriced</w:t>
            </w:r>
          </w:p>
        </w:tc>
        <w:tc>
          <w:tcPr>
            <w:tcW w:type="dxa" w:w="6048"/>
          </w:tcPr>
          <w:p>
            <w:r/>
            <w:r>
              <w:rPr>
                <w:sz w:val="17"/>
              </w:rPr>
              <w:t>No</w:t>
            </w:r>
          </w:p>
        </w:tc>
      </w:tr>
      <w:tr>
        <w:tc>
          <w:tcPr>
            <w:tcW w:type="dxa" w:w="3744"/>
          </w:tcPr>
          <w:p>
            <w:r/>
            <w:r>
              <w:rPr>
                <w:sz w:val="17"/>
              </w:rPr>
              <w:t>NOI</w:t>
            </w:r>
          </w:p>
        </w:tc>
        <w:tc>
          <w:tcPr>
            <w:tcW w:type="dxa" w:w="6048"/>
          </w:tcPr>
          <w:p>
            <w:r/>
            <w:r>
              <w:rPr>
                <w:sz w:val="17"/>
              </w:rPr>
              <w:t>$517,091</w:t>
            </w:r>
          </w:p>
        </w:tc>
      </w:tr>
      <w:tr>
        <w:tc>
          <w:tcPr>
            <w:tcW w:type="dxa" w:w="3744"/>
          </w:tcPr>
          <w:p>
            <w:r/>
            <w:r>
              <w:rPr>
                <w:sz w:val="17"/>
              </w:rPr>
              <w:t>NOI basis</w:t>
            </w:r>
          </w:p>
        </w:tc>
        <w:tc>
          <w:tcPr>
            <w:tcW w:type="dxa" w:w="6048"/>
          </w:tcPr>
          <w:p>
            <w:r/>
            <w:r>
              <w:rPr>
                <w:sz w:val="17"/>
              </w:rPr>
              <w:t>in_place</w:t>
            </w:r>
          </w:p>
        </w:tc>
      </w:tr>
      <w:tr>
        <w:tc>
          <w:tcPr>
            <w:tcW w:type="dxa" w:w="3744"/>
          </w:tcPr>
          <w:p>
            <w:r/>
            <w:r>
              <w:rPr>
                <w:sz w:val="17"/>
              </w:rPr>
              <w:t>NOI period</w:t>
            </w:r>
          </w:p>
        </w:tc>
        <w:tc>
          <w:tcPr>
            <w:tcW w:type="dxa" w:w="6048"/>
          </w:tcPr>
          <w:p>
            <w:r/>
            <w:r>
              <w:rPr>
                <w:sz w:val="17"/>
              </w:rPr>
              <w:t>Year 1 (estimated)</w:t>
            </w:r>
          </w:p>
        </w:tc>
      </w:tr>
      <w:tr>
        <w:tc>
          <w:tcPr>
            <w:tcW w:type="dxa" w:w="3744"/>
          </w:tcPr>
          <w:p>
            <w:r/>
            <w:r>
              <w:rPr>
                <w:sz w:val="17"/>
              </w:rPr>
              <w:t>Implied NOI at stated cap rate</w:t>
            </w:r>
          </w:p>
        </w:tc>
        <w:tc>
          <w:tcPr>
            <w:tcW w:type="dxa" w:w="6048"/>
          </w:tcPr>
          <w:p>
            <w:r/>
            <w:r>
              <w:rPr>
                <w:i/>
                <w:color w:val="808080"/>
                <w:sz w:val="17"/>
              </w:rPr>
              <w:t>Not disclosed</w:t>
            </w:r>
          </w:p>
        </w:tc>
      </w:tr>
      <w:tr>
        <w:tc>
          <w:tcPr>
            <w:tcW w:type="dxa" w:w="3744"/>
          </w:tcPr>
          <w:p>
            <w:r/>
            <w:r>
              <w:rPr>
                <w:sz w:val="17"/>
              </w:rPr>
              <w:t>Cap rate</w:t>
            </w:r>
          </w:p>
        </w:tc>
        <w:tc>
          <w:tcPr>
            <w:tcW w:type="dxa" w:w="6048"/>
          </w:tcPr>
          <w:p>
            <w:r/>
            <w:r>
              <w:rPr>
                <w:sz w:val="17"/>
              </w:rPr>
              <w:t>4.01%</w:t>
            </w:r>
          </w:p>
        </w:tc>
      </w:tr>
      <w:tr>
        <w:tc>
          <w:tcPr>
            <w:tcW w:type="dxa" w:w="3744"/>
          </w:tcPr>
          <w:p>
            <w:r/>
            <w:r>
              <w:rPr>
                <w:sz w:val="17"/>
              </w:rPr>
              <w:t>Cap rate basis</w:t>
            </w:r>
          </w:p>
        </w:tc>
        <w:tc>
          <w:tcPr>
            <w:tcW w:type="dxa" w:w="6048"/>
          </w:tcPr>
          <w:p>
            <w:r/>
            <w:r>
              <w:rPr>
                <w:sz w:val="17"/>
              </w:rPr>
              <w:t>calculated from stated price and NOI</w:t>
            </w:r>
          </w:p>
        </w:tc>
      </w:tr>
      <w:tr>
        <w:tc>
          <w:tcPr>
            <w:tcW w:type="dxa" w:w="3744"/>
          </w:tcPr>
          <w:p>
            <w:r/>
            <w:r>
              <w:rPr>
                <w:sz w:val="17"/>
              </w:rPr>
              <w:t>Gross income</w:t>
            </w:r>
          </w:p>
        </w:tc>
        <w:tc>
          <w:tcPr>
            <w:tcW w:type="dxa" w:w="6048"/>
          </w:tcPr>
          <w:p>
            <w:r/>
            <w:r>
              <w:rPr>
                <w:i/>
                <w:color w:val="808080"/>
                <w:sz w:val="17"/>
              </w:rPr>
              <w:t>Not disclosed</w:t>
            </w:r>
          </w:p>
        </w:tc>
      </w:tr>
      <w:tr>
        <w:tc>
          <w:tcPr>
            <w:tcW w:type="dxa" w:w="3744"/>
          </w:tcPr>
          <w:p>
            <w:r/>
            <w:r>
              <w:rPr>
                <w:sz w:val="17"/>
              </w:rPr>
              <w:t>Operating expenses</w:t>
            </w:r>
          </w:p>
        </w:tc>
        <w:tc>
          <w:tcPr>
            <w:tcW w:type="dxa" w:w="6048"/>
          </w:tcPr>
          <w:p>
            <w:r/>
            <w:r>
              <w:rPr>
                <w:i/>
                <w:color w:val="808080"/>
                <w:sz w:val="17"/>
              </w:rPr>
              <w:t>Not disclosed</w:t>
            </w:r>
          </w:p>
        </w:tc>
      </w:tr>
      <w:tr>
        <w:tc>
          <w:tcPr>
            <w:tcW w:type="dxa" w:w="3744"/>
          </w:tcPr>
          <w:p>
            <w:r/>
            <w:r>
              <w:rPr>
                <w:sz w:val="17"/>
              </w:rPr>
              <w:t>Operating expense ratio</w:t>
            </w:r>
          </w:p>
        </w:tc>
        <w:tc>
          <w:tcPr>
            <w:tcW w:type="dxa" w:w="6048"/>
          </w:tcPr>
          <w:p>
            <w:r/>
            <w:r>
              <w:rPr>
                <w:i/>
                <w:color w:val="808080"/>
                <w:sz w:val="17"/>
              </w:rPr>
              <w:t>Not disclosed</w:t>
            </w:r>
          </w:p>
        </w:tc>
      </w:tr>
      <w:tr>
        <w:tc>
          <w:tcPr>
            <w:tcW w:type="dxa" w:w="3744"/>
          </w:tcPr>
          <w:p>
            <w:r/>
            <w:r>
              <w:rPr>
                <w:sz w:val="17"/>
              </w:rPr>
              <w:t>Price per unit</w:t>
            </w:r>
          </w:p>
        </w:tc>
        <w:tc>
          <w:tcPr>
            <w:tcW w:type="dxa" w:w="6048"/>
          </w:tcPr>
          <w:p>
            <w:r/>
            <w:r>
              <w:rPr>
                <w:sz w:val="17"/>
              </w:rPr>
              <w:t>$293,182</w:t>
            </w:r>
          </w:p>
        </w:tc>
      </w:tr>
      <w:tr>
        <w:tc>
          <w:tcPr>
            <w:tcW w:type="dxa" w:w="3744"/>
          </w:tcPr>
          <w:p>
            <w:r/>
            <w:r>
              <w:rPr>
                <w:sz w:val="17"/>
              </w:rPr>
              <w:t>Price per sf</w:t>
            </w:r>
          </w:p>
        </w:tc>
        <w:tc>
          <w:tcPr>
            <w:tcW w:type="dxa" w:w="6048"/>
          </w:tcPr>
          <w:p>
            <w:r/>
            <w:r>
              <w:rPr>
                <w:i/>
                <w:color w:val="808080"/>
                <w:sz w:val="17"/>
              </w:rPr>
              <w:t>Not disclosed</w:t>
            </w:r>
          </w:p>
        </w:tc>
      </w:tr>
      <w:tr>
        <w:tc>
          <w:tcPr>
            <w:tcW w:type="dxa" w:w="3744"/>
          </w:tcPr>
          <w:p>
            <w:r/>
            <w:r>
              <w:rPr>
                <w:sz w:val="17"/>
              </w:rPr>
              <w:t>Rent per sf (leasable)</w:t>
            </w:r>
          </w:p>
        </w:tc>
        <w:tc>
          <w:tcPr>
            <w:tcW w:type="dxa" w:w="6048"/>
          </w:tcPr>
          <w:p>
            <w:r/>
            <w:r>
              <w:rPr>
                <w:i/>
                <w:color w:val="808080"/>
                <w:sz w:val="17"/>
              </w:rPr>
              <w:t>Not disclosed</w:t>
            </w:r>
          </w:p>
        </w:tc>
      </w:tr>
      <w:tr>
        <w:tc>
          <w:tcPr>
            <w:tcW w:type="dxa" w:w="3744"/>
          </w:tcPr>
          <w:p>
            <w:r/>
            <w:r>
              <w:rPr>
                <w:sz w:val="17"/>
              </w:rPr>
              <w:t>Claimed upside</w:t>
            </w:r>
          </w:p>
        </w:tc>
        <w:tc>
          <w:tcPr>
            <w:tcW w:type="dxa" w:w="6048"/>
          </w:tcPr>
          <w:p>
            <w:r/>
            <w:r>
              <w:rPr>
                <w:sz w:val="17"/>
              </w:rPr>
              <w:t>67.0%</w:t>
            </w:r>
          </w:p>
        </w:tc>
      </w:tr>
    </w:tbl>
    <w:p/>
    <w:p>
      <w:pPr>
        <w:pStyle w:val="Heading1"/>
      </w:pPr>
      <w:r>
        <w:t>Taxes &amp; assessment</w:t>
      </w:r>
    </w:p>
    <w:tbl>
      <w:tblPr>
        <w:tblStyle w:val="TableGrid"/>
        <w:tblW w:type="auto" w:w="0"/>
        <w:tblLayout w:type="fixed"/>
        <w:tblLook w:firstColumn="1" w:firstRow="1" w:lastColumn="0" w:lastRow="0" w:noHBand="0" w:noVBand="1" w:val="04A0"/>
      </w:tblPr>
      <w:tblGrid>
        <w:gridCol w:w="4896"/>
        <w:gridCol w:w="4896"/>
      </w:tblGrid>
      <w:tr>
        <w:tc>
          <w:tcPr>
            <w:tcW w:type="dxa" w:w="3744"/>
          </w:tcPr>
          <w:p>
            <w:r/>
            <w:r>
              <w:rPr>
                <w:b/>
                <w:sz w:val="17"/>
              </w:rPr>
              <w:t>Field</w:t>
            </w:r>
          </w:p>
        </w:tc>
        <w:tc>
          <w:tcPr>
            <w:tcW w:type="dxa" w:w="6048"/>
          </w:tcPr>
          <w:p>
            <w:r/>
            <w:r>
              <w:rPr>
                <w:b/>
                <w:sz w:val="17"/>
              </w:rPr>
              <w:t>Value</w:t>
            </w:r>
          </w:p>
        </w:tc>
      </w:tr>
      <w:tr>
        <w:tc>
          <w:tcPr>
            <w:tcW w:type="dxa" w:w="3744"/>
          </w:tcPr>
          <w:p>
            <w:r/>
            <w:r>
              <w:rPr>
                <w:sz w:val="17"/>
              </w:rPr>
              <w:t>Realty taxes</w:t>
            </w:r>
          </w:p>
        </w:tc>
        <w:tc>
          <w:tcPr>
            <w:tcW w:type="dxa" w:w="6048"/>
          </w:tcPr>
          <w:p>
            <w:r/>
            <w:r>
              <w:rPr>
                <w:i/>
                <w:color w:val="808080"/>
                <w:sz w:val="17"/>
              </w:rPr>
              <w:t>Not disclosed</w:t>
            </w:r>
          </w:p>
        </w:tc>
      </w:tr>
      <w:tr>
        <w:tc>
          <w:tcPr>
            <w:tcW w:type="dxa" w:w="3744"/>
          </w:tcPr>
          <w:p>
            <w:r/>
            <w:r>
              <w:rPr>
                <w:sz w:val="17"/>
              </w:rPr>
              <w:t>Tax year</w:t>
            </w:r>
          </w:p>
        </w:tc>
        <w:tc>
          <w:tcPr>
            <w:tcW w:type="dxa" w:w="6048"/>
          </w:tcPr>
          <w:p>
            <w:r/>
            <w:r>
              <w:rPr>
                <w:i/>
                <w:color w:val="808080"/>
                <w:sz w:val="17"/>
              </w:rPr>
              <w:t>Not disclosed</w:t>
            </w:r>
          </w:p>
        </w:tc>
      </w:tr>
      <w:tr>
        <w:tc>
          <w:tcPr>
            <w:tcW w:type="dxa" w:w="3744"/>
          </w:tcPr>
          <w:p>
            <w:r/>
            <w:r>
              <w:rPr>
                <w:sz w:val="17"/>
              </w:rPr>
              <w:t>Source of tax figure</w:t>
            </w:r>
          </w:p>
        </w:tc>
        <w:tc>
          <w:tcPr>
            <w:tcW w:type="dxa" w:w="6048"/>
          </w:tcPr>
          <w:p>
            <w:r/>
            <w:r>
              <w:rPr>
                <w:i/>
                <w:color w:val="808080"/>
                <w:sz w:val="17"/>
              </w:rPr>
              <w:t>Not disclosed</w:t>
            </w:r>
          </w:p>
        </w:tc>
      </w:tr>
      <w:tr>
        <w:tc>
          <w:tcPr>
            <w:tcW w:type="dxa" w:w="3744"/>
          </w:tcPr>
          <w:p>
            <w:r/>
            <w:r>
              <w:rPr>
                <w:sz w:val="17"/>
              </w:rPr>
              <w:t>Assessed value (CVA)</w:t>
            </w:r>
          </w:p>
        </w:tc>
        <w:tc>
          <w:tcPr>
            <w:tcW w:type="dxa" w:w="6048"/>
          </w:tcPr>
          <w:p>
            <w:r/>
            <w:r>
              <w:rPr>
                <w:i/>
                <w:color w:val="808080"/>
                <w:sz w:val="17"/>
              </w:rPr>
              <w:t>Not disclosed</w:t>
            </w:r>
          </w:p>
        </w:tc>
      </w:tr>
      <w:tr>
        <w:tc>
          <w:tcPr>
            <w:tcW w:type="dxa" w:w="3744"/>
          </w:tcPr>
          <w:p>
            <w:r/>
            <w:r>
              <w:rPr>
                <w:sz w:val="17"/>
              </w:rPr>
              <w:t>CVA calculated, not found</w:t>
            </w:r>
          </w:p>
        </w:tc>
        <w:tc>
          <w:tcPr>
            <w:tcW w:type="dxa" w:w="6048"/>
          </w:tcPr>
          <w:p>
            <w:r/>
            <w:r>
              <w:rPr>
                <w:sz w:val="17"/>
              </w:rPr>
              <w:t>No</w:t>
            </w:r>
          </w:p>
        </w:tc>
      </w:tr>
      <w:tr>
        <w:tc>
          <w:tcPr>
            <w:tcW w:type="dxa" w:w="3744"/>
          </w:tcPr>
          <w:p>
            <w:r/>
            <w:r>
              <w:rPr>
                <w:sz w:val="17"/>
              </w:rPr>
              <w:t>Assessment year</w:t>
            </w:r>
          </w:p>
        </w:tc>
        <w:tc>
          <w:tcPr>
            <w:tcW w:type="dxa" w:w="6048"/>
          </w:tcPr>
          <w:p>
            <w:r/>
            <w:r>
              <w:rPr>
                <w:i/>
                <w:color w:val="808080"/>
                <w:sz w:val="17"/>
              </w:rPr>
              <w:t>Not disclosed</w:t>
            </w:r>
          </w:p>
        </w:tc>
      </w:tr>
      <w:tr>
        <w:tc>
          <w:tcPr>
            <w:tcW w:type="dxa" w:w="3744"/>
          </w:tcPr>
          <w:p>
            <w:r/>
            <w:r>
              <w:rPr>
                <w:sz w:val="17"/>
              </w:rPr>
              <w:t>Valuation date</w:t>
            </w:r>
          </w:p>
        </w:tc>
        <w:tc>
          <w:tcPr>
            <w:tcW w:type="dxa" w:w="6048"/>
          </w:tcPr>
          <w:p>
            <w:r/>
            <w:r>
              <w:rPr>
                <w:i/>
                <w:color w:val="808080"/>
                <w:sz w:val="17"/>
              </w:rPr>
              <w:t>Not disclosed</w:t>
            </w:r>
          </w:p>
        </w:tc>
      </w:tr>
      <w:tr>
        <w:tc>
          <w:tcPr>
            <w:tcW w:type="dxa" w:w="3744"/>
          </w:tcPr>
          <w:p>
            <w:r/>
            <w:r>
              <w:rPr>
                <w:sz w:val="17"/>
              </w:rPr>
              <w:t>Property tax class</w:t>
            </w:r>
          </w:p>
        </w:tc>
        <w:tc>
          <w:tcPr>
            <w:tcW w:type="dxa" w:w="6048"/>
          </w:tcPr>
          <w:p>
            <w:r/>
            <w:r>
              <w:rPr>
                <w:i/>
                <w:color w:val="808080"/>
                <w:sz w:val="17"/>
              </w:rPr>
              <w:t>Not disclosed</w:t>
            </w:r>
          </w:p>
        </w:tc>
      </w:tr>
      <w:tr>
        <w:tc>
          <w:tcPr>
            <w:tcW w:type="dxa" w:w="3744"/>
          </w:tcPr>
          <w:p>
            <w:r/>
            <w:r>
              <w:rPr>
                <w:sz w:val="17"/>
              </w:rPr>
              <w:t>Tax rate applied</w:t>
            </w:r>
          </w:p>
        </w:tc>
        <w:tc>
          <w:tcPr>
            <w:tcW w:type="dxa" w:w="6048"/>
          </w:tcPr>
          <w:p>
            <w:r/>
            <w:r>
              <w:rPr>
                <w:i/>
                <w:color w:val="808080"/>
                <w:sz w:val="17"/>
              </w:rPr>
              <w:t>Not disclosed</w:t>
            </w:r>
          </w:p>
        </w:tc>
      </w:tr>
      <w:tr>
        <w:tc>
          <w:tcPr>
            <w:tcW w:type="dxa" w:w="3744"/>
          </w:tcPr>
          <w:p>
            <w:r/>
            <w:r>
              <w:rPr>
                <w:sz w:val="17"/>
              </w:rPr>
              <w:t>Tax rate year</w:t>
            </w:r>
          </w:p>
        </w:tc>
        <w:tc>
          <w:tcPr>
            <w:tcW w:type="dxa" w:w="6048"/>
          </w:tcPr>
          <w:p>
            <w:r/>
            <w:r>
              <w:rPr>
                <w:i/>
                <w:color w:val="808080"/>
                <w:sz w:val="17"/>
              </w:rPr>
              <w:t>Not disclosed</w:t>
            </w:r>
          </w:p>
        </w:tc>
      </w:tr>
      <w:tr>
        <w:tc>
          <w:tcPr>
            <w:tcW w:type="dxa" w:w="3744"/>
          </w:tcPr>
          <w:p>
            <w:r/>
            <w:r>
              <w:rPr>
                <w:sz w:val="17"/>
              </w:rPr>
              <w:t>Municipality</w:t>
            </w:r>
          </w:p>
        </w:tc>
        <w:tc>
          <w:tcPr>
            <w:tcW w:type="dxa" w:w="6048"/>
          </w:tcPr>
          <w:p>
            <w:r/>
            <w:r>
              <w:rPr>
                <w:sz w:val="17"/>
              </w:rPr>
              <w:t>Richmond Hill</w:t>
            </w:r>
          </w:p>
        </w:tc>
      </w:tr>
    </w:tbl>
    <w:p/>
    <w:p>
      <w:r>
        <w:rPr>
          <w:i/>
          <w:sz w:val="18"/>
        </w:rPr>
        <w:t>Property tax, assessed value and tax class not disclosed in brochure. MPAC assessment data not accessible via public web search; requires direct lookup at mpac.ca or in-person visit to Richmond Hill Clerk's office. Verification essential before underwriting: with 1.38 acres and multi-residential use in central Richmond Hill, classification likely multi-residential, but exact assessment and tax level unknown.</w:t>
      </w:r>
    </w:p>
    <w:p>
      <w:pPr>
        <w:pStyle w:val="Heading1"/>
      </w:pPr>
      <w:r>
        <w:t>Investment category: Core-plus to value-add border, leaning value-add</w:t>
      </w:r>
    </w:p>
    <w:p>
      <w:r>
        <w:rPr>
          <w:b/>
        </w:rPr>
        <w:t>Confidence: high</w:t>
      </w:r>
      <w:r>
        <w:t xml:space="preserve">   ·   The brochure calls it: Opportunistic With Development Potential</w:t>
      </w:r>
    </w:p>
    <w:p>
      <w:r>
        <w:t>Signals driving value-add: (1) Substantial rental upside (67%) indicates rents are below market; (2) Recent capital investment is visible and sustained (elevator 2016, roof 2017, kitchens 2017–2021, electrical and balconies through 2026), focused on reducing near-term capital exposure while supporting operational performance—systems work, not top-to-bottom gut renovation typical of heavy value-add; (3) Property is 67 years old (1959), built during mid-century apartment boom, mid-rise typology; no deep structural red flags noted, but age requires diligent systems review; (4) Underutilized land (grass-covered rear, 1.38 acres) and conversion opportunity (locker room → residential units) offer secondary value drivers without requiring outright redevelopment; (5) Transit orientation and established location are stabilizing factors—this is not a redevelopment or repositioning play but a disciplined upgrade with density upside. The brochure self-labels as 'Opportunistic With Development Potential,' overstating the case; value-add more accurately reflects the risk and return profile.</w:t>
      </w:r>
    </w:p>
    <w:p>
      <w:pPr>
        <w:pStyle w:val="Heading1"/>
      </w:pPr>
      <w:r>
        <w:t>Capital position</w:t>
      </w:r>
    </w:p>
    <w:p>
      <w:r>
        <w:t>Capital work from 2016 to 2026 includes systems upgrades (elevator modernization and AC, new roof, replaced storage tanks and piping, electrical panel upgrades in 35 units) and cosmetic improvements (new kitchens to 18 units during 2017–2021, balcony restoration ongoing 2021–2026, asphalt parking lot renewed 2017). The mix is predominantly systems work—roof, mechanical, and structural—alongside suite renovations. Ongoing balcony restoration and garage floor work through 2026 indicate sustained capital discipline. No information provided on remaining major systems scope (boilers, windows, risers) or their condition; cost detail of improvements not disclosed.</w:t>
      </w:r>
    </w:p>
    <w:p>
      <w:r>
        <w:rPr>
          <w:b/>
        </w:rPr>
        <w:t xml:space="preserve">Systems work: </w:t>
      </w:r>
      <w:r>
        <w:t>Elevator modernization and new AC unit (2016, p. 6); New roof (2017, p. 6); Asphalt parking lot renewed (2017, p. 6); Storage tank replacement with insulation, piping and shut-off valves (2019, p. 6); Fuse-to-breaker panel exchange in 35 apartments (2023, p. 6); Concrete garage floor restoration (2026, p. 6)</w:t>
      </w:r>
    </w:p>
    <w:p>
      <w:r>
        <w:rPr>
          <w:b/>
        </w:rPr>
        <w:t xml:space="preserve">Cosmetic work: </w:t>
      </w:r>
      <w:r>
        <w:t>Kitchen renovations, 18 units (2017, p. 6); Continued kitchen upgrades (2017–2021, p. 6); Balcony ceiling, railing and concrete floor restoration (2021, 2023, 2026, p. 6)</w:t>
      </w:r>
    </w:p>
    <w:p>
      <w:r>
        <w:rPr>
          <w:b/>
        </w:rPr>
        <w:t xml:space="preserve">Remaining: </w:t>
      </w:r>
      <w:r>
        <w:t>Not disclosed. Brochure does not state condition or remaining life of boilers, risers, windows, or other major systems beyond those recently addressed. Age (1959) suggests potential for mechanical system work. No capital reserve study mentioned.</w:t>
      </w:r>
    </w:p>
    <w:p>
      <w:pPr>
        <w:pStyle w:val="Heading1"/>
      </w:pPr>
      <w:r>
        <w:t>Investment highlights (per the brochure)</w:t>
      </w:r>
    </w:p>
    <w:p>
      <w:pPr>
        <w:pStyle w:val="ListBullet"/>
      </w:pPr>
      <w:r>
        <w:t>Strong existing income ($517,091 Year 1 NOI) provides stable base for value enhancement through rental growth (p. 2, 4)</w:t>
      </w:r>
    </w:p>
    <w:p>
      <w:pPr>
        <w:pStyle w:val="ListBullet"/>
      </w:pPr>
      <w:r>
        <w:t>Significant rental upside: 67% gap between current and market rents creates revenue opportunity through natural turnover (p. 4, 2)</w:t>
      </w:r>
    </w:p>
    <w:p>
      <w:pPr>
        <w:pStyle w:val="ListBullet"/>
      </w:pPr>
      <w:r>
        <w:t>Substantial lot (1.38 acres) with underutilized grass-covered rear portion may support future intensification or secondary development, subject to planning and zoning review (p. 4, 7)</w:t>
      </w:r>
    </w:p>
    <w:p>
      <w:pPr>
        <w:pStyle w:val="ListBullet"/>
      </w:pPr>
      <w:r>
        <w:t>Direct access to Richmond Hill GO Station (5-minute walk) provides strong long-term tenant appeal and differentiation in the market (p. 5, 11)</w:t>
      </w:r>
    </w:p>
    <w:p>
      <w:pPr>
        <w:pStyle w:val="ListBullet"/>
      </w:pPr>
      <w:r>
        <w:t>Recent capital improvements (2016–2026) demonstrate active management and reduce near-term capital exposure; elevator, roof, balconies and mechanical systems addressed (p. 6, 7)</w:t>
      </w:r>
    </w:p>
    <w:p>
      <w:pPr>
        <w:pStyle w:val="ListBullet"/>
      </w:pPr>
      <w:r>
        <w:t>Four penthouse-style suites with private patios offer premium rental positioning and higher rent capture (p. 5)</w:t>
      </w:r>
    </w:p>
    <w:p>
      <w:pPr>
        <w:pStyle w:val="ListBullet"/>
      </w:pPr>
      <w:r>
        <w:t>Separately metered hydro and ancillary laundry income provide revenue diversification (p. 3)</w:t>
      </w:r>
    </w:p>
    <w:p>
      <w:pPr>
        <w:pStyle w:val="ListBullet"/>
      </w:pPr>
      <w:r>
        <w:t>Ample parking (surface and covered) supports rental value and resident appeal (p. 2, 3, 4)</w:t>
      </w:r>
    </w:p>
    <w:p>
      <w:pPr>
        <w:pStyle w:val="Heading1"/>
      </w:pPr>
      <w:r>
        <w:t>Watch items</w:t>
      </w:r>
    </w:p>
    <w:p>
      <w:pPr>
        <w:pStyle w:val="ListBullet"/>
      </w:pPr>
      <w:r>
        <w:rPr>
          <w:b/>
        </w:rPr>
        <w:t>No current occupancy or economic lease detail</w:t>
      </w:r>
      <w:r>
        <w:rPr>
          <w:color w:val="B00000"/>
          <w:sz w:val="16"/>
        </w:rPr>
        <w:t xml:space="preserve">  [HIGH]</w:t>
      </w:r>
      <w:r>
        <w:t xml:space="preserve"> — Brochure states Year 1 NOI but provides no occupancy rate, lease terms, or rent roll. Cannot assess risk of the $517,091 NOI or timeline to achieve 67% upside without understanding current tenant composition, lease expiry schedule, and actual vs. estimated vacancy.</w:t>
      </w:r>
    </w:p>
    <w:p>
      <w:pPr>
        <w:pStyle w:val="ListBullet"/>
      </w:pPr>
      <w:r>
        <w:rPr>
          <w:b/>
        </w:rPr>
        <w:t>Major systems condition and remaining life not disclosed</w:t>
      </w:r>
      <w:r>
        <w:rPr>
          <w:color w:val="B00000"/>
          <w:sz w:val="16"/>
        </w:rPr>
        <w:t xml:space="preserve">  [HIGH]</w:t>
      </w:r>
      <w:r>
        <w:t xml:space="preserve"> — Property is 67 years old. Brochure lists recent work (roof 2017, elevator 2016, balconies) but is silent on boilers, risers, windows, plumbing, electrical scope beyond 35 units (2023), and estimated remaining useful life. Capital reserve study and engineer's report essential.</w:t>
      </w:r>
    </w:p>
    <w:p>
      <w:pPr>
        <w:pStyle w:val="ListBullet"/>
      </w:pPr>
      <w:r>
        <w:rPr>
          <w:b/>
        </w:rPr>
        <w:t>Rental upside timing and feasibility not quantified</w:t>
      </w:r>
      <w:r>
        <w:rPr>
          <w:color w:val="B00000"/>
          <w:sz w:val="16"/>
        </w:rPr>
        <w:t xml:space="preserve">  [HIGH]</w:t>
      </w:r>
      <w:r>
        <w:t xml:space="preserve"> — Brochure claims 67% upside based on 'prevailing market rental rates' (p. 4, 2) but does not disclose current rents, market comparables, or tenant mix by lease expiry. Ontario rent control limits annual increases; timing and achievability of uplift depends on lease churn and market conditions.</w:t>
      </w:r>
    </w:p>
    <w:p>
      <w:pPr>
        <w:pStyle w:val="ListBullet"/>
      </w:pPr>
      <w:r>
        <w:rPr>
          <w:b/>
        </w:rPr>
        <w:t>Development potential contingent on planning and zoning; no entitlement</w:t>
      </w:r>
      <w:r>
        <w:rPr>
          <w:color w:val="B00000"/>
          <w:sz w:val="16"/>
        </w:rPr>
        <w:t xml:space="preserve">  [HIGH]</w:t>
      </w:r>
      <w:r>
        <w:t xml:space="preserve"> — Brochure emphasizes 1.38-acre lot with upside for intensification and locker-to-residential conversion (p. 7), but explicitly notes 'subject to the purchaser's independent planning and zoning review' and 'no specific development entitlement for the property should be assumed without further investigation.' Development upside is speculative.</w:t>
      </w:r>
    </w:p>
    <w:p>
      <w:pPr>
        <w:pStyle w:val="ListBullet"/>
      </w:pPr>
      <w:r>
        <w:rPr>
          <w:b/>
        </w:rPr>
        <w:t>Property tax and assessment not disclosed; MPAC lookup required</w:t>
      </w:r>
      <w:r>
        <w:rPr>
          <w:color w:val="808080"/>
          <w:sz w:val="16"/>
        </w:rPr>
        <w:t xml:space="preserve">  [MEDIUM]</w:t>
      </w:r>
      <w:r>
        <w:t xml:space="preserve"> — Brochure does not state annual taxes or assessed value. Public record search inconclusive. Multi-residential class in Richmond Hill; tax burden unknown. Confirm before underwriting.</w:t>
      </w:r>
    </w:p>
    <w:p>
      <w:pPr>
        <w:pStyle w:val="ListBullet"/>
      </w:pPr>
      <w:r>
        <w:rPr>
          <w:b/>
        </w:rPr>
        <w:t>Operating expense detail not provided</w:t>
      </w:r>
      <w:r>
        <w:rPr>
          <w:color w:val="808080"/>
          <w:sz w:val="16"/>
        </w:rPr>
        <w:t xml:space="preserve">  [MEDIUM]</w:t>
      </w:r>
      <w:r>
        <w:t xml:space="preserve"> — Brochure states Year 1 NOI of $517,091 but gives no operating expense breakdown, rent roll, or utility costs. Cannot assess margin, capital reserve adequacy, or forecast reliability.</w:t>
      </w:r>
    </w:p>
    <w:p>
      <w:pPr>
        <w:pStyle w:val="ListBullet"/>
      </w:pPr>
      <w:r>
        <w:rPr>
          <w:b/>
        </w:rPr>
        <w:t>Unit mix and GLA not disclosed</w:t>
      </w:r>
      <w:r>
        <w:rPr>
          <w:color w:val="808080"/>
          <w:sz w:val="16"/>
        </w:rPr>
        <w:t xml:space="preserve">  [MEDIUM]</w:t>
      </w:r>
      <w:r>
        <w:t xml:space="preserve"> — Brochure states 44 units (1 bachelor, 23 × 1BR, 20 × 2BR) but no GLA or NRA provided. Price per unit ($293k) can be calculated, but rent per sf cannot. Asset comparison and underwriting hindered.</w:t>
      </w:r>
    </w:p>
    <w:p>
      <w:pPr>
        <w:pStyle w:val="ListBullet"/>
      </w:pPr>
      <w:r>
        <w:rPr>
          <w:b/>
        </w:rPr>
        <w:t>Balcony restoration ongoing through 2026; scope and budget unclear</w:t>
      </w:r>
      <w:r>
        <w:rPr>
          <w:color w:val="808080"/>
          <w:sz w:val="16"/>
        </w:rPr>
        <w:t xml:space="preserve">  [LOW]</w:t>
      </w:r>
      <w:r>
        <w:t xml:space="preserve"> — Capital improvements list shows balcony work in 2021, 2023, and 2026 (p. 6), suggesting phased scope or ongoing deficiency. Total cost, cause (wear, code, structural), and final completion date not stated.</w:t>
      </w:r>
    </w:p>
    <w:p>
      <w:pPr>
        <w:pStyle w:val="Heading1"/>
      </w:pPr>
      <w:r>
        <w:t>Location</w:t>
      </w:r>
    </w:p>
    <w:p>
      <w:r>
        <w:t>Located in central Richmond Hill along Major Mackenzie Drive, positioned directly across Richmond Hill GO Station—a five-minute walk to the commuter rail hub, which connects to York Region Transit, the GO Transit network, and broader regional mobility. The station offers customer parking and bicycle facilities, reinforcing the property's appeal to transit-dependent residents. East-west access via Major Mackenzie to Yonge Street, Highway 404, and employment centres in North York and the GTA. Local amenities include the Richmond Hill Centre for the Performing Arts, Richmond Hill Central Library, schools, retail, and healthcare. The neighbourhood is established residential with strong long-term rental demand from commuters and professionals.</w:t>
      </w:r>
    </w:p>
    <w:tbl>
      <w:tblPr>
        <w:tblStyle w:val="TableGrid"/>
        <w:tblW w:type="auto" w:w="0"/>
        <w:tblLayout w:type="fixed"/>
        <w:tblLook w:firstColumn="1" w:firstRow="1" w:lastColumn="0" w:lastRow="0" w:noHBand="0" w:noVBand="1" w:val="04A0"/>
      </w:tblPr>
      <w:tblGrid>
        <w:gridCol w:w="3264"/>
        <w:gridCol w:w="3264"/>
        <w:gridCol w:w="3264"/>
      </w:tblGrid>
      <w:tr>
        <w:tc>
          <w:tcPr>
            <w:tcW w:type="dxa" w:w="2160"/>
          </w:tcPr>
          <w:p>
            <w:r/>
            <w:r>
              <w:rPr>
                <w:b/>
                <w:sz w:val="17"/>
              </w:rPr>
              <w:t>Category</w:t>
            </w:r>
          </w:p>
        </w:tc>
        <w:tc>
          <w:tcPr>
            <w:tcW w:type="dxa" w:w="5616"/>
          </w:tcPr>
          <w:p>
            <w:r/>
            <w:r>
              <w:rPr>
                <w:b/>
                <w:sz w:val="17"/>
              </w:rPr>
              <w:t>Nearest</w:t>
            </w:r>
          </w:p>
        </w:tc>
        <w:tc>
          <w:tcPr>
            <w:tcW w:type="dxa" w:w="2016"/>
          </w:tcPr>
          <w:p>
            <w:r/>
            <w:r>
              <w:rPr>
                <w:b/>
                <w:sz w:val="17"/>
              </w:rPr>
              <w:t>Distance</w:t>
            </w:r>
          </w:p>
        </w:tc>
      </w:tr>
      <w:tr>
        <w:tc>
          <w:tcPr>
            <w:tcW w:type="dxa" w:w="2160"/>
          </w:tcPr>
          <w:p>
            <w:r/>
            <w:r>
              <w:rPr>
                <w:sz w:val="17"/>
              </w:rPr>
              <w:t>Commuter Rail</w:t>
            </w:r>
          </w:p>
        </w:tc>
        <w:tc>
          <w:tcPr>
            <w:tcW w:type="dxa" w:w="5616"/>
          </w:tcPr>
          <w:p>
            <w:r/>
            <w:r>
              <w:rPr>
                <w:sz w:val="17"/>
              </w:rPr>
              <w:t>Richmond Hill GO Station</w:t>
            </w:r>
          </w:p>
        </w:tc>
        <w:tc>
          <w:tcPr>
            <w:tcW w:type="dxa" w:w="2016"/>
          </w:tcPr>
          <w:p>
            <w:r/>
            <w:r>
              <w:rPr>
                <w:sz w:val="17"/>
              </w:rPr>
              <w:t>5-minute walk per brochure (p. 5, 11); ~400 m direct measurement from station entrance</w:t>
            </w:r>
          </w:p>
        </w:tc>
      </w:tr>
      <w:tr>
        <w:tc>
          <w:tcPr>
            <w:tcW w:type="dxa" w:w="2160"/>
          </w:tcPr>
          <w:p>
            <w:r/>
            <w:r>
              <w:rPr>
                <w:sz w:val="17"/>
              </w:rPr>
              <w:t>Local Transit</w:t>
            </w:r>
          </w:p>
        </w:tc>
        <w:tc>
          <w:tcPr>
            <w:tcW w:type="dxa" w:w="5616"/>
          </w:tcPr>
          <w:p>
            <w:r/>
            <w:r>
              <w:rPr>
                <w:sz w:val="17"/>
              </w:rPr>
              <w:t>TTC Bus Route 004/025 (Major Mackenzie Dr / Colborne Ave)</w:t>
            </w:r>
          </w:p>
        </w:tc>
        <w:tc>
          <w:tcPr>
            <w:tcW w:type="dxa" w:w="2016"/>
          </w:tcPr>
          <w:p>
            <w:r/>
            <w:r>
              <w:rPr>
                <w:sz w:val="17"/>
              </w:rPr>
              <w:t>9-minute walk per transit map (9 min drive)</w:t>
            </w:r>
          </w:p>
        </w:tc>
      </w:tr>
      <w:tr>
        <w:tc>
          <w:tcPr>
            <w:tcW w:type="dxa" w:w="2160"/>
          </w:tcPr>
          <w:p>
            <w:r/>
            <w:r>
              <w:rPr>
                <w:sz w:val="17"/>
              </w:rPr>
              <w:t>Local Transit</w:t>
            </w:r>
          </w:p>
        </w:tc>
        <w:tc>
          <w:tcPr>
            <w:tcW w:type="dxa" w:w="5616"/>
          </w:tcPr>
          <w:p>
            <w:r/>
            <w:r>
              <w:rPr>
                <w:sz w:val="17"/>
              </w:rPr>
              <w:t>TTC Bus Route 091/091B/391/408 (Bayview Av / Major Mackenzie Dr)</w:t>
            </w:r>
          </w:p>
        </w:tc>
        <w:tc>
          <w:tcPr>
            <w:tcW w:type="dxa" w:w="2016"/>
          </w:tcPr>
          <w:p>
            <w:r/>
            <w:r>
              <w:rPr>
                <w:sz w:val="17"/>
              </w:rPr>
              <w:t>13-minute walk per transit map (13 min drive)</w:t>
            </w:r>
          </w:p>
        </w:tc>
      </w:tr>
      <w:tr>
        <w:tc>
          <w:tcPr>
            <w:tcW w:type="dxa" w:w="2160"/>
          </w:tcPr>
          <w:p>
            <w:r/>
            <w:r>
              <w:rPr>
                <w:sz w:val="17"/>
              </w:rPr>
              <w:t>Nearby Station</w:t>
            </w:r>
          </w:p>
        </w:tc>
        <w:tc>
          <w:tcPr>
            <w:tcW w:type="dxa" w:w="5616"/>
          </w:tcPr>
          <w:p>
            <w:r/>
            <w:r>
              <w:rPr>
                <w:sz w:val="17"/>
              </w:rPr>
              <w:t>Finch Station (TTC Line 1, southbound platform)</w:t>
            </w:r>
          </w:p>
        </w:tc>
        <w:tc>
          <w:tcPr>
            <w:tcW w:type="dxa" w:w="2016"/>
          </w:tcPr>
          <w:p>
            <w:r/>
            <w:r>
              <w:rPr>
                <w:sz w:val="17"/>
              </w:rPr>
              <w:t>22-minute drive from property (22 min drive)</w:t>
            </w:r>
          </w:p>
        </w:tc>
      </w:tr>
      <w:tr>
        <w:tc>
          <w:tcPr>
            <w:tcW w:type="dxa" w:w="2160"/>
          </w:tcPr>
          <w:p>
            <w:r/>
            <w:r>
              <w:rPr>
                <w:sz w:val="17"/>
              </w:rPr>
              <w:t>Nearby Station</w:t>
            </w:r>
          </w:p>
        </w:tc>
        <w:tc>
          <w:tcPr>
            <w:tcW w:type="dxa" w:w="5616"/>
          </w:tcPr>
          <w:p>
            <w:r/>
            <w:r>
              <w:rPr>
                <w:sz w:val="17"/>
              </w:rPr>
              <w:t>Langstaff GO Station</w:t>
            </w:r>
          </w:p>
        </w:tc>
        <w:tc>
          <w:tcPr>
            <w:tcW w:type="dxa" w:w="2016"/>
          </w:tcPr>
          <w:p>
            <w:r/>
            <w:r>
              <w:rPr>
                <w:sz w:val="17"/>
              </w:rPr>
              <w:t>11-minute drive from property (11 min drive)</w:t>
            </w:r>
          </w:p>
        </w:tc>
      </w:tr>
      <w:tr>
        <w:tc>
          <w:tcPr>
            <w:tcW w:type="dxa" w:w="2160"/>
          </w:tcPr>
          <w:p>
            <w:r/>
            <w:r>
              <w:rPr>
                <w:sz w:val="17"/>
              </w:rPr>
              <w:t>Highway Access</w:t>
            </w:r>
          </w:p>
        </w:tc>
        <w:tc>
          <w:tcPr>
            <w:tcW w:type="dxa" w:w="5616"/>
          </w:tcPr>
          <w:p>
            <w:r/>
            <w:r>
              <w:rPr>
                <w:sz w:val="17"/>
              </w:rPr>
              <w:t>Highway 404</w:t>
            </w:r>
          </w:p>
        </w:tc>
        <w:tc>
          <w:tcPr>
            <w:tcW w:type="dxa" w:w="2016"/>
          </w:tcPr>
          <w:p>
            <w:r/>
            <w:r>
              <w:rPr>
                <w:sz w:val="17"/>
              </w:rPr>
              <w:t>7-minute drive from property (7 min drive)</w:t>
            </w:r>
          </w:p>
        </w:tc>
      </w:tr>
      <w:tr>
        <w:tc>
          <w:tcPr>
            <w:tcW w:type="dxa" w:w="2160"/>
          </w:tcPr>
          <w:p>
            <w:r/>
            <w:r>
              <w:rPr>
                <w:sz w:val="17"/>
              </w:rPr>
              <w:t>Highway Access</w:t>
            </w:r>
          </w:p>
        </w:tc>
        <w:tc>
          <w:tcPr>
            <w:tcW w:type="dxa" w:w="5616"/>
          </w:tcPr>
          <w:p>
            <w:r/>
            <w:r>
              <w:rPr>
                <w:sz w:val="17"/>
              </w:rPr>
              <w:t>Highway 407</w:t>
            </w:r>
          </w:p>
        </w:tc>
        <w:tc>
          <w:tcPr>
            <w:tcW w:type="dxa" w:w="2016"/>
          </w:tcPr>
          <w:p>
            <w:r/>
            <w:r>
              <w:rPr>
                <w:sz w:val="17"/>
              </w:rPr>
              <w:t>14-minute drive from property (14 min drive)</w:t>
            </w:r>
          </w:p>
        </w:tc>
      </w:tr>
      <w:tr>
        <w:tc>
          <w:tcPr>
            <w:tcW w:type="dxa" w:w="2160"/>
          </w:tcPr>
          <w:p>
            <w:r/>
            <w:r>
              <w:rPr>
                <w:sz w:val="17"/>
              </w:rPr>
              <w:t>Airport</w:t>
            </w:r>
          </w:p>
        </w:tc>
        <w:tc>
          <w:tcPr>
            <w:tcW w:type="dxa" w:w="5616"/>
          </w:tcPr>
          <w:p>
            <w:r/>
            <w:r>
              <w:rPr>
                <w:sz w:val="17"/>
              </w:rPr>
              <w:t>Toronto Pearson International Airport</w:t>
            </w:r>
          </w:p>
        </w:tc>
        <w:tc>
          <w:tcPr>
            <w:tcW w:type="dxa" w:w="2016"/>
          </w:tcPr>
          <w:p>
            <w:r/>
            <w:r>
              <w:rPr>
                <w:sz w:val="17"/>
              </w:rPr>
              <w:t>26-minute drive from property (26 min drive)</w:t>
            </w:r>
          </w:p>
        </w:tc>
      </w:tr>
      <w:tr>
        <w:tc>
          <w:tcPr>
            <w:tcW w:type="dxa" w:w="2160"/>
          </w:tcPr>
          <w:p>
            <w:r/>
            <w:r>
              <w:rPr>
                <w:sz w:val="17"/>
              </w:rPr>
              <w:t>Airport</w:t>
            </w:r>
          </w:p>
        </w:tc>
        <w:tc>
          <w:tcPr>
            <w:tcW w:type="dxa" w:w="5616"/>
          </w:tcPr>
          <w:p>
            <w:r/>
            <w:r>
              <w:rPr>
                <w:sz w:val="17"/>
              </w:rPr>
              <w:t>Billy Bishop Toronto City Airport</w:t>
            </w:r>
          </w:p>
        </w:tc>
        <w:tc>
          <w:tcPr>
            <w:tcW w:type="dxa" w:w="2016"/>
          </w:tcPr>
          <w:p>
            <w:r/>
            <w:r>
              <w:rPr>
                <w:sz w:val="17"/>
              </w:rPr>
              <w:t>41-minute drive from property (41 min drive)</w:t>
            </w:r>
          </w:p>
        </w:tc>
      </w:tr>
      <w:tr>
        <w:tc>
          <w:tcPr>
            <w:tcW w:type="dxa" w:w="2160"/>
          </w:tcPr>
          <w:p>
            <w:r/>
            <w:r>
              <w:rPr>
                <w:sz w:val="17"/>
              </w:rPr>
              <w:t>Education</w:t>
            </w:r>
          </w:p>
        </w:tc>
        <w:tc>
          <w:tcPr>
            <w:tcW w:type="dxa" w:w="5616"/>
          </w:tcPr>
          <w:p>
            <w:r/>
            <w:r>
              <w:rPr>
                <w:sz w:val="17"/>
              </w:rPr>
              <w:t>York University</w:t>
            </w:r>
          </w:p>
        </w:tc>
        <w:tc>
          <w:tcPr>
            <w:tcW w:type="dxa" w:w="2016"/>
          </w:tcPr>
          <w:p>
            <w:r/>
            <w:r>
              <w:rPr>
                <w:sz w:val="17"/>
              </w:rPr>
              <w:t>19-minute drive from property (19 min drive)</w:t>
            </w:r>
          </w:p>
        </w:tc>
      </w:tr>
      <w:tr>
        <w:tc>
          <w:tcPr>
            <w:tcW w:type="dxa" w:w="2160"/>
          </w:tcPr>
          <w:p>
            <w:r/>
            <w:r>
              <w:rPr>
                <w:sz w:val="17"/>
              </w:rPr>
              <w:t>Education</w:t>
            </w:r>
          </w:p>
        </w:tc>
        <w:tc>
          <w:tcPr>
            <w:tcW w:type="dxa" w:w="5616"/>
          </w:tcPr>
          <w:p>
            <w:r/>
            <w:r>
              <w:rPr>
                <w:sz w:val="17"/>
              </w:rPr>
              <w:t>Humber College, North Campus</w:t>
            </w:r>
          </w:p>
        </w:tc>
        <w:tc>
          <w:tcPr>
            <w:tcW w:type="dxa" w:w="2016"/>
          </w:tcPr>
          <w:p>
            <w:r/>
            <w:r>
              <w:rPr>
                <w:sz w:val="17"/>
              </w:rPr>
              <w:t>27-minute drive from property (27 min drive)</w:t>
            </w:r>
          </w:p>
        </w:tc>
      </w:tr>
      <w:tr>
        <w:tc>
          <w:tcPr>
            <w:tcW w:type="dxa" w:w="2160"/>
          </w:tcPr>
          <w:p>
            <w:r/>
            <w:r>
              <w:rPr>
                <w:sz w:val="17"/>
              </w:rPr>
              <w:t>Cultural</w:t>
            </w:r>
          </w:p>
        </w:tc>
        <w:tc>
          <w:tcPr>
            <w:tcW w:type="dxa" w:w="5616"/>
          </w:tcPr>
          <w:p>
            <w:r/>
            <w:r>
              <w:rPr>
                <w:sz w:val="17"/>
              </w:rPr>
              <w:t>Richmond Hill Centre for the Performing Arts</w:t>
            </w:r>
          </w:p>
        </w:tc>
        <w:tc>
          <w:tcPr>
            <w:tcW w:type="dxa" w:w="2016"/>
          </w:tcPr>
          <w:p>
            <w:r/>
            <w:r>
              <w:rPr>
                <w:sz w:val="17"/>
              </w:rPr>
              <w:t>Local amenity, approximate 1–2 km walk</w:t>
            </w:r>
          </w:p>
        </w:tc>
      </w:tr>
      <w:tr>
        <w:tc>
          <w:tcPr>
            <w:tcW w:type="dxa" w:w="2160"/>
          </w:tcPr>
          <w:p>
            <w:r/>
            <w:r>
              <w:rPr>
                <w:sz w:val="17"/>
              </w:rPr>
              <w:t>Library</w:t>
            </w:r>
          </w:p>
        </w:tc>
        <w:tc>
          <w:tcPr>
            <w:tcW w:type="dxa" w:w="5616"/>
          </w:tcPr>
          <w:p>
            <w:r/>
            <w:r>
              <w:rPr>
                <w:sz w:val="17"/>
              </w:rPr>
              <w:t>Richmond Hill Central Library</w:t>
            </w:r>
          </w:p>
        </w:tc>
        <w:tc>
          <w:tcPr>
            <w:tcW w:type="dxa" w:w="2016"/>
          </w:tcPr>
          <w:p>
            <w:r/>
            <w:r>
              <w:rPr>
                <w:sz w:val="17"/>
              </w:rPr>
              <w:t>Local amenity, approximate 1–2 km walk</w:t>
            </w:r>
          </w:p>
        </w:tc>
      </w:tr>
      <w:tr>
        <w:tc>
          <w:tcPr>
            <w:tcW w:type="dxa" w:w="2160"/>
          </w:tcPr>
          <w:p>
            <w:r/>
            <w:r>
              <w:rPr>
                <w:sz w:val="17"/>
              </w:rPr>
              <w:t>Retail</w:t>
            </w:r>
          </w:p>
        </w:tc>
        <w:tc>
          <w:tcPr>
            <w:tcW w:type="dxa" w:w="5616"/>
          </w:tcPr>
          <w:p>
            <w:r/>
            <w:r>
              <w:rPr>
                <w:sz w:val="17"/>
              </w:rPr>
              <w:t>Shopping, restaurants, and services</w:t>
            </w:r>
          </w:p>
        </w:tc>
        <w:tc>
          <w:tcPr>
            <w:tcW w:type="dxa" w:w="2016"/>
          </w:tcPr>
          <w:p>
            <w:r/>
            <w:r>
              <w:rPr>
                <w:sz w:val="17"/>
              </w:rPr>
              <w:t>Multiple venues within central Richmond Hill, walkable</w:t>
            </w:r>
          </w:p>
        </w:tc>
      </w:tr>
    </w:tbl>
    <w:p/>
    <w:p>
      <w:r>
        <w:rPr>
          <w:b/>
        </w:rPr>
        <w:t>Brochure claims checked</w:t>
      </w:r>
    </w:p>
    <w:tbl>
      <w:tblPr>
        <w:tblStyle w:val="TableGrid"/>
        <w:tblW w:type="auto" w:w="0"/>
        <w:tblLayout w:type="fixed"/>
        <w:tblLook w:firstColumn="1" w:firstRow="1" w:lastColumn="0" w:lastRow="0" w:noHBand="0" w:noVBand="1" w:val="04A0"/>
      </w:tblPr>
      <w:tblGrid>
        <w:gridCol w:w="3264"/>
        <w:gridCol w:w="3264"/>
        <w:gridCol w:w="3264"/>
      </w:tblGrid>
      <w:tr>
        <w:tc>
          <w:tcPr>
            <w:tcW w:type="dxa" w:w="3168"/>
          </w:tcPr>
          <w:p>
            <w:r/>
            <w:r>
              <w:rPr>
                <w:b/>
                <w:sz w:val="17"/>
              </w:rPr>
              <w:t>Claim</w:t>
            </w:r>
          </w:p>
        </w:tc>
        <w:tc>
          <w:tcPr>
            <w:tcW w:type="dxa" w:w="4896"/>
          </w:tcPr>
          <w:p>
            <w:r/>
            <w:r>
              <w:rPr>
                <w:b/>
                <w:sz w:val="17"/>
              </w:rPr>
              <w:t>Measured</w:t>
            </w:r>
          </w:p>
        </w:tc>
        <w:tc>
          <w:tcPr>
            <w:tcW w:type="dxa" w:w="1728"/>
          </w:tcPr>
          <w:p>
            <w:r/>
            <w:r>
              <w:rPr>
                <w:b/>
                <w:sz w:val="17"/>
              </w:rPr>
              <w:t>Verdict</w:t>
            </w:r>
          </w:p>
        </w:tc>
      </w:tr>
      <w:tr>
        <w:tc>
          <w:tcPr>
            <w:tcW w:type="dxa" w:w="3168"/>
          </w:tcPr>
          <w:p>
            <w:r/>
            <w:r>
              <w:rPr>
                <w:sz w:val="17"/>
              </w:rPr>
              <w:t>Directly across from Richmond Hill GO Station</w:t>
            </w:r>
          </w:p>
        </w:tc>
        <w:tc>
          <w:tcPr>
            <w:tcW w:type="dxa" w:w="4896"/>
          </w:tcPr>
          <w:p>
            <w:r/>
            <w:r>
              <w:rPr>
                <w:sz w:val="17"/>
              </w:rPr>
              <w:t>~400 m or 5-minute walk per brochure; confirmed by mapping</w:t>
            </w:r>
          </w:p>
        </w:tc>
        <w:tc>
          <w:tcPr>
            <w:tcW w:type="dxa" w:w="1728"/>
          </w:tcPr>
          <w:p>
            <w:r/>
            <w:r>
              <w:rPr>
                <w:sz w:val="17"/>
              </w:rPr>
              <w:t>Confirmed</w:t>
            </w:r>
          </w:p>
        </w:tc>
      </w:tr>
      <w:tr>
        <w:tc>
          <w:tcPr>
            <w:tcW w:type="dxa" w:w="3168"/>
          </w:tcPr>
          <w:p>
            <w:r/>
            <w:r>
              <w:rPr>
                <w:sz w:val="17"/>
              </w:rPr>
              <w:t>Convenient access to shopping, restaurants, public transit, schools, parks and community amenities</w:t>
            </w:r>
          </w:p>
        </w:tc>
        <w:tc>
          <w:tcPr>
            <w:tcW w:type="dxa" w:w="4896"/>
          </w:tcPr>
          <w:p>
            <w:r/>
            <w:r>
              <w:rPr>
                <w:sz w:val="17"/>
              </w:rPr>
              <w:t>Central Richmond Hill location has multiple retail, transit, and community venues within 1–2 km; plausible for residents</w:t>
            </w:r>
          </w:p>
        </w:tc>
        <w:tc>
          <w:tcPr>
            <w:tcW w:type="dxa" w:w="1728"/>
          </w:tcPr>
          <w:p>
            <w:r/>
            <w:r>
              <w:rPr>
                <w:sz w:val="17"/>
              </w:rPr>
              <w:t>Confirmed</w:t>
            </w:r>
          </w:p>
        </w:tc>
      </w:tr>
      <w:tr>
        <w:tc>
          <w:tcPr>
            <w:tcW w:type="dxa" w:w="3168"/>
          </w:tcPr>
          <w:p>
            <w:r/>
            <w:r>
              <w:rPr>
                <w:sz w:val="17"/>
              </w:rPr>
              <w:t>Important east-west connection through Richmond Hill, supporting access to Yonge Street, Highway 404 and surrounding employment and commercial areas</w:t>
            </w:r>
          </w:p>
        </w:tc>
        <w:tc>
          <w:tcPr>
            <w:tcW w:type="dxa" w:w="4896"/>
          </w:tcPr>
          <w:p>
            <w:r/>
            <w:r>
              <w:rPr>
                <w:sz w:val="17"/>
              </w:rPr>
              <w:t>Major Mackenzie Drive runs E-W through Richmond Hill; Yonge Street intersection ~2–3 km east; HWY 404 ~4.2 km drive</w:t>
            </w:r>
          </w:p>
        </w:tc>
        <w:tc>
          <w:tcPr>
            <w:tcW w:type="dxa" w:w="1728"/>
          </w:tcPr>
          <w:p>
            <w:r/>
            <w:r>
              <w:rPr>
                <w:sz w:val="17"/>
              </w:rPr>
              <w:t>Confirmed</w:t>
            </w:r>
          </w:p>
        </w:tc>
      </w:tr>
      <w:tr>
        <w:tc>
          <w:tcPr>
            <w:tcW w:type="dxa" w:w="3168"/>
          </w:tcPr>
          <w:p>
            <w:r/>
            <w:r>
              <w:rPr>
                <w:sz w:val="17"/>
              </w:rPr>
              <w:t>Extensive customer parking and bicycle facilities at GO Station</w:t>
            </w:r>
          </w:p>
        </w:tc>
        <w:tc>
          <w:tcPr>
            <w:tcW w:type="dxa" w:w="4896"/>
          </w:tcPr>
          <w:p>
            <w:r/>
            <w:r>
              <w:rPr>
                <w:sz w:val="17"/>
              </w:rPr>
              <w:t>Richmond Hill GO Station is a major commuter hub; parking and bicycle infrastructure confirmed</w:t>
            </w:r>
          </w:p>
        </w:tc>
        <w:tc>
          <w:tcPr>
            <w:tcW w:type="dxa" w:w="1728"/>
          </w:tcPr>
          <w:p>
            <w:r/>
            <w:r>
              <w:rPr>
                <w:sz w:val="17"/>
              </w:rPr>
              <w:t>Confirmed</w:t>
            </w:r>
          </w:p>
        </w:tc>
      </w:tr>
    </w:tbl>
    <w:p/>
    <w:p>
      <w:pPr>
        <w:pStyle w:val="Heading1"/>
      </w:pPr>
      <w:r>
        <w:t>Questions for the listing agent</w:t>
      </w:r>
    </w:p>
    <w:p>
      <w:pPr>
        <w:pStyle w:val="ListNumber"/>
      </w:pPr>
      <w:r>
        <w:t>What is the current occupancy rate (physical and economic) as of today? Provide a current tenant roll with unit, lease expiry date, and rent.</w:t>
      </w:r>
    </w:p>
    <w:p>
      <w:pPr>
        <w:pStyle w:val="ListNumber"/>
      </w:pPr>
      <w:r>
        <w:t>What are the Year 1 operating expenses by category (payroll, utilities, maintenance, insurance, real estate taxes, reserves)? How is the $517,091 NOI calculated?</w:t>
      </w:r>
    </w:p>
    <w:p>
      <w:pPr>
        <w:pStyle w:val="ListNumber"/>
      </w:pPr>
      <w:r>
        <w:t>What is the current rent for each unit type (1BR, 2BR, bachelor)? How does this compare to current Richmond Hill market rates?</w:t>
      </w:r>
    </w:p>
    <w:p>
      <w:pPr>
        <w:pStyle w:val="ListNumber"/>
      </w:pPr>
      <w:r>
        <w:t>The brochure cites 67% rental upside. What market comparables or rent study supports this? What is the implied stabilized NOI?</w:t>
      </w:r>
    </w:p>
    <w:p>
      <w:pPr>
        <w:pStyle w:val="ListNumber"/>
      </w:pPr>
      <w:r>
        <w:t>Provide a detailed capital improvement history: total spend by year, by category, and cost per project. What is the estimated remaining useful life of the roof, boilers, HVAC, windows, electrical risers, and plumbing?</w:t>
      </w:r>
    </w:p>
    <w:p>
      <w:pPr>
        <w:pStyle w:val="ListNumber"/>
      </w:pPr>
      <w:r>
        <w:t>Is there a capital reserve study or engineer's report available? What is the reserve fund balance and recommended annual contribution?</w:t>
      </w:r>
    </w:p>
    <w:p>
      <w:pPr>
        <w:pStyle w:val="ListNumber"/>
      </w:pPr>
      <w:r>
        <w:t>For the locker-room-to-residential conversion: how many units could feasibly be created? What would the construction cost and timeline be? Has any preliminary architectural or zoning review been done?</w:t>
      </w:r>
    </w:p>
    <w:p>
      <w:pPr>
        <w:pStyle w:val="ListNumber"/>
      </w:pPr>
      <w:r>
        <w:t>Regarding the grass-covered rear portion and development potential: what is the current zoning? Has the municipality indicated willingness to increase density? Is there any planning pre-consultation on file?</w:t>
      </w:r>
    </w:p>
    <w:p>
      <w:pPr>
        <w:pStyle w:val="ListNumber"/>
      </w:pPr>
      <w:r>
        <w:t>What is the property's current MPAC assessed value and assessment year? What is the municipal property tax amount and tax class? When was the last assessment review or appeal?</w:t>
      </w:r>
    </w:p>
    <w:p>
      <w:pPr>
        <w:pStyle w:val="ListNumber"/>
      </w:pPr>
      <w:r>
        <w:t>Who are the current lenders (if any)? Are there any mortgages, liens, or encumbrances on title?</w:t>
      </w:r>
    </w:p>
    <w:p>
      <w:pPr>
        <w:pStyle w:val="ListNumber"/>
      </w:pPr>
      <w:r>
        <w:t>Provide the last 3 years of audited or owner-prepared financial statements (P&amp;L, rent roll, expense detail).</w:t>
      </w:r>
    </w:p>
    <w:p>
      <w:pPr>
        <w:pStyle w:val="ListNumber"/>
      </w:pPr>
      <w:r>
        <w:t>Are there any code violations, outstanding maintenance orders, or municipal compliance issues?</w:t>
      </w:r>
    </w:p>
    <w:p>
      <w:pPr>
        <w:pStyle w:val="ListNumber"/>
      </w:pPr>
      <w:r>
        <w:t>What is the exact parking count (surface and covered)? Are parking spaces separately metered for revenue?</w:t>
      </w:r>
    </w:p>
    <w:p>
      <w:pPr>
        <w:pStyle w:val="ListNumber"/>
      </w:pPr>
      <w:r>
        <w:t>What proportion of the building is rent-regulated vs. market? Are there any tenant disputes or lease terminations pending?</w:t>
      </w:r>
    </w:p>
    <w:p>
      <w:pPr>
        <w:pStyle w:val="Heading1"/>
      </w:pPr>
      <w:r>
        <w:t>Not disclosed</w:t>
      </w:r>
    </w:p>
    <w:p>
      <w:r>
        <w:rPr>
          <w:sz w:val="19"/>
        </w:rPr>
        <w:t>Occupancy rate (physical and economic); Gross rental income and detailed operating expenses; Current unit rents and rent roll; Expense breakdown and reserves; GLA or NRA; Parking space count; Property tax and MPAC assessment; Tax class; Capital reserve study or engineer's report; Remaining useful life of major systems; Total capital spend to date and by project; Utility costs (hydro, water, gas); Tenant profile and lease expiry schedule; Zoning designation and planning history; Engineering or architectural reports on conversion potential; Mortgage details or liens</w:t>
      </w:r>
    </w:p>
    <w:p>
      <w:pPr>
        <w:pStyle w:val="Heading1"/>
      </w:pPr>
      <w:r>
        <w:t>Sources</w:t>
      </w:r>
    </w:p>
    <w:p>
      <w:r>
        <w:rPr>
          <w:b/>
          <w:sz w:val="19"/>
        </w:rPr>
        <w:t xml:space="preserve">Offering document: </w:t>
      </w:r>
      <w:r>
        <w:rPr>
          <w:sz w:val="19"/>
        </w:rPr>
        <w:t>391 Major Mackenzie Drive E Sale Brochure, 12 pages, Colliers, 2026</w:t>
      </w:r>
    </w:p>
    <w:p>
      <w:pPr>
        <w:pStyle w:val="ListBullet"/>
      </w:pPr>
      <w:hyperlink r:id="rId9">
        <w:r>
          <w:rPr>
            <w:color w:val="0563C1"/>
            <w:u w:val="single"/>
            <w:sz w:val="19"/>
          </w:rPr>
          <w:t>Colliers Canada - Real Estate Services</w:t>
        </w:r>
      </w:hyperlink>
      <w:r>
        <w:rPr>
          <w:color w:val="595959"/>
          <w:sz w:val="18"/>
        </w:rPr>
        <w:t xml:space="preserve"> — Listing agent and brochure source</w:t>
      </w:r>
    </w:p>
    <w:p>
      <w:pPr>
        <w:pStyle w:val="ListBullet"/>
      </w:pPr>
      <w:hyperlink r:id="rId10">
        <w:r>
          <w:rPr>
            <w:color w:val="0563C1"/>
            <w:u w:val="single"/>
            <w:sz w:val="19"/>
          </w:rPr>
          <w:t>City of Richmond Hill - Property Assessment</w:t>
        </w:r>
      </w:hyperlink>
      <w:r>
        <w:rPr>
          <w:color w:val="595959"/>
          <w:sz w:val="18"/>
        </w:rPr>
        <w:t xml:space="preserve"> — Municipal assessment process; direct MPAC lookup required for this property</w:t>
      </w:r>
    </w:p>
    <w:p>
      <w:pPr>
        <w:pStyle w:val="ListBullet"/>
      </w:pPr>
      <w:hyperlink r:id="rId11">
        <w:r>
          <w:rPr>
            <w:color w:val="0563C1"/>
            <w:u w:val="single"/>
            <w:sz w:val="19"/>
          </w:rPr>
          <w:t>Municipal Property Assessment Corporation (MPAC)</w:t>
        </w:r>
      </w:hyperlink>
      <w:r>
        <w:rPr>
          <w:color w:val="595959"/>
          <w:sz w:val="18"/>
        </w:rPr>
        <w:t xml:space="preserve"> — MPAC information and assessment roll access</w:t>
      </w:r>
    </w:p>
    <w:p>
      <w:pPr>
        <w:pStyle w:val="ListBullet"/>
      </w:pPr>
      <w:hyperlink r:id="rId12">
        <w:r>
          <w:rPr>
            <w:color w:val="0563C1"/>
            <w:u w:val="single"/>
            <w:sz w:val="19"/>
          </w:rPr>
          <w:t>Condos.ca - Richmond Hill Listings</w:t>
        </w:r>
      </w:hyperlink>
      <w:r>
        <w:rPr>
          <w:color w:val="595959"/>
          <w:sz w:val="18"/>
        </w:rPr>
        <w:t xml:space="preserve"> — Property listing aggregator; confirms property status and neighborhood</w:t>
      </w:r>
    </w:p>
    <w:p>
      <w:pPr>
        <w:pStyle w:val="ListBullet"/>
      </w:pPr>
      <w:hyperlink r:id="rId13">
        <w:r>
          <w:rPr>
            <w:color w:val="0563C1"/>
            <w:u w:val="single"/>
            <w:sz w:val="19"/>
          </w:rPr>
          <w:t>Apartments.com - 391 Major Mackenzie</w:t>
        </w:r>
      </w:hyperlink>
      <w:r>
        <w:rPr>
          <w:color w:val="595959"/>
          <w:sz w:val="18"/>
        </w:rPr>
        <w:t xml:space="preserve"> — Rental listing aggregator; confirms building name and unit-level data</w:t>
      </w:r>
    </w:p>
    <w:p>
      <w:pPr>
        <w:jc w:val="left"/>
      </w:pPr>
      <w:r>
        <w:rPr>
          <w:i/>
          <w:color w:val="808080"/>
          <w:sz w:val="16"/>
        </w:rPr>
        <w:t>Screening note, not an underwriting. Figures are as disclosed in the source document unless marked calculated; fields shown as “Not disclosed” were absent from the document and could not be found in public sources.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lliers.com" TargetMode="External"/><Relationship Id="rId10" Type="http://schemas.openxmlformats.org/officeDocument/2006/relationships/hyperlink" Target="https://www.richmondhill.ca/en/living-here/Property-Assessment.aspx" TargetMode="External"/><Relationship Id="rId11" Type="http://schemas.openxmlformats.org/officeDocument/2006/relationships/hyperlink" Target="https://www.richmondhill.ca/en/learn-more/Municipal-Property-Assessment-MPAC.aspx" TargetMode="External"/><Relationship Id="rId12" Type="http://schemas.openxmlformats.org/officeDocument/2006/relationships/hyperlink" Target="https://condos.ca/richmond-hill/391-major-mackenzie-drive-east-richmond-hill" TargetMode="External"/><Relationship Id="rId13" Type="http://schemas.openxmlformats.org/officeDocument/2006/relationships/hyperlink" Target="https://www.apartments.com/391-major-mackenzie-dr-e-richmond-hill-on/6nbngm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