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spacing w:line="360" w:lineRule="auto"/>
        <w:rPr>
          <w:rFonts w:hint="default"/>
          <w:lang w:val="en-IN"/>
        </w:rPr>
      </w:pPr>
    </w:p>
    <w:p>
      <w:pPr>
        <w:spacing w:line="360" w:lineRule="auto"/>
        <w:rPr>
          <w:rFonts w:hint="default"/>
          <w:lang w:val="en-IN"/>
        </w:rPr>
      </w:pPr>
    </w:p>
    <w:p>
      <w:pPr>
        <w:shd w:val="clear" w:fill="E2EFDA" w:themeFill="accent6" w:themeFillTint="32"/>
        <w:spacing w:line="360" w:lineRule="auto"/>
        <w:rPr>
          <w:rFonts w:hint="default"/>
          <w:lang w:val="en-IN"/>
        </w:rPr>
      </w:pPr>
    </w:p>
    <w:p>
      <w:pPr>
        <w:shd w:val="clear" w:fill="E2EFDA" w:themeFill="accent6" w:themeFillTint="32"/>
        <w:spacing w:line="360" w:lineRule="auto"/>
        <w:jc w:val="center"/>
        <w:rPr>
          <w:rFonts w:hint="default" w:ascii="Times New Roman" w:hAnsi="Times New Roman" w:cs="Times New Roman"/>
          <w:sz w:val="52"/>
          <w:szCs w:val="52"/>
          <w:u w:val="single"/>
          <w:lang w:val="en-IN"/>
        </w:rPr>
      </w:pPr>
      <w:r>
        <w:rPr>
          <w:rFonts w:hint="default" w:ascii="Times New Roman" w:hAnsi="Times New Roman" w:cs="Times New Roman"/>
          <w:sz w:val="52"/>
          <w:szCs w:val="52"/>
          <w:u w:val="single"/>
          <w:lang w:val="en-IN"/>
        </w:rPr>
        <w:t>Analyze International Debt Statistics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color w:val="9DC3E6" w:themeColor="accent1" w:themeTint="99"/>
          <w:sz w:val="40"/>
          <w:szCs w:val="40"/>
          <w:lang w:val="en-I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color w:val="9DC3E6" w:themeColor="accent1" w:themeTint="99"/>
          <w:sz w:val="40"/>
          <w:szCs w:val="40"/>
          <w:lang w:val="en-I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color w:val="9DC3E6" w:themeColor="accent1" w:themeTint="99"/>
          <w:sz w:val="40"/>
          <w:szCs w:val="40"/>
          <w:lang w:val="en-I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Wireframe Documentation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color w:val="9DC3E6" w:themeColor="accent1" w:themeTint="99"/>
          <w:sz w:val="40"/>
          <w:szCs w:val="40"/>
          <w:lang w:val="en-I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720" w:footer="720" w:gutter="0"/>
          <w:pgNumType w:fmt="decimal"/>
          <w:cols w:space="720" w:num="1"/>
          <w:docGrid w:linePitch="360" w:charSpace="0"/>
        </w:sectPr>
      </w:pPr>
    </w:p>
    <w:p>
      <w:pPr>
        <w:shd w:val="clear" w:fill="E7E6E6" w:themeFill="background2"/>
        <w:spacing w:line="360" w:lineRule="auto"/>
        <w:jc w:val="center"/>
        <w:rPr>
          <w:rFonts w:hint="default" w:ascii="Times New Roman" w:hAnsi="Times New Roman" w:cs="Times New Roman"/>
          <w:color w:val="2E75B6" w:themeColor="accent1" w:themeShade="BF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color w:val="2E75B6" w:themeColor="accent1" w:themeShade="BF"/>
          <w:sz w:val="40"/>
          <w:szCs w:val="40"/>
          <w:lang w:val="en-IN"/>
        </w:rPr>
        <w:t>Homepage</w:t>
      </w:r>
    </w:p>
    <w:p>
      <w:pPr>
        <w:spacing w:line="360" w:lineRule="auto"/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  <w:t>As per the instructions we have created  the visualizations required.</w:t>
      </w:r>
    </w:p>
    <w:p>
      <w:pPr>
        <w:spacing w:line="360" w:lineRule="auto"/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This is the dashboard created for analyzing the international debt statistics.</w:t>
      </w:r>
    </w:p>
    <w:p>
      <w:pPr>
        <w:spacing w:line="360" w:lineRule="auto"/>
        <w:jc w:val="left"/>
        <w:rPr>
          <w:rFonts w:hint="default" w:ascii="Times New Roman" w:hAnsi="Times New Roman" w:cs="Times New Roman"/>
          <w:color w:val="000000" w:themeColor="text1"/>
          <w:sz w:val="32"/>
          <w:szCs w:val="32"/>
          <w:highlight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hint="default" w:ascii="Times New Roman" w:hAnsi="Times New Roman" w:cs="Times New Roman"/>
          <w:color w:val="9DC3E6" w:themeColor="accent1" w:themeTint="99"/>
          <w:sz w:val="32"/>
          <w:szCs w:val="32"/>
          <w:lang w:val="en-I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spacing w:line="360" w:lineRule="auto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The dashboard consist of the following worksheets.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1 The total debt of world bank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spacing w:line="360" w:lineRule="auto"/>
        <w:jc w:val="left"/>
      </w:pPr>
      <w:r>
        <w:drawing>
          <wp:inline distT="0" distB="0" distL="114300" distR="114300">
            <wp:extent cx="4699000" cy="2643505"/>
            <wp:effectExtent l="0" t="0" r="1016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2 Total Number of Countries </w:t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spacing w:line="360" w:lineRule="auto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3 Total Number of debt Indicators .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 w:ascii="Times New Roman" w:hAnsi="Times New Roman" w:cs="Times New Roman"/>
          <w:sz w:val="36"/>
          <w:szCs w:val="36"/>
        </w:rPr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36"/>
          <w:szCs w:val="36"/>
        </w:rPr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4 The country with the highes debt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 xml:space="preserve">5 Total debt by countries  </w:t>
      </w:r>
    </w:p>
    <w:p>
      <w:pPr>
        <w:spacing w:line="360" w:lineRule="auto"/>
        <w:jc w:val="left"/>
        <w:rPr>
          <w:rFonts w:hint="default"/>
          <w:lang w:val="en-IN"/>
        </w:rPr>
      </w:pPr>
    </w:p>
    <w:p>
      <w:pPr>
        <w:spacing w:line="360" w:lineRule="auto"/>
        <w:jc w:val="left"/>
        <w:rPr>
          <w:rFonts w:hint="default"/>
          <w:lang w:val="en-IN"/>
        </w:rPr>
      </w:pPr>
    </w:p>
    <w:p>
      <w:pPr>
        <w:spacing w:line="360" w:lineRule="auto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6 Average debt across the indicators.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</w:p>
    <w:p>
      <w:pPr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7 The Principal repayment debt indicator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  <w:lang w:val="en-IN"/>
        </w:rPr>
      </w:pPr>
    </w:p>
    <w:p>
      <w:pPr>
        <w:spacing w:line="360" w:lineRule="auto"/>
        <w:jc w:val="left"/>
        <w:rPr>
          <w:rFonts w:hint="default"/>
          <w:lang w:val="en-IN"/>
        </w:rPr>
      </w:pPr>
    </w:p>
    <w:p>
      <w:p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  <w:t>8 The number of debt indicator occurance</w:t>
      </w:r>
    </w:p>
    <w:p>
      <w:pPr>
        <w:spacing w:line="360" w:lineRule="auto"/>
        <w:jc w:val="left"/>
        <w:rPr>
          <w:rFonts w:hint="default"/>
          <w:lang w:val="en-IN"/>
        </w:rPr>
      </w:pPr>
    </w:p>
    <w:p>
      <w:pPr>
        <w:spacing w:line="360" w:lineRule="auto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default" w:ascii="Times New Roman" w:hAnsi="Times New Roman" w:cs="Times New Roman"/>
        <w:b/>
        <w:bCs/>
        <w:sz w:val="20"/>
        <w:szCs w:val="20"/>
        <w:lang w:val="en-IN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A7SxYX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 w:ascii="Times New Roman" w:hAnsi="Times New Roman" w:cs="Times New Roman"/>
        <w:b/>
        <w:bCs/>
        <w:sz w:val="20"/>
        <w:szCs w:val="20"/>
        <w:lang w:val="en-IN"/>
      </w:rPr>
      <w:t>Wireframe Documentation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rFonts w:hint="default" w:ascii="Times New Roman" w:hAnsi="Times New Roman" w:cs="Times New Roman"/>
        <w:b/>
        <w:bCs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1s7SvMAgAAIw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C1s7Sv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 w:ascii="Times New Roman" w:hAnsi="Times New Roman" w:cs="Times New Roman"/>
        <w:b/>
        <w:bCs/>
        <w:sz w:val="20"/>
        <w:szCs w:val="20"/>
        <w:lang w:val="en-IN"/>
      </w:rPr>
      <w:t>Analyze International Debt Statistics</w:t>
    </w:r>
    <w:r>
      <w:rPr>
        <w:rFonts w:hint="default"/>
        <w:lang w:val="en-IN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D67F6E"/>
    <w:rsid w:val="01F766DB"/>
    <w:rsid w:val="26717183"/>
    <w:rsid w:val="3FD67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Office_11.2.0.10311_F1E327BC-269C-435d-A152-05C5408002CA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2022-02-14T12:09:00Z</dcterms:created>
  <dc:creator>ASUS</dc:creator>
  <cp:lastModifiedBy>Shubham Ghadage</cp:lastModifiedBy>
  <dcterms:modified xsi:type="dcterms:W3CDTF">2022-02-15T05:46:02Z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1033-11.2.0.10311</vt:lpwstr>
  </property>
  <property fmtid="{D5CDD505-2E9C-101B-9397-08002B2CF9AE}" pid="3" name="ICV">
    <vt:lpwstr>CF583B27A78B4ECB829CFD99E7BF77F3</vt:lpwstr>
  </property>
</Properties>
</file>