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48"/>
          <w:szCs w:val="48"/>
          <w:rtl w:val="0"/>
        </w:rPr>
        <w:t xml:space="preserve">NerfGun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0"/>
          <w:szCs w:val="20"/>
          <w:rtl w:val="0"/>
        </w:rPr>
        <w:t xml:space="preserve">they don’t think it has to be, but it does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48"/>
          <w:szCs w:val="48"/>
          <w:rtl w:val="0"/>
        </w:rPr>
        <w:t xml:space="preserve">Railgun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48"/>
          <w:szCs w:val="48"/>
          <w:rtl w:val="0"/>
        </w:rPr>
        <w:t xml:space="preserve">Katapult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48"/>
          <w:szCs w:val="48"/>
          <w:rtl w:val="0"/>
        </w:rPr>
        <w:t xml:space="preserve">Slangebøsse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48"/>
          <w:szCs w:val="48"/>
          <w:rtl w:val="0"/>
        </w:rPr>
        <w:t xml:space="preserve">Telescope Tracker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48"/>
          <w:szCs w:val="48"/>
          <w:rtl w:val="0"/>
        </w:rPr>
        <w:t xml:space="preserve">Time lapse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48"/>
          <w:szCs w:val="48"/>
          <w:rtl w:val="0"/>
        </w:rPr>
        <w:t xml:space="preserve">Panorama/Overvågnings kamera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layfair Display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