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center"/>
      </w:pPr>
      <w:r>
        <w:rPr>
          <w:rFonts w:ascii="Arial" w:hAnsi="Arial" w:eastAsia="Arial"/>
          <w:b/>
          <w:i w:val="0"/>
          <w:sz w:val="22"/>
        </w:rPr>
        <w:t>DUOC UC — Escuela de Informática y Telecomunicaciones</w:t>
      </w:r>
    </w:p>
    <w:p>
      <w:pPr>
        <w:spacing w:line="360" w:lineRule="auto" w:after="120" w:before="0"/>
        <w:jc w:val="center"/>
      </w:pPr>
      <w:r>
        <w:rPr>
          <w:rFonts w:ascii="Arial" w:hAnsi="Arial" w:eastAsia="Arial"/>
          <w:b w:val="0"/>
          <w:i w:val="0"/>
          <w:sz w:val="22"/>
        </w:rPr>
        <w:t>GPY1102 · Gestión de Proyectos de Software</w:t>
      </w:r>
    </w:p>
    <w:p>
      <w:pPr>
        <w:spacing w:line="360" w:lineRule="auto" w:after="160" w:before="0"/>
        <w:jc w:val="center"/>
      </w:pPr>
      <w:r>
        <w:rPr>
          <w:rFonts w:ascii="Arial" w:hAnsi="Arial" w:eastAsia="Arial"/>
          <w:b/>
          <w:i w:val="0"/>
          <w:sz w:val="32"/>
        </w:rPr>
        <w:t>Informe de monitoreo y control del proyecto Kiran</w:t>
      </w:r>
    </w:p>
    <w:p>
      <w:pPr>
        <w:spacing w:line="360" w:lineRule="auto" w:after="240" w:before="0"/>
        <w:jc w:val="center"/>
      </w:pPr>
      <w:r>
        <w:rPr>
          <w:rFonts w:ascii="Arial" w:hAnsi="Arial" w:eastAsia="Arial"/>
          <w:b w:val="0"/>
          <w:i w:val="0"/>
          <w:sz w:val="22"/>
        </w:rPr>
        <w:t>Evaluación Parcial N.° 2 — Informe grupal (RA2 · IL 2.1, 2.2, 2.3 y 2.4)</w:t>
      </w:r>
    </w:p>
    <w:p>
      <w:pPr>
        <w:spacing w:line="360" w:lineRule="auto" w:after="160" w:before="0"/>
      </w:pPr>
      <w:r>
        <w:rPr>
          <w:rFonts w:ascii="Arial" w:hAnsi="Arial" w:eastAsia="Arial"/>
          <w:b/>
          <w:i w:val="0"/>
          <w:sz w:val="28"/>
        </w:rPr>
        <w:t>1. Identificación del encargo</w:t>
      </w:r>
    </w:p>
    <w:tbl>
      <w:tblPr>
        <w:tblStyle w:val="TableGrid"/>
        <w:tblW w:type="auto" w:w="0"/>
        <w:tblLook w:firstColumn="1" w:firstRow="1" w:lastColumn="0" w:lastRow="0" w:noHBand="0" w:noVBand="1" w:val="04A0"/>
      </w:tblPr>
      <w:tblGrid>
        <w:gridCol w:w="4703"/>
        <w:gridCol w:w="4703"/>
      </w:tblGrid>
      <w:tr>
        <w:tc>
          <w:tcPr>
            <w:tcW w:type="dxa" w:w="4703"/>
            <w:shd w:fill="D9E2F3" w:val="clear"/>
          </w:tcPr>
          <w:p>
            <w:pPr>
              <w:spacing w:line="240" w:lineRule="auto" w:after="40" w:before="40"/>
            </w:pPr>
            <w:r/>
            <w:r>
              <w:rPr>
                <w:rFonts w:ascii="Arial" w:hAnsi="Arial" w:eastAsia="Arial"/>
                <w:b/>
                <w:i w:val="0"/>
                <w:sz w:val="18"/>
              </w:rPr>
              <w:t>Campo</w:t>
            </w:r>
          </w:p>
        </w:tc>
        <w:tc>
          <w:tcPr>
            <w:tcW w:type="dxa" w:w="4703"/>
            <w:shd w:fill="D9E2F3" w:val="clear"/>
          </w:tcPr>
          <w:p>
            <w:pPr>
              <w:spacing w:line="240" w:lineRule="auto" w:after="40" w:before="40"/>
            </w:pPr>
            <w:r/>
            <w:r>
              <w:rPr>
                <w:rFonts w:ascii="Arial" w:hAnsi="Arial" w:eastAsia="Arial"/>
                <w:b/>
                <w:i w:val="0"/>
                <w:sz w:val="18"/>
              </w:rPr>
              <w:t>Contenido</w:t>
            </w:r>
          </w:p>
        </w:tc>
      </w:tr>
      <w:tr>
        <w:tc>
          <w:tcPr>
            <w:tcW w:type="dxa" w:w="4703"/>
          </w:tcPr>
          <w:p>
            <w:pPr>
              <w:spacing w:line="240" w:lineRule="auto" w:after="40" w:before="40"/>
            </w:pPr>
            <w:r/>
            <w:r>
              <w:rPr>
                <w:rFonts w:ascii="Arial" w:hAnsi="Arial" w:eastAsia="Arial"/>
                <w:b w:val="0"/>
                <w:i w:val="0"/>
                <w:sz w:val="18"/>
              </w:rPr>
              <w:t>Organización / caso</w:t>
            </w:r>
          </w:p>
        </w:tc>
        <w:tc>
          <w:tcPr>
            <w:tcW w:type="dxa" w:w="4703"/>
          </w:tcPr>
          <w:p>
            <w:pPr>
              <w:spacing w:line="240" w:lineRule="auto" w:after="40" w:before="40"/>
            </w:pPr>
            <w:r/>
            <w:r>
              <w:rPr>
                <w:rFonts w:ascii="Arial" w:hAnsi="Arial" w:eastAsia="Arial"/>
                <w:b w:val="0"/>
                <w:i w:val="0"/>
                <w:sz w:val="18"/>
              </w:rPr>
              <w:t>Emprendimiento social con piloto de kits solares; Kiran es el software de operación (no instala paneles)</w:t>
            </w:r>
          </w:p>
        </w:tc>
      </w:tr>
      <w:tr>
        <w:tc>
          <w:tcPr>
            <w:tcW w:type="dxa" w:w="4703"/>
          </w:tcPr>
          <w:p>
            <w:pPr>
              <w:spacing w:line="240" w:lineRule="auto" w:after="40" w:before="40"/>
            </w:pPr>
            <w:r/>
            <w:r>
              <w:rPr>
                <w:rFonts w:ascii="Arial" w:hAnsi="Arial" w:eastAsia="Arial"/>
                <w:b w:val="0"/>
                <w:i w:val="0"/>
                <w:sz w:val="18"/>
              </w:rPr>
              <w:t>Alcance del producto</w:t>
            </w:r>
          </w:p>
        </w:tc>
        <w:tc>
          <w:tcPr>
            <w:tcW w:type="dxa" w:w="4703"/>
          </w:tcPr>
          <w:p>
            <w:pPr>
              <w:spacing w:line="240" w:lineRule="auto" w:after="40" w:before="40"/>
            </w:pPr>
            <w:r/>
            <w:r>
              <w:rPr>
                <w:rFonts w:ascii="Arial" w:hAnsi="Arial" w:eastAsia="Arial"/>
                <w:b w:val="0"/>
                <w:i w:val="0"/>
                <w:sz w:val="18"/>
              </w:rPr>
              <w:t>Inventario, tablero operativo, tickets de mantención, reportes de impacto, roles y tratamiento de datos</w:t>
            </w:r>
          </w:p>
        </w:tc>
      </w:tr>
      <w:tr>
        <w:tc>
          <w:tcPr>
            <w:tcW w:type="dxa" w:w="4703"/>
          </w:tcPr>
          <w:p>
            <w:pPr>
              <w:spacing w:line="240" w:lineRule="auto" w:after="40" w:before="40"/>
            </w:pPr>
            <w:r/>
            <w:r>
              <w:rPr>
                <w:rFonts w:ascii="Arial" w:hAnsi="Arial" w:eastAsia="Arial"/>
                <w:b w:val="0"/>
                <w:i w:val="0"/>
                <w:sz w:val="18"/>
              </w:rPr>
              <w:t>Equipo</w:t>
            </w:r>
          </w:p>
        </w:tc>
        <w:tc>
          <w:tcPr>
            <w:tcW w:type="dxa" w:w="4703"/>
          </w:tcPr>
          <w:p>
            <w:pPr>
              <w:spacing w:line="240" w:lineRule="auto" w:after="40" w:before="40"/>
            </w:pPr>
            <w:r/>
            <w:r>
              <w:rPr>
                <w:rFonts w:ascii="Arial" w:hAnsi="Arial" w:eastAsia="Arial"/>
                <w:b w:val="0"/>
                <w:i w:val="0"/>
                <w:sz w:val="18"/>
              </w:rPr>
              <w:t>Giannina Guerrero; Nicolás Barra; Ari Araya; Skarlett Tropan</w:t>
            </w:r>
          </w:p>
        </w:tc>
      </w:tr>
      <w:tr>
        <w:tc>
          <w:tcPr>
            <w:tcW w:type="dxa" w:w="4703"/>
          </w:tcPr>
          <w:p>
            <w:pPr>
              <w:spacing w:line="240" w:lineRule="auto" w:after="40" w:before="40"/>
            </w:pPr>
            <w:r/>
            <w:r>
              <w:rPr>
                <w:rFonts w:ascii="Arial" w:hAnsi="Arial" w:eastAsia="Arial"/>
                <w:b w:val="0"/>
                <w:i w:val="0"/>
                <w:sz w:val="18"/>
              </w:rPr>
              <w:t>Periodo del piloto</w:t>
            </w:r>
          </w:p>
        </w:tc>
        <w:tc>
          <w:tcPr>
            <w:tcW w:type="dxa" w:w="4703"/>
          </w:tcPr>
          <w:p>
            <w:pPr>
              <w:spacing w:line="240" w:lineRule="auto" w:after="40" w:before="40"/>
            </w:pPr>
            <w:r/>
            <w:r>
              <w:rPr>
                <w:rFonts w:ascii="Arial" w:hAnsi="Arial" w:eastAsia="Arial"/>
                <w:b w:val="0"/>
                <w:i w:val="0"/>
                <w:sz w:val="18"/>
              </w:rPr>
              <w:t>14 de septiembre de 2026 – 9 de diciembre de 2026</w:t>
            </w:r>
          </w:p>
        </w:tc>
      </w:tr>
      <w:tr>
        <w:tc>
          <w:tcPr>
            <w:tcW w:type="dxa" w:w="4703"/>
          </w:tcPr>
          <w:p>
            <w:pPr>
              <w:spacing w:line="240" w:lineRule="auto" w:after="40" w:before="40"/>
            </w:pPr>
            <w:r/>
            <w:r>
              <w:rPr>
                <w:rFonts w:ascii="Arial" w:hAnsi="Arial" w:eastAsia="Arial"/>
                <w:b w:val="0"/>
                <w:i w:val="0"/>
                <w:sz w:val="18"/>
              </w:rPr>
              <w:t>Presupuesto de referencia</w:t>
            </w:r>
          </w:p>
        </w:tc>
        <w:tc>
          <w:tcPr>
            <w:tcW w:type="dxa" w:w="4703"/>
          </w:tcPr>
          <w:p>
            <w:pPr>
              <w:spacing w:line="240" w:lineRule="auto" w:after="40" w:before="40"/>
            </w:pPr>
            <w:r/>
            <w:r>
              <w:rPr>
                <w:rFonts w:ascii="Arial" w:hAnsi="Arial" w:eastAsia="Arial"/>
                <w:b w:val="0"/>
                <w:i w:val="0"/>
                <w:sz w:val="18"/>
              </w:rPr>
              <w:t>US$ 20.700 (línea base); US$ 21.200 propuesto ante módulo de asistencia con IA</w:t>
            </w:r>
          </w:p>
        </w:tc>
      </w:tr>
      <w:tr>
        <w:tc>
          <w:tcPr>
            <w:tcW w:type="dxa" w:w="4703"/>
          </w:tcPr>
          <w:p>
            <w:pPr>
              <w:spacing w:line="240" w:lineRule="auto" w:after="40" w:before="40"/>
            </w:pPr>
            <w:r/>
            <w:r>
              <w:rPr>
                <w:rFonts w:ascii="Arial" w:hAnsi="Arial" w:eastAsia="Arial"/>
                <w:b w:val="0"/>
                <w:i w:val="0"/>
                <w:sz w:val="18"/>
              </w:rPr>
              <w:t>Restricciones</w:t>
            </w:r>
          </w:p>
        </w:tc>
        <w:tc>
          <w:tcPr>
            <w:tcW w:type="dxa" w:w="4703"/>
          </w:tcPr>
          <w:p>
            <w:pPr>
              <w:spacing w:line="240" w:lineRule="auto" w:after="40" w:before="40"/>
            </w:pPr>
            <w:r/>
            <w:r>
              <w:rPr>
                <w:rFonts w:ascii="Arial" w:hAnsi="Arial" w:eastAsia="Arial"/>
                <w:b w:val="0"/>
                <w:i w:val="0"/>
                <w:sz w:val="18"/>
              </w:rPr>
              <w:t>Cuatro desarrolladores; técnico local no full time; conectividad irregular; techo y cortes fijos</w:t>
            </w:r>
          </w:p>
        </w:tc>
      </w:tr>
      <w:tr>
        <w:tc>
          <w:tcPr>
            <w:tcW w:type="dxa" w:w="4703"/>
          </w:tcPr>
          <w:p>
            <w:pPr>
              <w:spacing w:line="240" w:lineRule="auto" w:after="40" w:before="40"/>
            </w:pPr>
            <w:r/>
            <w:r>
              <w:rPr>
                <w:rFonts w:ascii="Arial" w:hAnsi="Arial" w:eastAsia="Arial"/>
                <w:b w:val="0"/>
                <w:i w:val="0"/>
                <w:sz w:val="18"/>
              </w:rPr>
              <w:t>Objeto del informe</w:t>
            </w:r>
          </w:p>
        </w:tc>
        <w:tc>
          <w:tcPr>
            <w:tcW w:type="dxa" w:w="4703"/>
          </w:tcPr>
          <w:p>
            <w:pPr>
              <w:spacing w:line="240" w:lineRule="auto" w:after="40" w:before="40"/>
            </w:pPr>
            <w:r/>
            <w:r>
              <w:rPr>
                <w:rFonts w:ascii="Arial" w:hAnsi="Arial" w:eastAsia="Arial"/>
                <w:b w:val="0"/>
                <w:i w:val="0"/>
                <w:sz w:val="18"/>
              </w:rPr>
              <w:t>Monitoreo y control; gestión de cambios; asignación de recursos; estado para partes interesadas</w:t>
            </w:r>
          </w:p>
        </w:tc>
      </w:tr>
      <w:tr>
        <w:tc>
          <w:tcPr>
            <w:tcW w:type="dxa" w:w="4703"/>
          </w:tcPr>
          <w:p>
            <w:pPr>
              <w:spacing w:line="240" w:lineRule="auto" w:after="40" w:before="40"/>
            </w:pPr>
            <w:r/>
            <w:r>
              <w:rPr>
                <w:rFonts w:ascii="Arial" w:hAnsi="Arial" w:eastAsia="Arial"/>
                <w:b w:val="0"/>
                <w:i w:val="0"/>
                <w:sz w:val="18"/>
              </w:rPr>
              <w:t>Extensión</w:t>
            </w:r>
          </w:p>
        </w:tc>
        <w:tc>
          <w:tcPr>
            <w:tcW w:type="dxa" w:w="4703"/>
          </w:tcPr>
          <w:p>
            <w:pPr>
              <w:spacing w:line="240" w:lineRule="auto" w:after="40" w:before="40"/>
            </w:pPr>
            <w:r/>
            <w:r>
              <w:rPr>
                <w:rFonts w:ascii="Arial" w:hAnsi="Arial" w:eastAsia="Arial"/>
                <w:b w:val="0"/>
                <w:i w:val="0"/>
                <w:sz w:val="18"/>
              </w:rPr>
              <w:t>Autorización docente para no ceñirse al tope de 7 planas; largo según cobertura del caso</w:t>
            </w:r>
          </w:p>
        </w:tc>
      </w:tr>
    </w:tbl>
    <w:p/>
    <w:p>
      <w:pPr>
        <w:spacing w:line="360" w:lineRule="auto" w:after="120" w:before="0"/>
      </w:pPr>
      <w:r>
        <w:rPr>
          <w:rFonts w:ascii="Arial" w:hAnsi="Arial" w:eastAsia="Arial"/>
          <w:b w:val="0"/>
          <w:i w:val="0"/>
          <w:sz w:val="24"/>
        </w:rPr>
        <w:t>El informe se estructura según los indicadores de evaluación de la dimensión grupal escrita: propuesta de monitoreo y control, gestión del cambio, asignación de recursos y documentación del estado del proyecto para partes interesadas.</w:t>
      </w:r>
    </w:p>
    <w:p>
      <w:pPr>
        <w:spacing w:line="360" w:lineRule="auto" w:after="160" w:before="0"/>
      </w:pPr>
      <w:r>
        <w:rPr>
          <w:rFonts w:ascii="Arial" w:hAnsi="Arial" w:eastAsia="Arial"/>
          <w:b/>
          <w:i w:val="0"/>
          <w:sz w:val="28"/>
        </w:rPr>
        <w:t>2. Sistema de monitoreo y control</w:t>
      </w:r>
    </w:p>
    <w:p>
      <w:pPr>
        <w:spacing w:line="360" w:lineRule="auto" w:after="160" w:before="0"/>
      </w:pPr>
      <w:r>
        <w:rPr>
          <w:rFonts w:ascii="Arial" w:hAnsi="Arial" w:eastAsia="Arial"/>
          <w:b/>
          <w:i w:val="0"/>
          <w:sz w:val="24"/>
        </w:rPr>
        <w:t>2.1 Propósito</w:t>
      </w:r>
    </w:p>
    <w:p>
      <w:pPr>
        <w:spacing w:line="360" w:lineRule="auto" w:after="120" w:before="0"/>
      </w:pPr>
      <w:r>
        <w:rPr>
          <w:rFonts w:ascii="Arial" w:hAnsi="Arial" w:eastAsia="Arial"/>
          <w:b w:val="0"/>
          <w:i w:val="0"/>
          <w:sz w:val="24"/>
        </w:rPr>
        <w:t>El sistema de monitoreo y control tiene por objeto resguardar la planificación e integración del piloto: verificar el avance respecto de los hitos, detectar desvíos de alcance, tiempo, costo y calidad, y entregar información única a dirección y contraparte. No sustituye la ejecución; condiciona las decisiones de continuar, replanificar o detener gasto no autorizado.</w:t>
      </w:r>
    </w:p>
    <w:p>
      <w:pPr>
        <w:spacing w:line="360" w:lineRule="auto" w:after="160" w:before="0"/>
      </w:pPr>
      <w:r>
        <w:rPr>
          <w:rFonts w:ascii="Arial" w:hAnsi="Arial" w:eastAsia="Arial"/>
          <w:b/>
          <w:i w:val="0"/>
          <w:sz w:val="24"/>
        </w:rPr>
        <w:t>2.2 Componentes e interacción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val="clear"/>
          </w:tcPr>
          <w:p>
            <w:pPr>
              <w:spacing w:line="240" w:lineRule="auto" w:after="40" w:before="40"/>
            </w:pPr>
            <w:r/>
            <w:r>
              <w:rPr>
                <w:rFonts w:ascii="Arial" w:hAnsi="Arial" w:eastAsia="Arial"/>
                <w:b/>
                <w:i w:val="0"/>
                <w:sz w:val="18"/>
              </w:rPr>
              <w:t>Componente</w:t>
            </w:r>
          </w:p>
        </w:tc>
        <w:tc>
          <w:tcPr>
            <w:tcW w:type="dxa" w:w="2351"/>
            <w:shd w:fill="D9E2F3" w:val="clear"/>
          </w:tcPr>
          <w:p>
            <w:pPr>
              <w:spacing w:line="240" w:lineRule="auto" w:after="40" w:before="40"/>
            </w:pPr>
            <w:r/>
            <w:r>
              <w:rPr>
                <w:rFonts w:ascii="Arial" w:hAnsi="Arial" w:eastAsia="Arial"/>
                <w:b/>
                <w:i w:val="0"/>
                <w:sz w:val="18"/>
              </w:rPr>
              <w:t>Función</w:t>
            </w:r>
          </w:p>
        </w:tc>
        <w:tc>
          <w:tcPr>
            <w:tcW w:type="dxa" w:w="2351"/>
            <w:shd w:fill="D9E2F3" w:val="clear"/>
          </w:tcPr>
          <w:p>
            <w:pPr>
              <w:spacing w:line="240" w:lineRule="auto" w:after="40" w:before="40"/>
            </w:pPr>
            <w:r/>
            <w:r>
              <w:rPr>
                <w:rFonts w:ascii="Arial" w:hAnsi="Arial" w:eastAsia="Arial"/>
                <w:b/>
                <w:i w:val="0"/>
                <w:sz w:val="18"/>
              </w:rPr>
              <w:t>Responsable</w:t>
            </w:r>
          </w:p>
        </w:tc>
        <w:tc>
          <w:tcPr>
            <w:tcW w:type="dxa" w:w="2351"/>
            <w:shd w:fill="D9E2F3" w:val="clear"/>
          </w:tcPr>
          <w:p>
            <w:pPr>
              <w:spacing w:line="240" w:lineRule="auto" w:after="40" w:before="40"/>
            </w:pPr>
            <w:r/>
            <w:r>
              <w:rPr>
                <w:rFonts w:ascii="Arial" w:hAnsi="Arial" w:eastAsia="Arial"/>
                <w:b/>
                <w:i w:val="0"/>
                <w:sz w:val="18"/>
              </w:rPr>
              <w:t>Periodicidad</w:t>
            </w:r>
          </w:p>
        </w:tc>
      </w:tr>
      <w:tr>
        <w:tc>
          <w:tcPr>
            <w:tcW w:type="dxa" w:w="2351"/>
          </w:tcPr>
          <w:p>
            <w:pPr>
              <w:spacing w:line="240" w:lineRule="auto" w:after="40" w:before="40"/>
            </w:pPr>
            <w:r/>
            <w:r>
              <w:rPr>
                <w:rFonts w:ascii="Arial" w:hAnsi="Arial" w:eastAsia="Arial"/>
                <w:b w:val="0"/>
                <w:i w:val="0"/>
                <w:sz w:val="18"/>
              </w:rPr>
              <w:t>Project Libre</w:t>
            </w:r>
          </w:p>
        </w:tc>
        <w:tc>
          <w:tcPr>
            <w:tcW w:type="dxa" w:w="2351"/>
          </w:tcPr>
          <w:p>
            <w:pPr>
              <w:spacing w:line="240" w:lineRule="auto" w:after="40" w:before="40"/>
            </w:pPr>
            <w:r/>
            <w:r>
              <w:rPr>
                <w:rFonts w:ascii="Arial" w:hAnsi="Arial" w:eastAsia="Arial"/>
                <w:b w:val="0"/>
                <w:i w:val="0"/>
                <w:sz w:val="18"/>
              </w:rPr>
              <w:t>Fechas, ruta crítica, desvíos de hito</w:t>
            </w:r>
          </w:p>
        </w:tc>
        <w:tc>
          <w:tcPr>
            <w:tcW w:type="dxa" w:w="2351"/>
          </w:tcPr>
          <w:p>
            <w:pPr>
              <w:spacing w:line="240" w:lineRule="auto" w:after="40" w:before="40"/>
            </w:pPr>
            <w:r/>
            <w:r>
              <w:rPr>
                <w:rFonts w:ascii="Arial" w:hAnsi="Arial" w:eastAsia="Arial"/>
                <w:b w:val="0"/>
                <w:i w:val="0"/>
                <w:sz w:val="18"/>
              </w:rPr>
              <w:t>Dirección / backend</w:t>
            </w:r>
          </w:p>
        </w:tc>
        <w:tc>
          <w:tcPr>
            <w:tcW w:type="dxa" w:w="2351"/>
          </w:tcPr>
          <w:p>
            <w:pPr>
              <w:spacing w:line="240" w:lineRule="auto" w:after="40" w:before="40"/>
            </w:pPr>
            <w:r/>
            <w:r>
              <w:rPr>
                <w:rFonts w:ascii="Arial" w:hAnsi="Arial" w:eastAsia="Arial"/>
                <w:b w:val="0"/>
                <w:i w:val="0"/>
                <w:sz w:val="18"/>
              </w:rPr>
              <w:t>Por sprint y en cada hito</w:t>
            </w:r>
          </w:p>
        </w:tc>
      </w:tr>
      <w:tr>
        <w:tc>
          <w:tcPr>
            <w:tcW w:type="dxa" w:w="2351"/>
          </w:tcPr>
          <w:p>
            <w:pPr>
              <w:spacing w:line="240" w:lineRule="auto" w:after="40" w:before="40"/>
            </w:pPr>
            <w:r/>
            <w:r>
              <w:rPr>
                <w:rFonts w:ascii="Arial" w:hAnsi="Arial" w:eastAsia="Arial"/>
                <w:b w:val="0"/>
                <w:i w:val="0"/>
                <w:sz w:val="18"/>
              </w:rPr>
              <w:t>Trello</w:t>
            </w:r>
          </w:p>
        </w:tc>
        <w:tc>
          <w:tcPr>
            <w:tcW w:type="dxa" w:w="2351"/>
          </w:tcPr>
          <w:p>
            <w:pPr>
              <w:spacing w:line="240" w:lineRule="auto" w:after="40" w:before="40"/>
            </w:pPr>
            <w:r/>
            <w:r>
              <w:rPr>
                <w:rFonts w:ascii="Arial" w:hAnsi="Arial" w:eastAsia="Arial"/>
                <w:b w:val="0"/>
                <w:i w:val="0"/>
                <w:sz w:val="18"/>
              </w:rPr>
              <w:t>Compromiso de sprint, trabajo en curso, bloqueos</w:t>
            </w:r>
          </w:p>
        </w:tc>
        <w:tc>
          <w:tcPr>
            <w:tcW w:type="dxa" w:w="2351"/>
          </w:tcPr>
          <w:p>
            <w:pPr>
              <w:spacing w:line="240" w:lineRule="auto" w:after="40" w:before="40"/>
            </w:pPr>
            <w:r/>
            <w:r>
              <w:rPr>
                <w:rFonts w:ascii="Arial" w:hAnsi="Arial" w:eastAsia="Arial"/>
                <w:b w:val="0"/>
                <w:i w:val="0"/>
                <w:sz w:val="18"/>
              </w:rPr>
              <w:t>Equipo; dirección en reasignaciones</w:t>
            </w:r>
          </w:p>
        </w:tc>
        <w:tc>
          <w:tcPr>
            <w:tcW w:type="dxa" w:w="2351"/>
          </w:tcPr>
          <w:p>
            <w:pPr>
              <w:spacing w:line="240" w:lineRule="auto" w:after="40" w:before="40"/>
            </w:pPr>
            <w:r/>
            <w:r>
              <w:rPr>
                <w:rFonts w:ascii="Arial" w:hAnsi="Arial" w:eastAsia="Arial"/>
                <w:b w:val="0"/>
                <w:i w:val="0"/>
                <w:sz w:val="18"/>
              </w:rPr>
              <w:t>Continuo</w:t>
            </w:r>
          </w:p>
        </w:tc>
      </w:tr>
      <w:tr>
        <w:tc>
          <w:tcPr>
            <w:tcW w:type="dxa" w:w="2351"/>
          </w:tcPr>
          <w:p>
            <w:pPr>
              <w:spacing w:line="240" w:lineRule="auto" w:after="40" w:before="40"/>
            </w:pPr>
            <w:r/>
            <w:r>
              <w:rPr>
                <w:rFonts w:ascii="Arial" w:hAnsi="Arial" w:eastAsia="Arial"/>
                <w:b w:val="0"/>
                <w:i w:val="0"/>
                <w:sz w:val="18"/>
              </w:rPr>
              <w:t>Excel financiero y consola de nube</w:t>
            </w:r>
          </w:p>
        </w:tc>
        <w:tc>
          <w:tcPr>
            <w:tcW w:type="dxa" w:w="2351"/>
          </w:tcPr>
          <w:p>
            <w:pPr>
              <w:spacing w:line="240" w:lineRule="auto" w:after="40" w:before="40"/>
            </w:pPr>
            <w:r/>
            <w:r>
              <w:rPr>
                <w:rFonts w:ascii="Arial" w:hAnsi="Arial" w:eastAsia="Arial"/>
                <w:b w:val="0"/>
                <w:i w:val="0"/>
                <w:sz w:val="18"/>
              </w:rPr>
              <w:t>Gasto acumulado, alertas, topes de API</w:t>
            </w:r>
          </w:p>
        </w:tc>
        <w:tc>
          <w:tcPr>
            <w:tcW w:type="dxa" w:w="2351"/>
          </w:tcPr>
          <w:p>
            <w:pPr>
              <w:spacing w:line="240" w:lineRule="auto" w:after="40" w:before="40"/>
            </w:pPr>
            <w:r/>
            <w:r>
              <w:rPr>
                <w:rFonts w:ascii="Arial" w:hAnsi="Arial" w:eastAsia="Arial"/>
                <w:b w:val="0"/>
                <w:i w:val="0"/>
                <w:sz w:val="18"/>
              </w:rPr>
              <w:t>Infraestructura</w:t>
            </w:r>
          </w:p>
        </w:tc>
        <w:tc>
          <w:tcPr>
            <w:tcW w:type="dxa" w:w="2351"/>
          </w:tcPr>
          <w:p>
            <w:pPr>
              <w:spacing w:line="240" w:lineRule="auto" w:after="40" w:before="40"/>
            </w:pPr>
            <w:r/>
            <w:r>
              <w:rPr>
                <w:rFonts w:ascii="Arial" w:hAnsi="Arial" w:eastAsia="Arial"/>
                <w:b w:val="0"/>
                <w:i w:val="0"/>
                <w:sz w:val="18"/>
              </w:rPr>
              <w:t>Quincenal</w:t>
            </w:r>
          </w:p>
        </w:tc>
      </w:tr>
      <w:tr>
        <w:tc>
          <w:tcPr>
            <w:tcW w:type="dxa" w:w="2351"/>
          </w:tcPr>
          <w:p>
            <w:pPr>
              <w:spacing w:line="240" w:lineRule="auto" w:after="40" w:before="40"/>
            </w:pPr>
            <w:r/>
            <w:r>
              <w:rPr>
                <w:rFonts w:ascii="Arial" w:hAnsi="Arial" w:eastAsia="Arial"/>
                <w:b w:val="0"/>
                <w:i w:val="0"/>
                <w:sz w:val="18"/>
              </w:rPr>
              <w:t>Indicadores estratégicos</w:t>
            </w:r>
          </w:p>
        </w:tc>
        <w:tc>
          <w:tcPr>
            <w:tcW w:type="dxa" w:w="2351"/>
          </w:tcPr>
          <w:p>
            <w:pPr>
              <w:spacing w:line="240" w:lineRule="auto" w:after="40" w:before="40"/>
            </w:pPr>
            <w:r/>
            <w:r>
              <w:rPr>
                <w:rFonts w:ascii="Arial" w:hAnsi="Arial" w:eastAsia="Arial"/>
                <w:b w:val="0"/>
                <w:i w:val="0"/>
                <w:sz w:val="18"/>
              </w:rPr>
              <w:t>Lectura consolidada para dirección</w:t>
            </w:r>
          </w:p>
        </w:tc>
        <w:tc>
          <w:tcPr>
            <w:tcW w:type="dxa" w:w="2351"/>
          </w:tcPr>
          <w:p>
            <w:pPr>
              <w:spacing w:line="240" w:lineRule="auto" w:after="40" w:before="40"/>
            </w:pPr>
            <w:r/>
            <w:r>
              <w:rPr>
                <w:rFonts w:ascii="Arial" w:hAnsi="Arial" w:eastAsia="Arial"/>
                <w:b w:val="0"/>
                <w:i w:val="0"/>
                <w:sz w:val="18"/>
              </w:rPr>
              <w:t>Dirección</w:t>
            </w:r>
          </w:p>
        </w:tc>
        <w:tc>
          <w:tcPr>
            <w:tcW w:type="dxa" w:w="2351"/>
          </w:tcPr>
          <w:p>
            <w:pPr>
              <w:spacing w:line="240" w:lineRule="auto" w:after="40" w:before="40"/>
            </w:pPr>
            <w:r/>
            <w:r>
              <w:rPr>
                <w:rFonts w:ascii="Arial" w:hAnsi="Arial" w:eastAsia="Arial"/>
                <w:b w:val="0"/>
                <w:i w:val="0"/>
                <w:sz w:val="18"/>
              </w:rPr>
              <w:t>En cada hito</w:t>
            </w:r>
          </w:p>
        </w:tc>
      </w:tr>
      <w:tr>
        <w:tc>
          <w:tcPr>
            <w:tcW w:type="dxa" w:w="2351"/>
          </w:tcPr>
          <w:p>
            <w:pPr>
              <w:spacing w:line="240" w:lineRule="auto" w:after="40" w:before="40"/>
            </w:pPr>
            <w:r/>
            <w:r>
              <w:rPr>
                <w:rFonts w:ascii="Arial" w:hAnsi="Arial" w:eastAsia="Arial"/>
                <w:b w:val="0"/>
                <w:i w:val="0"/>
                <w:sz w:val="18"/>
              </w:rPr>
              <w:t>Indicadores operativos</w:t>
            </w:r>
          </w:p>
        </w:tc>
        <w:tc>
          <w:tcPr>
            <w:tcW w:type="dxa" w:w="2351"/>
          </w:tcPr>
          <w:p>
            <w:pPr>
              <w:spacing w:line="240" w:lineRule="auto" w:after="40" w:before="40"/>
            </w:pPr>
            <w:r/>
            <w:r>
              <w:rPr>
                <w:rFonts w:ascii="Arial" w:hAnsi="Arial" w:eastAsia="Arial"/>
                <w:b w:val="0"/>
                <w:i w:val="0"/>
                <w:sz w:val="18"/>
              </w:rPr>
              <w:t>Detección temprana de calidad, capacidad y operación</w:t>
            </w:r>
          </w:p>
        </w:tc>
        <w:tc>
          <w:tcPr>
            <w:tcW w:type="dxa" w:w="2351"/>
          </w:tcPr>
          <w:p>
            <w:pPr>
              <w:spacing w:line="240" w:lineRule="auto" w:after="40" w:before="40"/>
            </w:pPr>
            <w:r/>
            <w:r>
              <w:rPr>
                <w:rFonts w:ascii="Arial" w:hAnsi="Arial" w:eastAsia="Arial"/>
                <w:b w:val="0"/>
                <w:i w:val="0"/>
                <w:sz w:val="18"/>
              </w:rPr>
              <w:t>Calidad / backend / dirección</w:t>
            </w:r>
          </w:p>
        </w:tc>
        <w:tc>
          <w:tcPr>
            <w:tcW w:type="dxa" w:w="2351"/>
          </w:tcPr>
          <w:p>
            <w:pPr>
              <w:spacing w:line="240" w:lineRule="auto" w:after="40" w:before="40"/>
            </w:pPr>
            <w:r/>
            <w:r>
              <w:rPr>
                <w:rFonts w:ascii="Arial" w:hAnsi="Arial" w:eastAsia="Arial"/>
                <w:b w:val="0"/>
                <w:i w:val="0"/>
                <w:sz w:val="18"/>
              </w:rPr>
              <w:t>Semanal o quincenal</w:t>
            </w:r>
          </w:p>
        </w:tc>
      </w:tr>
      <w:tr>
        <w:tc>
          <w:tcPr>
            <w:tcW w:type="dxa" w:w="2351"/>
          </w:tcPr>
          <w:p>
            <w:pPr>
              <w:spacing w:line="240" w:lineRule="auto" w:after="40" w:before="40"/>
            </w:pPr>
            <w:r/>
            <w:r>
              <w:rPr>
                <w:rFonts w:ascii="Arial" w:hAnsi="Arial" w:eastAsia="Arial"/>
                <w:b w:val="0"/>
                <w:i w:val="0"/>
                <w:sz w:val="18"/>
              </w:rPr>
              <w:t>Evaluación de hito por contraparte</w:t>
            </w:r>
          </w:p>
        </w:tc>
        <w:tc>
          <w:tcPr>
            <w:tcW w:type="dxa" w:w="2351"/>
          </w:tcPr>
          <w:p>
            <w:pPr>
              <w:spacing w:line="240" w:lineRule="auto" w:after="40" w:before="40"/>
            </w:pPr>
            <w:r/>
            <w:r>
              <w:rPr>
                <w:rFonts w:ascii="Arial" w:hAnsi="Arial" w:eastAsia="Arial"/>
                <w:b w:val="0"/>
                <w:i w:val="0"/>
                <w:sz w:val="18"/>
              </w:rPr>
              <w:t>Puntaje de aceptación del entregable</w:t>
            </w:r>
          </w:p>
        </w:tc>
        <w:tc>
          <w:tcPr>
            <w:tcW w:type="dxa" w:w="2351"/>
          </w:tcPr>
          <w:p>
            <w:pPr>
              <w:spacing w:line="240" w:lineRule="auto" w:after="40" w:before="40"/>
            </w:pPr>
            <w:r/>
            <w:r>
              <w:rPr>
                <w:rFonts w:ascii="Arial" w:hAnsi="Arial" w:eastAsia="Arial"/>
                <w:b w:val="0"/>
                <w:i w:val="0"/>
                <w:sz w:val="18"/>
              </w:rPr>
              <w:t>Dirección y contraparte</w:t>
            </w:r>
          </w:p>
        </w:tc>
        <w:tc>
          <w:tcPr>
            <w:tcW w:type="dxa" w:w="2351"/>
          </w:tcPr>
          <w:p>
            <w:pPr>
              <w:spacing w:line="240" w:lineRule="auto" w:after="40" w:before="40"/>
            </w:pPr>
            <w:r/>
            <w:r>
              <w:rPr>
                <w:rFonts w:ascii="Arial" w:hAnsi="Arial" w:eastAsia="Arial"/>
                <w:b w:val="0"/>
                <w:i w:val="0"/>
                <w:sz w:val="18"/>
              </w:rPr>
              <w:t>En cada hito</w:t>
            </w:r>
          </w:p>
        </w:tc>
      </w:tr>
      <w:tr>
        <w:tc>
          <w:tcPr>
            <w:tcW w:type="dxa" w:w="2351"/>
          </w:tcPr>
          <w:p>
            <w:pPr>
              <w:spacing w:line="240" w:lineRule="auto" w:after="40" w:before="40"/>
            </w:pPr>
            <w:r/>
            <w:r>
              <w:rPr>
                <w:rFonts w:ascii="Arial" w:hAnsi="Arial" w:eastAsia="Arial"/>
                <w:b w:val="0"/>
                <w:i w:val="0"/>
                <w:sz w:val="18"/>
              </w:rPr>
              <w:t>Registro formal de cambios</w:t>
            </w:r>
          </w:p>
        </w:tc>
        <w:tc>
          <w:tcPr>
            <w:tcW w:type="dxa" w:w="2351"/>
          </w:tcPr>
          <w:p>
            <w:pPr>
              <w:spacing w:line="240" w:lineRule="auto" w:after="40" w:before="40"/>
            </w:pPr>
            <w:r/>
            <w:r>
              <w:rPr>
                <w:rFonts w:ascii="Arial" w:hAnsi="Arial" w:eastAsia="Arial"/>
                <w:b w:val="0"/>
                <w:i w:val="0"/>
                <w:sz w:val="18"/>
              </w:rPr>
              <w:t>Trazabilidad de solicitudes que alteran línea base</w:t>
            </w:r>
          </w:p>
        </w:tc>
        <w:tc>
          <w:tcPr>
            <w:tcW w:type="dxa" w:w="2351"/>
          </w:tcPr>
          <w:p>
            <w:pPr>
              <w:spacing w:line="240" w:lineRule="auto" w:after="40" w:before="40"/>
            </w:pPr>
            <w:r/>
            <w:r>
              <w:rPr>
                <w:rFonts w:ascii="Arial" w:hAnsi="Arial" w:eastAsia="Arial"/>
                <w:b w:val="0"/>
                <w:i w:val="0"/>
                <w:sz w:val="18"/>
              </w:rPr>
              <w:t>Dirección</w:t>
            </w:r>
          </w:p>
        </w:tc>
        <w:tc>
          <w:tcPr>
            <w:tcW w:type="dxa" w:w="2351"/>
          </w:tcPr>
          <w:p>
            <w:pPr>
              <w:spacing w:line="240" w:lineRule="auto" w:after="40" w:before="40"/>
            </w:pPr>
            <w:r/>
            <w:r>
              <w:rPr>
                <w:rFonts w:ascii="Arial" w:hAnsi="Arial" w:eastAsia="Arial"/>
                <w:b w:val="0"/>
                <w:i w:val="0"/>
                <w:sz w:val="18"/>
              </w:rPr>
              <w:t>Ante cada solicitud</w:t>
            </w:r>
          </w:p>
        </w:tc>
      </w:tr>
    </w:tbl>
    <w:p/>
    <w:p>
      <w:pPr>
        <w:spacing w:line="360" w:lineRule="auto" w:after="120" w:before="0"/>
      </w:pPr>
      <w:r>
        <w:rPr>
          <w:rFonts w:ascii="Arial" w:hAnsi="Arial" w:eastAsia="Arial"/>
          <w:b w:val="0"/>
          <w:i w:val="0"/>
          <w:sz w:val="24"/>
        </w:rPr>
        <w:t>La interacción entre componentes es obligatoria: el flujo de Trello sin actualización de Project Libre genera divergencia plan–ejecución; el reporte financiero sin contraste con el trabajo real invalida la lectura de costo; un incremento construido fuera del registro de cambios rompe la integridad del plan inicial.</w:t>
      </w:r>
    </w:p>
    <w:p>
      <w:pPr>
        <w:spacing w:line="360" w:lineRule="auto" w:after="160" w:before="0"/>
      </w:pPr>
      <w:r>
        <w:rPr>
          <w:rFonts w:ascii="Arial" w:hAnsi="Arial" w:eastAsia="Arial"/>
          <w:b/>
          <w:i w:val="0"/>
          <w:sz w:val="24"/>
        </w:rPr>
        <w:t>2.3 Representación del flujo de información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val="clear"/>
          </w:tcPr>
          <w:p>
            <w:pPr>
              <w:spacing w:line="240" w:lineRule="auto" w:after="40" w:before="40"/>
            </w:pPr>
            <w:r/>
            <w:r>
              <w:rPr>
                <w:rFonts w:ascii="Arial" w:hAnsi="Arial" w:eastAsia="Arial"/>
                <w:b/>
                <w:i w:val="0"/>
                <w:sz w:val="18"/>
              </w:rPr>
              <w:t>Etapa</w:t>
            </w:r>
          </w:p>
        </w:tc>
        <w:tc>
          <w:tcPr>
            <w:tcW w:type="dxa" w:w="2351"/>
            <w:shd w:fill="D9E2F3" w:val="clear"/>
          </w:tcPr>
          <w:p>
            <w:pPr>
              <w:spacing w:line="240" w:lineRule="auto" w:after="40" w:before="40"/>
            </w:pPr>
            <w:r/>
            <w:r>
              <w:rPr>
                <w:rFonts w:ascii="Arial" w:hAnsi="Arial" w:eastAsia="Arial"/>
                <w:b/>
                <w:i w:val="0"/>
                <w:sz w:val="18"/>
              </w:rPr>
              <w:t>Origen</w:t>
            </w:r>
          </w:p>
        </w:tc>
        <w:tc>
          <w:tcPr>
            <w:tcW w:type="dxa" w:w="2351"/>
            <w:shd w:fill="D9E2F3" w:val="clear"/>
          </w:tcPr>
          <w:p>
            <w:pPr>
              <w:spacing w:line="240" w:lineRule="auto" w:after="40" w:before="40"/>
            </w:pPr>
            <w:r/>
            <w:r>
              <w:rPr>
                <w:rFonts w:ascii="Arial" w:hAnsi="Arial" w:eastAsia="Arial"/>
                <w:b/>
                <w:i w:val="0"/>
                <w:sz w:val="18"/>
              </w:rPr>
              <w:t>Salida</w:t>
            </w:r>
          </w:p>
        </w:tc>
        <w:tc>
          <w:tcPr>
            <w:tcW w:type="dxa" w:w="2351"/>
            <w:shd w:fill="D9E2F3" w:val="clear"/>
          </w:tcPr>
          <w:p>
            <w:pPr>
              <w:spacing w:line="240" w:lineRule="auto" w:after="40" w:before="40"/>
            </w:pPr>
            <w:r/>
            <w:r>
              <w:rPr>
                <w:rFonts w:ascii="Arial" w:hAnsi="Arial" w:eastAsia="Arial"/>
                <w:b/>
                <w:i w:val="0"/>
                <w:sz w:val="18"/>
              </w:rPr>
              <w:t>Destino de control</w:t>
            </w:r>
          </w:p>
        </w:tc>
      </w:tr>
      <w:tr>
        <w:tc>
          <w:tcPr>
            <w:tcW w:type="dxa" w:w="2351"/>
          </w:tcPr>
          <w:p>
            <w:pPr>
              <w:spacing w:line="240" w:lineRule="auto" w:after="40" w:before="40"/>
            </w:pPr>
            <w:r/>
            <w:r>
              <w:rPr>
                <w:rFonts w:ascii="Arial" w:hAnsi="Arial" w:eastAsia="Arial"/>
                <w:b w:val="0"/>
                <w:i w:val="0"/>
                <w:sz w:val="18"/>
              </w:rPr>
              <w:t>1</w:t>
            </w:r>
          </w:p>
        </w:tc>
        <w:tc>
          <w:tcPr>
            <w:tcW w:type="dxa" w:w="2351"/>
          </w:tcPr>
          <w:p>
            <w:pPr>
              <w:spacing w:line="240" w:lineRule="auto" w:after="40" w:before="40"/>
            </w:pPr>
            <w:r/>
            <w:r>
              <w:rPr>
                <w:rFonts w:ascii="Arial" w:hAnsi="Arial" w:eastAsia="Arial"/>
                <w:b w:val="0"/>
                <w:i w:val="0"/>
                <w:sz w:val="18"/>
              </w:rPr>
              <w:t>Terreno y aplicación Kiran</w:t>
            </w:r>
          </w:p>
        </w:tc>
        <w:tc>
          <w:tcPr>
            <w:tcW w:type="dxa" w:w="2351"/>
          </w:tcPr>
          <w:p>
            <w:pPr>
              <w:spacing w:line="240" w:lineRule="auto" w:after="40" w:before="40"/>
            </w:pPr>
            <w:r/>
            <w:r>
              <w:rPr>
                <w:rFonts w:ascii="Arial" w:hAnsi="Arial" w:eastAsia="Arial"/>
                <w:b w:val="0"/>
                <w:i w:val="0"/>
                <w:sz w:val="18"/>
              </w:rPr>
              <w:t>Estados de kit, tickets, sync por lote</w:t>
            </w:r>
          </w:p>
        </w:tc>
        <w:tc>
          <w:tcPr>
            <w:tcW w:type="dxa" w:w="2351"/>
          </w:tcPr>
          <w:p>
            <w:pPr>
              <w:spacing w:line="240" w:lineRule="auto" w:after="40" w:before="40"/>
            </w:pPr>
            <w:r/>
            <w:r>
              <w:rPr>
                <w:rFonts w:ascii="Arial" w:hAnsi="Arial" w:eastAsia="Arial"/>
                <w:b w:val="0"/>
                <w:i w:val="0"/>
                <w:sz w:val="18"/>
              </w:rPr>
              <w:t>Base del aplicativo</w:t>
            </w:r>
          </w:p>
        </w:tc>
      </w:tr>
      <w:tr>
        <w:tc>
          <w:tcPr>
            <w:tcW w:type="dxa" w:w="2351"/>
          </w:tcPr>
          <w:p>
            <w:pPr>
              <w:spacing w:line="240" w:lineRule="auto" w:after="40" w:before="40"/>
            </w:pPr>
            <w:r/>
            <w:r>
              <w:rPr>
                <w:rFonts w:ascii="Arial" w:hAnsi="Arial" w:eastAsia="Arial"/>
                <w:b w:val="0"/>
                <w:i w:val="0"/>
                <w:sz w:val="18"/>
              </w:rPr>
              <w:t>2</w:t>
            </w:r>
          </w:p>
        </w:tc>
        <w:tc>
          <w:tcPr>
            <w:tcW w:type="dxa" w:w="2351"/>
          </w:tcPr>
          <w:p>
            <w:pPr>
              <w:spacing w:line="240" w:lineRule="auto" w:after="40" w:before="40"/>
            </w:pPr>
            <w:r/>
            <w:r>
              <w:rPr>
                <w:rFonts w:ascii="Arial" w:hAnsi="Arial" w:eastAsia="Arial"/>
                <w:b w:val="0"/>
                <w:i w:val="0"/>
                <w:sz w:val="18"/>
              </w:rPr>
              <w:t>Desarrollo</w:t>
            </w:r>
          </w:p>
        </w:tc>
        <w:tc>
          <w:tcPr>
            <w:tcW w:type="dxa" w:w="2351"/>
          </w:tcPr>
          <w:p>
            <w:pPr>
              <w:spacing w:line="240" w:lineRule="auto" w:after="40" w:before="40"/>
            </w:pPr>
            <w:r/>
            <w:r>
              <w:rPr>
                <w:rFonts w:ascii="Arial" w:hAnsi="Arial" w:eastAsia="Arial"/>
                <w:b w:val="0"/>
                <w:i w:val="0"/>
                <w:sz w:val="18"/>
              </w:rPr>
              <w:t>Incremento según Definition of Done</w:t>
            </w:r>
          </w:p>
        </w:tc>
        <w:tc>
          <w:tcPr>
            <w:tcW w:type="dxa" w:w="2351"/>
          </w:tcPr>
          <w:p>
            <w:pPr>
              <w:spacing w:line="240" w:lineRule="auto" w:after="40" w:before="40"/>
            </w:pPr>
            <w:r/>
            <w:r>
              <w:rPr>
                <w:rFonts w:ascii="Arial" w:hAnsi="Arial" w:eastAsia="Arial"/>
                <w:b w:val="0"/>
                <w:i w:val="0"/>
                <w:sz w:val="18"/>
              </w:rPr>
              <w:t>Ambiente y tablero de flujo</w:t>
            </w:r>
          </w:p>
        </w:tc>
      </w:tr>
      <w:tr>
        <w:tc>
          <w:tcPr>
            <w:tcW w:type="dxa" w:w="2351"/>
          </w:tcPr>
          <w:p>
            <w:pPr>
              <w:spacing w:line="240" w:lineRule="auto" w:after="40" w:before="40"/>
            </w:pPr>
            <w:r/>
            <w:r>
              <w:rPr>
                <w:rFonts w:ascii="Arial" w:hAnsi="Arial" w:eastAsia="Arial"/>
                <w:b w:val="0"/>
                <w:i w:val="0"/>
                <w:sz w:val="18"/>
              </w:rPr>
              <w:t>3</w:t>
            </w:r>
          </w:p>
        </w:tc>
        <w:tc>
          <w:tcPr>
            <w:tcW w:type="dxa" w:w="2351"/>
          </w:tcPr>
          <w:p>
            <w:pPr>
              <w:spacing w:line="240" w:lineRule="auto" w:after="40" w:before="40"/>
            </w:pPr>
            <w:r/>
            <w:r>
              <w:rPr>
                <w:rFonts w:ascii="Arial" w:hAnsi="Arial" w:eastAsia="Arial"/>
                <w:b w:val="0"/>
                <w:i w:val="0"/>
                <w:sz w:val="18"/>
              </w:rPr>
              <w:t>Tablero de flujo</w:t>
            </w:r>
          </w:p>
        </w:tc>
        <w:tc>
          <w:tcPr>
            <w:tcW w:type="dxa" w:w="2351"/>
          </w:tcPr>
          <w:p>
            <w:pPr>
              <w:spacing w:line="240" w:lineRule="auto" w:after="40" w:before="40"/>
            </w:pPr>
            <w:r/>
            <w:r>
              <w:rPr>
                <w:rFonts w:ascii="Arial" w:hAnsi="Arial" w:eastAsia="Arial"/>
                <w:b w:val="0"/>
                <w:i w:val="0"/>
                <w:sz w:val="18"/>
              </w:rPr>
              <w:t>Capacidad, bloqueos, cumplimiento de sprint</w:t>
            </w:r>
          </w:p>
        </w:tc>
        <w:tc>
          <w:tcPr>
            <w:tcW w:type="dxa" w:w="2351"/>
          </w:tcPr>
          <w:p>
            <w:pPr>
              <w:spacing w:line="240" w:lineRule="auto" w:after="40" w:before="40"/>
            </w:pPr>
            <w:r/>
            <w:r>
              <w:rPr>
                <w:rFonts w:ascii="Arial" w:hAnsi="Arial" w:eastAsia="Arial"/>
                <w:b w:val="0"/>
                <w:i w:val="0"/>
                <w:sz w:val="18"/>
              </w:rPr>
              <w:t>Indicadores operativos</w:t>
            </w:r>
          </w:p>
        </w:tc>
      </w:tr>
      <w:tr>
        <w:tc>
          <w:tcPr>
            <w:tcW w:type="dxa" w:w="2351"/>
          </w:tcPr>
          <w:p>
            <w:pPr>
              <w:spacing w:line="240" w:lineRule="auto" w:after="40" w:before="40"/>
            </w:pPr>
            <w:r/>
            <w:r>
              <w:rPr>
                <w:rFonts w:ascii="Arial" w:hAnsi="Arial" w:eastAsia="Arial"/>
                <w:b w:val="0"/>
                <w:i w:val="0"/>
                <w:sz w:val="18"/>
              </w:rPr>
              <w:t>4</w:t>
            </w:r>
          </w:p>
        </w:tc>
        <w:tc>
          <w:tcPr>
            <w:tcW w:type="dxa" w:w="2351"/>
          </w:tcPr>
          <w:p>
            <w:pPr>
              <w:spacing w:line="240" w:lineRule="auto" w:after="40" w:before="40"/>
            </w:pPr>
            <w:r/>
            <w:r>
              <w:rPr>
                <w:rFonts w:ascii="Arial" w:hAnsi="Arial" w:eastAsia="Arial"/>
                <w:b w:val="0"/>
                <w:i w:val="0"/>
                <w:sz w:val="18"/>
              </w:rPr>
              <w:t>Project Libre</w:t>
            </w:r>
          </w:p>
        </w:tc>
        <w:tc>
          <w:tcPr>
            <w:tcW w:type="dxa" w:w="2351"/>
          </w:tcPr>
          <w:p>
            <w:pPr>
              <w:spacing w:line="240" w:lineRule="auto" w:after="40" w:before="40"/>
            </w:pPr>
            <w:r/>
            <w:r>
              <w:rPr>
                <w:rFonts w:ascii="Arial" w:hAnsi="Arial" w:eastAsia="Arial"/>
                <w:b w:val="0"/>
                <w:i w:val="0"/>
                <w:sz w:val="18"/>
              </w:rPr>
              <w:t>Cumplimiento de hitos y ruta crítica</w:t>
            </w:r>
          </w:p>
        </w:tc>
        <w:tc>
          <w:tcPr>
            <w:tcW w:type="dxa" w:w="2351"/>
          </w:tcPr>
          <w:p>
            <w:pPr>
              <w:spacing w:line="240" w:lineRule="auto" w:after="40" w:before="40"/>
            </w:pPr>
            <w:r/>
            <w:r>
              <w:rPr>
                <w:rFonts w:ascii="Arial" w:hAnsi="Arial" w:eastAsia="Arial"/>
                <w:b w:val="0"/>
                <w:i w:val="0"/>
                <w:sz w:val="18"/>
              </w:rPr>
              <w:t>Indicadores estratégicos de tiempo</w:t>
            </w:r>
          </w:p>
        </w:tc>
      </w:tr>
      <w:tr>
        <w:tc>
          <w:tcPr>
            <w:tcW w:type="dxa" w:w="2351"/>
          </w:tcPr>
          <w:p>
            <w:pPr>
              <w:spacing w:line="240" w:lineRule="auto" w:after="40" w:before="40"/>
            </w:pPr>
            <w:r/>
            <w:r>
              <w:rPr>
                <w:rFonts w:ascii="Arial" w:hAnsi="Arial" w:eastAsia="Arial"/>
                <w:b w:val="0"/>
                <w:i w:val="0"/>
                <w:sz w:val="18"/>
              </w:rPr>
              <w:t>5</w:t>
            </w:r>
          </w:p>
        </w:tc>
        <w:tc>
          <w:tcPr>
            <w:tcW w:type="dxa" w:w="2351"/>
          </w:tcPr>
          <w:p>
            <w:pPr>
              <w:spacing w:line="240" w:lineRule="auto" w:after="40" w:before="40"/>
            </w:pPr>
            <w:r/>
            <w:r>
              <w:rPr>
                <w:rFonts w:ascii="Arial" w:hAnsi="Arial" w:eastAsia="Arial"/>
                <w:b w:val="0"/>
                <w:i w:val="0"/>
                <w:sz w:val="18"/>
              </w:rPr>
              <w:t>Excel y factura de nube</w:t>
            </w:r>
          </w:p>
        </w:tc>
        <w:tc>
          <w:tcPr>
            <w:tcW w:type="dxa" w:w="2351"/>
          </w:tcPr>
          <w:p>
            <w:pPr>
              <w:spacing w:line="240" w:lineRule="auto" w:after="40" w:before="40"/>
            </w:pPr>
            <w:r/>
            <w:r>
              <w:rPr>
                <w:rFonts w:ascii="Arial" w:hAnsi="Arial" w:eastAsia="Arial"/>
                <w:b w:val="0"/>
                <w:i w:val="0"/>
                <w:sz w:val="18"/>
              </w:rPr>
              <w:t>Desviación presupuestaria</w:t>
            </w:r>
          </w:p>
        </w:tc>
        <w:tc>
          <w:tcPr>
            <w:tcW w:type="dxa" w:w="2351"/>
          </w:tcPr>
          <w:p>
            <w:pPr>
              <w:spacing w:line="240" w:lineRule="auto" w:after="40" w:before="40"/>
            </w:pPr>
            <w:r/>
            <w:r>
              <w:rPr>
                <w:rFonts w:ascii="Arial" w:hAnsi="Arial" w:eastAsia="Arial"/>
                <w:b w:val="0"/>
                <w:i w:val="0"/>
                <w:sz w:val="18"/>
              </w:rPr>
              <w:t>Indicador de techo; detención de gasto</w:t>
            </w:r>
          </w:p>
        </w:tc>
      </w:tr>
      <w:tr>
        <w:tc>
          <w:tcPr>
            <w:tcW w:type="dxa" w:w="2351"/>
          </w:tcPr>
          <w:p>
            <w:pPr>
              <w:spacing w:line="240" w:lineRule="auto" w:after="40" w:before="40"/>
            </w:pPr>
            <w:r/>
            <w:r>
              <w:rPr>
                <w:rFonts w:ascii="Arial" w:hAnsi="Arial" w:eastAsia="Arial"/>
                <w:b w:val="0"/>
                <w:i w:val="0"/>
                <w:sz w:val="18"/>
              </w:rPr>
              <w:t>6</w:t>
            </w:r>
          </w:p>
        </w:tc>
        <w:tc>
          <w:tcPr>
            <w:tcW w:type="dxa" w:w="2351"/>
          </w:tcPr>
          <w:p>
            <w:pPr>
              <w:spacing w:line="240" w:lineRule="auto" w:after="40" w:before="40"/>
            </w:pPr>
            <w:r/>
            <w:r>
              <w:rPr>
                <w:rFonts w:ascii="Arial" w:hAnsi="Arial" w:eastAsia="Arial"/>
                <w:b w:val="0"/>
                <w:i w:val="0"/>
                <w:sz w:val="18"/>
              </w:rPr>
              <w:t>Bitácora de soporte / canal asistido</w:t>
            </w:r>
          </w:p>
        </w:tc>
        <w:tc>
          <w:tcPr>
            <w:tcW w:type="dxa" w:w="2351"/>
          </w:tcPr>
          <w:p>
            <w:pPr>
              <w:spacing w:line="240" w:lineRule="auto" w:after="40" w:before="40"/>
            </w:pPr>
            <w:r/>
            <w:r>
              <w:rPr>
                <w:rFonts w:ascii="Arial" w:hAnsi="Arial" w:eastAsia="Arial"/>
                <w:b w:val="0"/>
                <w:i w:val="0"/>
                <w:sz w:val="18"/>
              </w:rPr>
              <w:t>Carga de consultas y escalamiento</w:t>
            </w:r>
          </w:p>
        </w:tc>
        <w:tc>
          <w:tcPr>
            <w:tcW w:type="dxa" w:w="2351"/>
          </w:tcPr>
          <w:p>
            <w:pPr>
              <w:spacing w:line="240" w:lineRule="auto" w:after="40" w:before="40"/>
            </w:pPr>
            <w:r/>
            <w:r>
              <w:rPr>
                <w:rFonts w:ascii="Arial" w:hAnsi="Arial" w:eastAsia="Arial"/>
                <w:b w:val="0"/>
                <w:i w:val="0"/>
                <w:sz w:val="18"/>
              </w:rPr>
              <w:t>Indicadores de atención</w:t>
            </w:r>
          </w:p>
        </w:tc>
      </w:tr>
      <w:tr>
        <w:tc>
          <w:tcPr>
            <w:tcW w:type="dxa" w:w="2351"/>
          </w:tcPr>
          <w:p>
            <w:pPr>
              <w:spacing w:line="240" w:lineRule="auto" w:after="40" w:before="40"/>
            </w:pPr>
            <w:r/>
            <w:r>
              <w:rPr>
                <w:rFonts w:ascii="Arial" w:hAnsi="Arial" w:eastAsia="Arial"/>
                <w:b w:val="0"/>
                <w:i w:val="0"/>
                <w:sz w:val="18"/>
              </w:rPr>
              <w:t>7</w:t>
            </w:r>
          </w:p>
        </w:tc>
        <w:tc>
          <w:tcPr>
            <w:tcW w:type="dxa" w:w="2351"/>
          </w:tcPr>
          <w:p>
            <w:pPr>
              <w:spacing w:line="240" w:lineRule="auto" w:after="40" w:before="40"/>
            </w:pPr>
            <w:r/>
            <w:r>
              <w:rPr>
                <w:rFonts w:ascii="Arial" w:hAnsi="Arial" w:eastAsia="Arial"/>
                <w:b w:val="0"/>
                <w:i w:val="0"/>
                <w:sz w:val="18"/>
              </w:rPr>
              <w:t>Consolidado de indicadores y puntaje</w:t>
            </w:r>
          </w:p>
        </w:tc>
        <w:tc>
          <w:tcPr>
            <w:tcW w:type="dxa" w:w="2351"/>
          </w:tcPr>
          <w:p>
            <w:pPr>
              <w:spacing w:line="240" w:lineRule="auto" w:after="40" w:before="40"/>
            </w:pPr>
            <w:r/>
            <w:r>
              <w:rPr>
                <w:rFonts w:ascii="Arial" w:hAnsi="Arial" w:eastAsia="Arial"/>
                <w:b w:val="0"/>
                <w:i w:val="0"/>
                <w:sz w:val="18"/>
              </w:rPr>
              <w:t>Lectura única</w:t>
            </w:r>
          </w:p>
        </w:tc>
        <w:tc>
          <w:tcPr>
            <w:tcW w:type="dxa" w:w="2351"/>
          </w:tcPr>
          <w:p>
            <w:pPr>
              <w:spacing w:line="240" w:lineRule="auto" w:after="40" w:before="40"/>
            </w:pPr>
            <w:r/>
            <w:r>
              <w:rPr>
                <w:rFonts w:ascii="Arial" w:hAnsi="Arial" w:eastAsia="Arial"/>
                <w:b w:val="0"/>
                <w:i w:val="0"/>
                <w:sz w:val="18"/>
              </w:rPr>
              <w:t>Dirección y partes interesadas</w:t>
            </w:r>
          </w:p>
        </w:tc>
      </w:tr>
    </w:tbl>
    <w:p/>
    <w:p>
      <w:pPr>
        <w:spacing w:line="360" w:lineRule="auto" w:after="160" w:before="0"/>
      </w:pPr>
      <w:r>
        <w:rPr>
          <w:rFonts w:ascii="Arial" w:hAnsi="Arial" w:eastAsia="Arial"/>
          <w:b/>
          <w:i w:val="0"/>
          <w:sz w:val="24"/>
        </w:rPr>
        <w:t>2.4 Hitos clave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val="clear"/>
          </w:tcPr>
          <w:p>
            <w:pPr>
              <w:spacing w:line="240" w:lineRule="auto" w:after="40" w:before="40"/>
            </w:pPr>
            <w:r/>
            <w:r>
              <w:rPr>
                <w:rFonts w:ascii="Arial" w:hAnsi="Arial" w:eastAsia="Arial"/>
                <w:b/>
                <w:i w:val="0"/>
                <w:sz w:val="18"/>
              </w:rPr>
              <w:t>Hito</w:t>
            </w:r>
          </w:p>
        </w:tc>
        <w:tc>
          <w:tcPr>
            <w:tcW w:type="dxa" w:w="2351"/>
            <w:shd w:fill="D9E2F3" w:val="clear"/>
          </w:tcPr>
          <w:p>
            <w:pPr>
              <w:spacing w:line="240" w:lineRule="auto" w:after="40" w:before="40"/>
            </w:pPr>
            <w:r/>
            <w:r>
              <w:rPr>
                <w:rFonts w:ascii="Arial" w:hAnsi="Arial" w:eastAsia="Arial"/>
                <w:b/>
                <w:i w:val="0"/>
                <w:sz w:val="18"/>
              </w:rPr>
              <w:t>Fecha</w:t>
            </w:r>
          </w:p>
        </w:tc>
        <w:tc>
          <w:tcPr>
            <w:tcW w:type="dxa" w:w="2351"/>
            <w:shd w:fill="D9E2F3" w:val="clear"/>
          </w:tcPr>
          <w:p>
            <w:pPr>
              <w:spacing w:line="240" w:lineRule="auto" w:after="40" w:before="40"/>
            </w:pPr>
            <w:r/>
            <w:r>
              <w:rPr>
                <w:rFonts w:ascii="Arial" w:hAnsi="Arial" w:eastAsia="Arial"/>
                <w:b/>
                <w:i w:val="0"/>
                <w:sz w:val="18"/>
              </w:rPr>
              <w:t>Entregable de control</w:t>
            </w:r>
          </w:p>
        </w:tc>
        <w:tc>
          <w:tcPr>
            <w:tcW w:type="dxa" w:w="2351"/>
            <w:shd w:fill="D9E2F3" w:val="clear"/>
          </w:tcPr>
          <w:p>
            <w:pPr>
              <w:spacing w:line="240" w:lineRule="auto" w:after="40" w:before="40"/>
            </w:pPr>
            <w:r/>
            <w:r>
              <w:rPr>
                <w:rFonts w:ascii="Arial" w:hAnsi="Arial" w:eastAsia="Arial"/>
                <w:b/>
                <w:i w:val="0"/>
                <w:sz w:val="18"/>
              </w:rPr>
              <w:t>Criterio de cierre</w:t>
            </w:r>
          </w:p>
        </w:tc>
      </w:tr>
      <w:tr>
        <w:tc>
          <w:tcPr>
            <w:tcW w:type="dxa" w:w="2351"/>
          </w:tcPr>
          <w:p>
            <w:pPr>
              <w:spacing w:line="240" w:lineRule="auto" w:after="40" w:before="40"/>
            </w:pPr>
            <w:r/>
            <w:r>
              <w:rPr>
                <w:rFonts w:ascii="Arial" w:hAnsi="Arial" w:eastAsia="Arial"/>
                <w:b w:val="0"/>
                <w:i w:val="0"/>
                <w:sz w:val="18"/>
              </w:rPr>
              <w:t>Inventario validado</w:t>
            </w:r>
          </w:p>
        </w:tc>
        <w:tc>
          <w:tcPr>
            <w:tcW w:type="dxa" w:w="2351"/>
          </w:tcPr>
          <w:p>
            <w:pPr>
              <w:spacing w:line="240" w:lineRule="auto" w:after="40" w:before="40"/>
            </w:pPr>
            <w:r/>
            <w:r>
              <w:rPr>
                <w:rFonts w:ascii="Arial" w:hAnsi="Arial" w:eastAsia="Arial"/>
                <w:b w:val="0"/>
                <w:i w:val="0"/>
                <w:sz w:val="18"/>
              </w:rPr>
              <w:t>19 de octubre de 2026</w:t>
            </w:r>
          </w:p>
        </w:tc>
        <w:tc>
          <w:tcPr>
            <w:tcW w:type="dxa" w:w="2351"/>
          </w:tcPr>
          <w:p>
            <w:pPr>
              <w:spacing w:line="240" w:lineRule="auto" w:after="40" w:before="40"/>
            </w:pPr>
            <w:r/>
            <w:r>
              <w:rPr>
                <w:rFonts w:ascii="Arial" w:hAnsi="Arial" w:eastAsia="Arial"/>
                <w:b w:val="0"/>
                <w:i w:val="0"/>
                <w:sz w:val="18"/>
              </w:rPr>
              <w:t>Un inventario confiable</w:t>
            </w:r>
          </w:p>
        </w:tc>
        <w:tc>
          <w:tcPr>
            <w:tcW w:type="dxa" w:w="2351"/>
          </w:tcPr>
          <w:p>
            <w:pPr>
              <w:spacing w:line="240" w:lineRule="auto" w:after="40" w:before="40"/>
            </w:pPr>
            <w:r/>
            <w:r>
              <w:rPr>
                <w:rFonts w:ascii="Arial" w:hAnsi="Arial" w:eastAsia="Arial"/>
                <w:b w:val="0"/>
                <w:i w:val="0"/>
                <w:sz w:val="18"/>
              </w:rPr>
              <w:t>Aceptación; sin segundo punto de acopio en esta ventana</w:t>
            </w:r>
          </w:p>
        </w:tc>
      </w:tr>
      <w:tr>
        <w:tc>
          <w:tcPr>
            <w:tcW w:type="dxa" w:w="2351"/>
          </w:tcPr>
          <w:p>
            <w:pPr>
              <w:spacing w:line="240" w:lineRule="auto" w:after="40" w:before="40"/>
            </w:pPr>
            <w:r/>
            <w:r>
              <w:rPr>
                <w:rFonts w:ascii="Arial" w:hAnsi="Arial" w:eastAsia="Arial"/>
                <w:b w:val="0"/>
                <w:i w:val="0"/>
                <w:sz w:val="18"/>
              </w:rPr>
              <w:t>Tablero operativo</w:t>
            </w:r>
          </w:p>
        </w:tc>
        <w:tc>
          <w:tcPr>
            <w:tcW w:type="dxa" w:w="2351"/>
          </w:tcPr>
          <w:p>
            <w:pPr>
              <w:spacing w:line="240" w:lineRule="auto" w:after="40" w:before="40"/>
            </w:pPr>
            <w:r/>
            <w:r>
              <w:rPr>
                <w:rFonts w:ascii="Arial" w:hAnsi="Arial" w:eastAsia="Arial"/>
                <w:b w:val="0"/>
                <w:i w:val="0"/>
                <w:sz w:val="18"/>
              </w:rPr>
              <w:t>9 de noviembre de 2026</w:t>
            </w:r>
          </w:p>
        </w:tc>
        <w:tc>
          <w:tcPr>
            <w:tcW w:type="dxa" w:w="2351"/>
          </w:tcPr>
          <w:p>
            <w:pPr>
              <w:spacing w:line="240" w:lineRule="auto" w:after="40" w:before="40"/>
            </w:pPr>
            <w:r/>
            <w:r>
              <w:rPr>
                <w:rFonts w:ascii="Arial" w:hAnsi="Arial" w:eastAsia="Arial"/>
                <w:b w:val="0"/>
                <w:i w:val="0"/>
                <w:sz w:val="18"/>
              </w:rPr>
              <w:t>Visibilidad sobre el inventario</w:t>
            </w:r>
          </w:p>
        </w:tc>
        <w:tc>
          <w:tcPr>
            <w:tcW w:type="dxa" w:w="2351"/>
          </w:tcPr>
          <w:p>
            <w:pPr>
              <w:spacing w:line="240" w:lineRule="auto" w:after="40" w:before="40"/>
            </w:pPr>
            <w:r/>
            <w:r>
              <w:rPr>
                <w:rFonts w:ascii="Arial" w:hAnsi="Arial" w:eastAsia="Arial"/>
                <w:b w:val="0"/>
                <w:i w:val="0"/>
                <w:sz w:val="18"/>
              </w:rPr>
              <w:t>Tablero usable; priorización visual condicionada a capacidad</w:t>
            </w:r>
          </w:p>
        </w:tc>
      </w:tr>
      <w:tr>
        <w:tc>
          <w:tcPr>
            <w:tcW w:type="dxa" w:w="2351"/>
          </w:tcPr>
          <w:p>
            <w:pPr>
              <w:spacing w:line="240" w:lineRule="auto" w:after="40" w:before="40"/>
            </w:pPr>
            <w:r/>
            <w:r>
              <w:rPr>
                <w:rFonts w:ascii="Arial" w:hAnsi="Arial" w:eastAsia="Arial"/>
                <w:b w:val="0"/>
                <w:i w:val="0"/>
                <w:sz w:val="18"/>
              </w:rPr>
              <w:t>Tickets, pruebas y reporte</w:t>
            </w:r>
          </w:p>
        </w:tc>
        <w:tc>
          <w:tcPr>
            <w:tcW w:type="dxa" w:w="2351"/>
          </w:tcPr>
          <w:p>
            <w:pPr>
              <w:spacing w:line="240" w:lineRule="auto" w:after="40" w:before="40"/>
            </w:pPr>
            <w:r/>
            <w:r>
              <w:rPr>
                <w:rFonts w:ascii="Arial" w:hAnsi="Arial" w:eastAsia="Arial"/>
                <w:b w:val="0"/>
                <w:i w:val="0"/>
                <w:sz w:val="18"/>
              </w:rPr>
              <w:t>4 de diciembre de 2026</w:t>
            </w:r>
          </w:p>
        </w:tc>
        <w:tc>
          <w:tcPr>
            <w:tcW w:type="dxa" w:w="2351"/>
          </w:tcPr>
          <w:p>
            <w:pPr>
              <w:spacing w:line="240" w:lineRule="auto" w:after="40" w:before="40"/>
            </w:pPr>
            <w:r/>
            <w:r>
              <w:rPr>
                <w:rFonts w:ascii="Arial" w:hAnsi="Arial" w:eastAsia="Arial"/>
                <w:b w:val="0"/>
                <w:i w:val="0"/>
                <w:sz w:val="18"/>
              </w:rPr>
              <w:t>Tickets, prueba y primer reporte</w:t>
            </w:r>
          </w:p>
        </w:tc>
        <w:tc>
          <w:tcPr>
            <w:tcW w:type="dxa" w:w="2351"/>
          </w:tcPr>
          <w:p>
            <w:pPr>
              <w:spacing w:line="240" w:lineRule="auto" w:after="40" w:before="40"/>
            </w:pPr>
            <w:r/>
            <w:r>
              <w:rPr>
                <w:rFonts w:ascii="Arial" w:hAnsi="Arial" w:eastAsia="Arial"/>
                <w:b w:val="0"/>
                <w:i w:val="0"/>
                <w:sz w:val="18"/>
              </w:rPr>
              <w:t>Sin desplazar el cierre a la semana de entrega</w:t>
            </w:r>
          </w:p>
        </w:tc>
      </w:tr>
      <w:tr>
        <w:tc>
          <w:tcPr>
            <w:tcW w:type="dxa" w:w="2351"/>
          </w:tcPr>
          <w:p>
            <w:pPr>
              <w:spacing w:line="240" w:lineRule="auto" w:after="40" w:before="40"/>
            </w:pPr>
            <w:r/>
            <w:r>
              <w:rPr>
                <w:rFonts w:ascii="Arial" w:hAnsi="Arial" w:eastAsia="Arial"/>
                <w:b w:val="0"/>
                <w:i w:val="0"/>
                <w:sz w:val="18"/>
              </w:rPr>
              <w:t>Cierre y traspaso</w:t>
            </w:r>
          </w:p>
        </w:tc>
        <w:tc>
          <w:tcPr>
            <w:tcW w:type="dxa" w:w="2351"/>
          </w:tcPr>
          <w:p>
            <w:pPr>
              <w:spacing w:line="240" w:lineRule="auto" w:after="40" w:before="40"/>
            </w:pPr>
            <w:r/>
            <w:r>
              <w:rPr>
                <w:rFonts w:ascii="Arial" w:hAnsi="Arial" w:eastAsia="Arial"/>
                <w:b w:val="0"/>
                <w:i w:val="0"/>
                <w:sz w:val="18"/>
              </w:rPr>
              <w:t>5 al 9 de diciembre de 2026</w:t>
            </w:r>
          </w:p>
        </w:tc>
        <w:tc>
          <w:tcPr>
            <w:tcW w:type="dxa" w:w="2351"/>
          </w:tcPr>
          <w:p>
            <w:pPr>
              <w:spacing w:line="240" w:lineRule="auto" w:after="40" w:before="40"/>
            </w:pPr>
            <w:r/>
            <w:r>
              <w:rPr>
                <w:rFonts w:ascii="Arial" w:hAnsi="Arial" w:eastAsia="Arial"/>
                <w:b w:val="0"/>
                <w:i w:val="0"/>
                <w:sz w:val="18"/>
              </w:rPr>
              <w:t>Entrega formal</w:t>
            </w:r>
          </w:p>
        </w:tc>
        <w:tc>
          <w:tcPr>
            <w:tcW w:type="dxa" w:w="2351"/>
          </w:tcPr>
          <w:p>
            <w:pPr>
              <w:spacing w:line="240" w:lineRule="auto" w:after="40" w:before="40"/>
            </w:pPr>
            <w:r/>
            <w:r>
              <w:rPr>
                <w:rFonts w:ascii="Arial" w:hAnsi="Arial" w:eastAsia="Arial"/>
                <w:b w:val="0"/>
                <w:i w:val="0"/>
                <w:sz w:val="18"/>
              </w:rPr>
              <w:t>Sin construcción de alcance pendiente</w:t>
            </w:r>
          </w:p>
        </w:tc>
      </w:tr>
    </w:tbl>
    <w:p/>
    <w:p>
      <w:pPr>
        <w:spacing w:line="360" w:lineRule="auto" w:after="120" w:before="0"/>
      </w:pPr>
      <w:r>
        <w:rPr>
          <w:rFonts w:ascii="Arial" w:hAnsi="Arial" w:eastAsia="Arial"/>
          <w:b w:val="0"/>
          <w:i w:val="0"/>
          <w:sz w:val="24"/>
        </w:rPr>
        <w:t>Un atraso de hasta tres días hábiles en un hito puede documentarse con causa; un atraso mayor no se absorbe con trabajo nuevo en la semana siguiente.</w:t>
      </w:r>
    </w:p>
    <w:p>
      <w:pPr>
        <w:spacing w:line="360" w:lineRule="auto" w:after="160" w:before="0"/>
      </w:pPr>
      <w:r>
        <w:rPr>
          <w:rFonts w:ascii="Arial" w:hAnsi="Arial" w:eastAsia="Arial"/>
          <w:b/>
          <w:i w:val="0"/>
          <w:sz w:val="24"/>
        </w:rPr>
        <w:t>2.5 Indicadores estratégicos</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pPr>
              <w:spacing w:line="240" w:lineRule="auto" w:after="40" w:before="40"/>
            </w:pPr>
            <w:r/>
            <w:r>
              <w:rPr>
                <w:rFonts w:ascii="Arial" w:hAnsi="Arial" w:eastAsia="Arial"/>
                <w:b/>
                <w:i w:val="0"/>
                <w:sz w:val="18"/>
              </w:rPr>
              <w:t>Indicador</w:t>
            </w:r>
          </w:p>
        </w:tc>
        <w:tc>
          <w:tcPr>
            <w:tcW w:type="dxa" w:w="3135"/>
            <w:shd w:fill="D9E2F3" w:val="clear"/>
          </w:tcPr>
          <w:p>
            <w:pPr>
              <w:spacing w:line="240" w:lineRule="auto" w:after="40" w:before="40"/>
            </w:pPr>
            <w:r/>
            <w:r>
              <w:rPr>
                <w:rFonts w:ascii="Arial" w:hAnsi="Arial" w:eastAsia="Arial"/>
                <w:b/>
                <w:i w:val="0"/>
                <w:sz w:val="18"/>
              </w:rPr>
              <w:t>Definición operativa</w:t>
            </w:r>
          </w:p>
        </w:tc>
        <w:tc>
          <w:tcPr>
            <w:tcW w:type="dxa" w:w="3135"/>
            <w:shd w:fill="D9E2F3" w:val="clear"/>
          </w:tcPr>
          <w:p>
            <w:pPr>
              <w:spacing w:line="240" w:lineRule="auto" w:after="40" w:before="40"/>
            </w:pPr>
            <w:r/>
            <w:r>
              <w:rPr>
                <w:rFonts w:ascii="Arial" w:hAnsi="Arial" w:eastAsia="Arial"/>
                <w:b/>
                <w:i w:val="0"/>
                <w:sz w:val="18"/>
              </w:rPr>
              <w:t>Umbral / acción</w:t>
            </w:r>
          </w:p>
        </w:tc>
      </w:tr>
      <w:tr>
        <w:tc>
          <w:tcPr>
            <w:tcW w:type="dxa" w:w="3135"/>
          </w:tcPr>
          <w:p>
            <w:pPr>
              <w:spacing w:line="240" w:lineRule="auto" w:after="40" w:before="40"/>
            </w:pPr>
            <w:r/>
            <w:r>
              <w:rPr>
                <w:rFonts w:ascii="Arial" w:hAnsi="Arial" w:eastAsia="Arial"/>
                <w:b w:val="0"/>
                <w:i w:val="0"/>
                <w:sz w:val="18"/>
              </w:rPr>
              <w:t>Cumplimiento de hitos</w:t>
            </w:r>
          </w:p>
        </w:tc>
        <w:tc>
          <w:tcPr>
            <w:tcW w:type="dxa" w:w="3135"/>
          </w:tcPr>
          <w:p>
            <w:pPr>
              <w:spacing w:line="240" w:lineRule="auto" w:after="40" w:before="40"/>
            </w:pPr>
            <w:r/>
            <w:r>
              <w:rPr>
                <w:rFonts w:ascii="Arial" w:hAnsi="Arial" w:eastAsia="Arial"/>
                <w:b w:val="0"/>
                <w:i w:val="0"/>
                <w:sz w:val="18"/>
              </w:rPr>
              <w:t>Entrega de los cuatro cortes con criterio del acta</w:t>
            </w:r>
          </w:p>
        </w:tc>
        <w:tc>
          <w:tcPr>
            <w:tcW w:type="dxa" w:w="3135"/>
          </w:tcPr>
          <w:p>
            <w:pPr>
              <w:spacing w:line="240" w:lineRule="auto" w:after="40" w:before="40"/>
            </w:pPr>
            <w:r/>
            <w:r>
              <w:rPr>
                <w:rFonts w:ascii="Arial" w:hAnsi="Arial" w:eastAsia="Arial"/>
                <w:b w:val="0"/>
                <w:i w:val="0"/>
                <w:sz w:val="18"/>
              </w:rPr>
              <w:t>4/4 o causa si atraso ≤ 3 días</w:t>
            </w:r>
          </w:p>
        </w:tc>
      </w:tr>
      <w:tr>
        <w:tc>
          <w:tcPr>
            <w:tcW w:type="dxa" w:w="3135"/>
          </w:tcPr>
          <w:p>
            <w:pPr>
              <w:spacing w:line="240" w:lineRule="auto" w:after="40" w:before="40"/>
            </w:pPr>
            <w:r/>
            <w:r>
              <w:rPr>
                <w:rFonts w:ascii="Arial" w:hAnsi="Arial" w:eastAsia="Arial"/>
                <w:b w:val="0"/>
                <w:i w:val="0"/>
                <w:sz w:val="18"/>
              </w:rPr>
              <w:t>Integridad plan–ejecución</w:t>
            </w:r>
          </w:p>
        </w:tc>
        <w:tc>
          <w:tcPr>
            <w:tcW w:type="dxa" w:w="3135"/>
          </w:tcPr>
          <w:p>
            <w:pPr>
              <w:spacing w:line="240" w:lineRule="auto" w:after="40" w:before="40"/>
            </w:pPr>
            <w:r/>
            <w:r>
              <w:rPr>
                <w:rFonts w:ascii="Arial" w:hAnsi="Arial" w:eastAsia="Arial"/>
                <w:b w:val="0"/>
                <w:i w:val="0"/>
                <w:sz w:val="18"/>
              </w:rPr>
              <w:t>Ruta crítica sin desvío no registrado</w:t>
            </w:r>
          </w:p>
        </w:tc>
        <w:tc>
          <w:tcPr>
            <w:tcW w:type="dxa" w:w="3135"/>
          </w:tcPr>
          <w:p>
            <w:pPr>
              <w:spacing w:line="240" w:lineRule="auto" w:after="40" w:before="40"/>
            </w:pPr>
            <w:r/>
            <w:r>
              <w:rPr>
                <w:rFonts w:ascii="Arial" w:hAnsi="Arial" w:eastAsia="Arial"/>
                <w:b w:val="0"/>
                <w:i w:val="0"/>
                <w:sz w:val="18"/>
              </w:rPr>
              <w:t>100 % en hitos; replanificar, no parchar solo el flujo</w:t>
            </w:r>
          </w:p>
        </w:tc>
      </w:tr>
      <w:tr>
        <w:tc>
          <w:tcPr>
            <w:tcW w:type="dxa" w:w="3135"/>
          </w:tcPr>
          <w:p>
            <w:pPr>
              <w:spacing w:line="240" w:lineRule="auto" w:after="40" w:before="40"/>
            </w:pPr>
            <w:r/>
            <w:r>
              <w:rPr>
                <w:rFonts w:ascii="Arial" w:hAnsi="Arial" w:eastAsia="Arial"/>
                <w:b w:val="0"/>
                <w:i w:val="0"/>
                <w:sz w:val="18"/>
              </w:rPr>
              <w:t>Alcance verificable</w:t>
            </w:r>
          </w:p>
        </w:tc>
        <w:tc>
          <w:tcPr>
            <w:tcW w:type="dxa" w:w="3135"/>
          </w:tcPr>
          <w:p>
            <w:pPr>
              <w:spacing w:line="240" w:lineRule="auto" w:after="40" w:before="40"/>
            </w:pPr>
            <w:r/>
            <w:r>
              <w:rPr>
                <w:rFonts w:ascii="Arial" w:hAnsi="Arial" w:eastAsia="Arial"/>
                <w:b w:val="0"/>
                <w:i w:val="0"/>
                <w:sz w:val="18"/>
              </w:rPr>
              <w:t>Paquetes con evidencia de aceptación</w:t>
            </w:r>
          </w:p>
        </w:tc>
        <w:tc>
          <w:tcPr>
            <w:tcW w:type="dxa" w:w="3135"/>
          </w:tcPr>
          <w:p>
            <w:pPr>
              <w:spacing w:line="240" w:lineRule="auto" w:after="40" w:before="40"/>
            </w:pPr>
            <w:r/>
            <w:r>
              <w:rPr>
                <w:rFonts w:ascii="Arial" w:hAnsi="Arial" w:eastAsia="Arial"/>
                <w:b w:val="0"/>
                <w:i w:val="0"/>
                <w:sz w:val="18"/>
              </w:rPr>
              <w:t>No cerrar hito sin evidencia; reapertura si puntaje &lt; 4</w:t>
            </w:r>
          </w:p>
        </w:tc>
      </w:tr>
      <w:tr>
        <w:tc>
          <w:tcPr>
            <w:tcW w:type="dxa" w:w="3135"/>
          </w:tcPr>
          <w:p>
            <w:pPr>
              <w:spacing w:line="240" w:lineRule="auto" w:after="40" w:before="40"/>
            </w:pPr>
            <w:r/>
            <w:r>
              <w:rPr>
                <w:rFonts w:ascii="Arial" w:hAnsi="Arial" w:eastAsia="Arial"/>
                <w:b w:val="0"/>
                <w:i w:val="0"/>
                <w:sz w:val="18"/>
              </w:rPr>
              <w:t>Techo presupuestario</w:t>
            </w:r>
          </w:p>
        </w:tc>
        <w:tc>
          <w:tcPr>
            <w:tcW w:type="dxa" w:w="3135"/>
          </w:tcPr>
          <w:p>
            <w:pPr>
              <w:spacing w:line="240" w:lineRule="auto" w:after="40" w:before="40"/>
            </w:pPr>
            <w:r/>
            <w:r>
              <w:rPr>
                <w:rFonts w:ascii="Arial" w:hAnsi="Arial" w:eastAsia="Arial"/>
                <w:b w:val="0"/>
                <w:i w:val="0"/>
                <w:sz w:val="18"/>
              </w:rPr>
              <w:t>Desviación acumulada vs techo vigente</w:t>
            </w:r>
          </w:p>
        </w:tc>
        <w:tc>
          <w:tcPr>
            <w:tcW w:type="dxa" w:w="3135"/>
          </w:tcPr>
          <w:p>
            <w:pPr>
              <w:spacing w:line="240" w:lineRule="auto" w:after="40" w:before="40"/>
            </w:pPr>
            <w:r/>
            <w:r>
              <w:rPr>
                <w:rFonts w:ascii="Arial" w:hAnsi="Arial" w:eastAsia="Arial"/>
                <w:b w:val="0"/>
                <w:i w:val="0"/>
                <w:sz w:val="18"/>
              </w:rPr>
              <w:t>Detener gasto no comprometido si desviación &gt; 10 %</w:t>
            </w:r>
          </w:p>
        </w:tc>
      </w:tr>
      <w:tr>
        <w:tc>
          <w:tcPr>
            <w:tcW w:type="dxa" w:w="3135"/>
          </w:tcPr>
          <w:p>
            <w:pPr>
              <w:spacing w:line="240" w:lineRule="auto" w:after="40" w:before="40"/>
            </w:pPr>
            <w:r/>
            <w:r>
              <w:rPr>
                <w:rFonts w:ascii="Arial" w:hAnsi="Arial" w:eastAsia="Arial"/>
                <w:b w:val="0"/>
                <w:i w:val="0"/>
                <w:sz w:val="18"/>
              </w:rPr>
              <w:t>Cambios bajo control</w:t>
            </w:r>
          </w:p>
        </w:tc>
        <w:tc>
          <w:tcPr>
            <w:tcW w:type="dxa" w:w="3135"/>
          </w:tcPr>
          <w:p>
            <w:pPr>
              <w:spacing w:line="240" w:lineRule="auto" w:after="40" w:before="40"/>
            </w:pPr>
            <w:r/>
            <w:r>
              <w:rPr>
                <w:rFonts w:ascii="Arial" w:hAnsi="Arial" w:eastAsia="Arial"/>
                <w:b w:val="0"/>
                <w:i w:val="0"/>
                <w:sz w:val="18"/>
              </w:rPr>
              <w:t>Cambios constructivos con plan actualizado antes de construir</w:t>
            </w:r>
          </w:p>
        </w:tc>
        <w:tc>
          <w:tcPr>
            <w:tcW w:type="dxa" w:w="3135"/>
          </w:tcPr>
          <w:p>
            <w:pPr>
              <w:spacing w:line="240" w:lineRule="auto" w:after="40" w:before="40"/>
            </w:pPr>
            <w:r/>
            <w:r>
              <w:rPr>
                <w:rFonts w:ascii="Arial" w:hAnsi="Arial" w:eastAsia="Arial"/>
                <w:b w:val="0"/>
                <w:i w:val="0"/>
                <w:sz w:val="18"/>
              </w:rPr>
              <w:t>Cero construcción sin registro</w:t>
            </w:r>
          </w:p>
        </w:tc>
      </w:tr>
    </w:tbl>
    <w:p/>
    <w:p>
      <w:pPr>
        <w:spacing w:line="360" w:lineRule="auto" w:after="160" w:before="0"/>
      </w:pPr>
      <w:r>
        <w:rPr>
          <w:rFonts w:ascii="Arial" w:hAnsi="Arial" w:eastAsia="Arial"/>
          <w:b/>
          <w:i w:val="0"/>
          <w:sz w:val="24"/>
        </w:rPr>
        <w:t>2.6 Indicadores operativos</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pPr>
              <w:spacing w:line="240" w:lineRule="auto" w:after="40" w:before="40"/>
            </w:pPr>
            <w:r/>
            <w:r>
              <w:rPr>
                <w:rFonts w:ascii="Arial" w:hAnsi="Arial" w:eastAsia="Arial"/>
                <w:b/>
                <w:i w:val="0"/>
                <w:sz w:val="18"/>
              </w:rPr>
              <w:t>Indicador</w:t>
            </w:r>
          </w:p>
        </w:tc>
        <w:tc>
          <w:tcPr>
            <w:tcW w:type="dxa" w:w="3135"/>
            <w:shd w:fill="D9E2F3" w:val="clear"/>
          </w:tcPr>
          <w:p>
            <w:pPr>
              <w:spacing w:line="240" w:lineRule="auto" w:after="40" w:before="40"/>
            </w:pPr>
            <w:r/>
            <w:r>
              <w:rPr>
                <w:rFonts w:ascii="Arial" w:hAnsi="Arial" w:eastAsia="Arial"/>
                <w:b/>
                <w:i w:val="0"/>
                <w:sz w:val="18"/>
              </w:rPr>
              <w:t>Definición operativa</w:t>
            </w:r>
          </w:p>
        </w:tc>
        <w:tc>
          <w:tcPr>
            <w:tcW w:type="dxa" w:w="3135"/>
            <w:shd w:fill="D9E2F3" w:val="clear"/>
          </w:tcPr>
          <w:p>
            <w:pPr>
              <w:spacing w:line="240" w:lineRule="auto" w:after="40" w:before="40"/>
            </w:pPr>
            <w:r/>
            <w:r>
              <w:rPr>
                <w:rFonts w:ascii="Arial" w:hAnsi="Arial" w:eastAsia="Arial"/>
                <w:b/>
                <w:i w:val="0"/>
                <w:sz w:val="18"/>
              </w:rPr>
              <w:t>Umbral / acción</w:t>
            </w:r>
          </w:p>
        </w:tc>
      </w:tr>
      <w:tr>
        <w:tc>
          <w:tcPr>
            <w:tcW w:type="dxa" w:w="3135"/>
          </w:tcPr>
          <w:p>
            <w:pPr>
              <w:spacing w:line="240" w:lineRule="auto" w:after="40" w:before="40"/>
            </w:pPr>
            <w:r/>
            <w:r>
              <w:rPr>
                <w:rFonts w:ascii="Arial" w:hAnsi="Arial" w:eastAsia="Arial"/>
                <w:b w:val="0"/>
                <w:i w:val="0"/>
                <w:sz w:val="18"/>
              </w:rPr>
              <w:t>Defectos / líneas cambiadas</w:t>
            </w:r>
          </w:p>
        </w:tc>
        <w:tc>
          <w:tcPr>
            <w:tcW w:type="dxa" w:w="3135"/>
          </w:tcPr>
          <w:p>
            <w:pPr>
              <w:spacing w:line="240" w:lineRule="auto" w:after="40" w:before="40"/>
            </w:pPr>
            <w:r/>
            <w:r>
              <w:rPr>
                <w:rFonts w:ascii="Arial" w:hAnsi="Arial" w:eastAsia="Arial"/>
                <w:b w:val="0"/>
                <w:i w:val="0"/>
                <w:sz w:val="18"/>
              </w:rPr>
              <w:t>Defectos del periodo sobre líneas modificadas</w:t>
            </w:r>
          </w:p>
        </w:tc>
        <w:tc>
          <w:tcPr>
            <w:tcW w:type="dxa" w:w="3135"/>
          </w:tcPr>
          <w:p>
            <w:pPr>
              <w:spacing w:line="240" w:lineRule="auto" w:after="40" w:before="40"/>
            </w:pPr>
            <w:r/>
            <w:r>
              <w:rPr>
                <w:rFonts w:ascii="Arial" w:hAnsi="Arial" w:eastAsia="Arial"/>
                <w:b w:val="0"/>
                <w:i w:val="0"/>
                <w:sz w:val="18"/>
              </w:rPr>
              <w:t>≤ 5; cero bloqueos abiertos</w:t>
            </w:r>
          </w:p>
        </w:tc>
      </w:tr>
      <w:tr>
        <w:tc>
          <w:tcPr>
            <w:tcW w:type="dxa" w:w="3135"/>
          </w:tcPr>
          <w:p>
            <w:pPr>
              <w:spacing w:line="240" w:lineRule="auto" w:after="40" w:before="40"/>
            </w:pPr>
            <w:r/>
            <w:r>
              <w:rPr>
                <w:rFonts w:ascii="Arial" w:hAnsi="Arial" w:eastAsia="Arial"/>
                <w:b w:val="0"/>
                <w:i w:val="0"/>
                <w:sz w:val="18"/>
              </w:rPr>
              <w:t>Tasa de reapertura (desarrollo)</w:t>
            </w:r>
          </w:p>
        </w:tc>
        <w:tc>
          <w:tcPr>
            <w:tcW w:type="dxa" w:w="3135"/>
          </w:tcPr>
          <w:p>
            <w:pPr>
              <w:spacing w:line="240" w:lineRule="auto" w:after="40" w:before="40"/>
            </w:pPr>
            <w:r/>
            <w:r>
              <w:rPr>
                <w:rFonts w:ascii="Arial" w:hAnsi="Arial" w:eastAsia="Arial"/>
                <w:b w:val="0"/>
                <w:i w:val="0"/>
                <w:sz w:val="18"/>
              </w:rPr>
              <w:t>Ítems reabiertos / cerrados del sprint</w:t>
            </w:r>
          </w:p>
        </w:tc>
        <w:tc>
          <w:tcPr>
            <w:tcW w:type="dxa" w:w="3135"/>
          </w:tcPr>
          <w:p>
            <w:pPr>
              <w:spacing w:line="240" w:lineRule="auto" w:after="40" w:before="40"/>
            </w:pPr>
            <w:r/>
            <w:r>
              <w:rPr>
                <w:rFonts w:ascii="Arial" w:hAnsi="Arial" w:eastAsia="Arial"/>
                <w:b w:val="0"/>
                <w:i w:val="0"/>
                <w:sz w:val="18"/>
              </w:rPr>
              <w:t>&lt; 20 %</w:t>
            </w:r>
          </w:p>
        </w:tc>
      </w:tr>
      <w:tr>
        <w:tc>
          <w:tcPr>
            <w:tcW w:type="dxa" w:w="3135"/>
          </w:tcPr>
          <w:p>
            <w:pPr>
              <w:spacing w:line="240" w:lineRule="auto" w:after="40" w:before="40"/>
            </w:pPr>
            <w:r/>
            <w:r>
              <w:rPr>
                <w:rFonts w:ascii="Arial" w:hAnsi="Arial" w:eastAsia="Arial"/>
                <w:b w:val="0"/>
                <w:i w:val="0"/>
                <w:sz w:val="18"/>
              </w:rPr>
              <w:t>Cumplimiento de sprint</w:t>
            </w:r>
          </w:p>
        </w:tc>
        <w:tc>
          <w:tcPr>
            <w:tcW w:type="dxa" w:w="3135"/>
          </w:tcPr>
          <w:p>
            <w:pPr>
              <w:spacing w:line="240" w:lineRule="auto" w:after="40" w:before="40"/>
            </w:pPr>
            <w:r/>
            <w:r>
              <w:rPr>
                <w:rFonts w:ascii="Arial" w:hAnsi="Arial" w:eastAsia="Arial"/>
                <w:b w:val="0"/>
                <w:i w:val="0"/>
                <w:sz w:val="18"/>
              </w:rPr>
              <w:t>Historias comprometidas completadas</w:t>
            </w:r>
          </w:p>
        </w:tc>
        <w:tc>
          <w:tcPr>
            <w:tcW w:type="dxa" w:w="3135"/>
          </w:tcPr>
          <w:p>
            <w:pPr>
              <w:spacing w:line="240" w:lineRule="auto" w:after="40" w:before="40"/>
            </w:pPr>
            <w:r/>
            <w:r>
              <w:rPr>
                <w:rFonts w:ascii="Arial" w:hAnsi="Arial" w:eastAsia="Arial"/>
                <w:b w:val="0"/>
                <w:i w:val="0"/>
                <w:sz w:val="18"/>
              </w:rPr>
              <w:t>≥ 80 %</w:t>
            </w:r>
          </w:p>
        </w:tc>
      </w:tr>
      <w:tr>
        <w:tc>
          <w:tcPr>
            <w:tcW w:type="dxa" w:w="3135"/>
          </w:tcPr>
          <w:p>
            <w:pPr>
              <w:spacing w:line="240" w:lineRule="auto" w:after="40" w:before="40"/>
            </w:pPr>
            <w:r/>
            <w:r>
              <w:rPr>
                <w:rFonts w:ascii="Arial" w:hAnsi="Arial" w:eastAsia="Arial"/>
                <w:b w:val="0"/>
                <w:i w:val="0"/>
                <w:sz w:val="18"/>
              </w:rPr>
              <w:t>Trabajo en curso y bloqueos</w:t>
            </w:r>
          </w:p>
        </w:tc>
        <w:tc>
          <w:tcPr>
            <w:tcW w:type="dxa" w:w="3135"/>
          </w:tcPr>
          <w:p>
            <w:pPr>
              <w:spacing w:line="240" w:lineRule="auto" w:after="40" w:before="40"/>
            </w:pPr>
            <w:r/>
            <w:r>
              <w:rPr>
                <w:rFonts w:ascii="Arial" w:hAnsi="Arial" w:eastAsia="Arial"/>
                <w:b w:val="0"/>
                <w:i w:val="0"/>
                <w:sz w:val="18"/>
              </w:rPr>
              <w:t>Tarjetas abiertas por persona; días en bloqueado</w:t>
            </w:r>
          </w:p>
        </w:tc>
        <w:tc>
          <w:tcPr>
            <w:tcW w:type="dxa" w:w="3135"/>
          </w:tcPr>
          <w:p>
            <w:pPr>
              <w:spacing w:line="240" w:lineRule="auto" w:after="40" w:before="40"/>
            </w:pPr>
            <w:r/>
            <w:r>
              <w:rPr>
                <w:rFonts w:ascii="Arial" w:hAnsi="Arial" w:eastAsia="Arial"/>
                <w:b w:val="0"/>
                <w:i w:val="0"/>
                <w:sz w:val="18"/>
              </w:rPr>
              <w:t>Máx. 2/persona; &gt; 5 días → reasignación formal</w:t>
            </w:r>
          </w:p>
        </w:tc>
      </w:tr>
      <w:tr>
        <w:tc>
          <w:tcPr>
            <w:tcW w:type="dxa" w:w="3135"/>
          </w:tcPr>
          <w:p>
            <w:pPr>
              <w:spacing w:line="240" w:lineRule="auto" w:after="40" w:before="40"/>
            </w:pPr>
            <w:r/>
            <w:r>
              <w:rPr>
                <w:rFonts w:ascii="Arial" w:hAnsi="Arial" w:eastAsia="Arial"/>
                <w:b w:val="0"/>
                <w:i w:val="0"/>
                <w:sz w:val="18"/>
              </w:rPr>
              <w:t>Integridad de estados de kit</w:t>
            </w:r>
          </w:p>
        </w:tc>
        <w:tc>
          <w:tcPr>
            <w:tcW w:type="dxa" w:w="3135"/>
          </w:tcPr>
          <w:p>
            <w:pPr>
              <w:spacing w:line="240" w:lineRule="auto" w:after="40" w:before="40"/>
            </w:pPr>
            <w:r/>
            <w:r>
              <w:rPr>
                <w:rFonts w:ascii="Arial" w:hAnsi="Arial" w:eastAsia="Arial"/>
                <w:b w:val="0"/>
                <w:i w:val="0"/>
                <w:sz w:val="18"/>
              </w:rPr>
              <w:t>Kits con hogar, responsable y estado coherente</w:t>
            </w:r>
          </w:p>
        </w:tc>
        <w:tc>
          <w:tcPr>
            <w:tcW w:type="dxa" w:w="3135"/>
          </w:tcPr>
          <w:p>
            <w:pPr>
              <w:spacing w:line="240" w:lineRule="auto" w:after="40" w:before="40"/>
            </w:pPr>
            <w:r/>
            <w:r>
              <w:rPr>
                <w:rFonts w:ascii="Arial" w:hAnsi="Arial" w:eastAsia="Arial"/>
                <w:b w:val="0"/>
                <w:i w:val="0"/>
                <w:sz w:val="18"/>
              </w:rPr>
              <w:t>Sin cierre de hito si falla</w:t>
            </w:r>
          </w:p>
        </w:tc>
      </w:tr>
      <w:tr>
        <w:tc>
          <w:tcPr>
            <w:tcW w:type="dxa" w:w="3135"/>
          </w:tcPr>
          <w:p>
            <w:pPr>
              <w:spacing w:line="240" w:lineRule="auto" w:after="40" w:before="40"/>
            </w:pPr>
            <w:r/>
            <w:r>
              <w:rPr>
                <w:rFonts w:ascii="Arial" w:hAnsi="Arial" w:eastAsia="Arial"/>
                <w:b w:val="0"/>
                <w:i w:val="0"/>
                <w:sz w:val="18"/>
              </w:rPr>
              <w:t>Atención de fallas y soporte</w:t>
            </w:r>
          </w:p>
        </w:tc>
        <w:tc>
          <w:tcPr>
            <w:tcW w:type="dxa" w:w="3135"/>
          </w:tcPr>
          <w:p>
            <w:pPr>
              <w:spacing w:line="240" w:lineRule="auto" w:after="40" w:before="40"/>
            </w:pPr>
            <w:r/>
            <w:r>
              <w:rPr>
                <w:rFonts w:ascii="Arial" w:hAnsi="Arial" w:eastAsia="Arial"/>
                <w:b w:val="0"/>
                <w:i w:val="0"/>
                <w:sz w:val="18"/>
              </w:rPr>
              <w:t>Tiempos; consultas fuera del sistema; contención del canal</w:t>
            </w:r>
          </w:p>
        </w:tc>
        <w:tc>
          <w:tcPr>
            <w:tcW w:type="dxa" w:w="3135"/>
          </w:tcPr>
          <w:p>
            <w:pPr>
              <w:spacing w:line="240" w:lineRule="auto" w:after="40" w:before="40"/>
            </w:pPr>
            <w:r/>
            <w:r>
              <w:rPr>
                <w:rFonts w:ascii="Arial" w:hAnsi="Arial" w:eastAsia="Arial"/>
                <w:b w:val="0"/>
                <w:i w:val="0"/>
                <w:sz w:val="18"/>
              </w:rPr>
              <w:t>Mejora tras tablero usable; baja contención congela ampliación</w:t>
            </w:r>
          </w:p>
        </w:tc>
      </w:tr>
      <w:tr>
        <w:tc>
          <w:tcPr>
            <w:tcW w:type="dxa" w:w="3135"/>
          </w:tcPr>
          <w:p>
            <w:pPr>
              <w:spacing w:line="240" w:lineRule="auto" w:after="40" w:before="40"/>
            </w:pPr>
            <w:r/>
            <w:r>
              <w:rPr>
                <w:rFonts w:ascii="Arial" w:hAnsi="Arial" w:eastAsia="Arial"/>
                <w:b w:val="0"/>
                <w:i w:val="0"/>
                <w:sz w:val="18"/>
              </w:rPr>
              <w:t>Coordinación y datos en terreno</w:t>
            </w:r>
          </w:p>
        </w:tc>
        <w:tc>
          <w:tcPr>
            <w:tcW w:type="dxa" w:w="3135"/>
          </w:tcPr>
          <w:p>
            <w:pPr>
              <w:spacing w:line="240" w:lineRule="auto" w:after="40" w:before="40"/>
            </w:pPr>
            <w:r/>
            <w:r>
              <w:rPr>
                <w:rFonts w:ascii="Arial" w:hAnsi="Arial" w:eastAsia="Arial"/>
                <w:b w:val="0"/>
                <w:i w:val="0"/>
                <w:sz w:val="18"/>
              </w:rPr>
              <w:t>Puntaje de contraparte; sync por lote</w:t>
            </w:r>
          </w:p>
        </w:tc>
        <w:tc>
          <w:tcPr>
            <w:tcW w:type="dxa" w:w="3135"/>
          </w:tcPr>
          <w:p>
            <w:pPr>
              <w:spacing w:line="240" w:lineRule="auto" w:after="40" w:before="40"/>
            </w:pPr>
            <w:r/>
            <w:r>
              <w:rPr>
                <w:rFonts w:ascii="Arial" w:hAnsi="Arial" w:eastAsia="Arial"/>
                <w:b w:val="0"/>
                <w:i w:val="0"/>
                <w:sz w:val="18"/>
              </w:rPr>
              <w:t>Puntaje ≥ 4; sin ampliar alcance sin control de cambios</w:t>
            </w:r>
          </w:p>
        </w:tc>
      </w:tr>
    </w:tbl>
    <w:p/>
    <w:p>
      <w:pPr>
        <w:spacing w:line="360" w:lineRule="auto" w:after="160" w:before="0"/>
      </w:pPr>
      <w:r>
        <w:rPr>
          <w:rFonts w:ascii="Arial" w:hAnsi="Arial" w:eastAsia="Arial"/>
          <w:b/>
          <w:i w:val="0"/>
          <w:sz w:val="28"/>
        </w:rPr>
        <w:t>3. Gestión del cambio</w:t>
      </w:r>
    </w:p>
    <w:p>
      <w:pPr>
        <w:spacing w:line="360" w:lineRule="auto" w:after="160" w:before="0"/>
      </w:pPr>
      <w:r>
        <w:rPr>
          <w:rFonts w:ascii="Arial" w:hAnsi="Arial" w:eastAsia="Arial"/>
          <w:b/>
          <w:i w:val="0"/>
          <w:sz w:val="24"/>
        </w:rPr>
        <w:t>3.1 Enfoque</w:t>
      </w:r>
    </w:p>
    <w:p>
      <w:pPr>
        <w:spacing w:line="360" w:lineRule="auto" w:after="120" w:before="0"/>
      </w:pPr>
      <w:r>
        <w:rPr>
          <w:rFonts w:ascii="Arial" w:hAnsi="Arial" w:eastAsia="Arial"/>
          <w:b w:val="0"/>
          <w:i w:val="0"/>
          <w:sz w:val="24"/>
        </w:rPr>
        <w:t>La gestión del cambio asegura que las modificaciones a alcance, plazo, costo o capacidad no alteren de facto el plan inicial. Toda solicitud relevante se identifica, evalúa (impacto, costo, tiempo, factibilidad y riesgo), decide y, si se aprueba, actualiza los instrumentos del plan antes de construirse (Project Management Institute [PMI], 2017). La prioridad no se define por la insistencia del solicitante, sino por el efecto sobre los hitos y el techo.</w:t>
      </w:r>
    </w:p>
    <w:p>
      <w:pPr>
        <w:spacing w:line="360" w:lineRule="auto" w:after="160" w:before="0"/>
      </w:pPr>
      <w:r>
        <w:rPr>
          <w:rFonts w:ascii="Arial" w:hAnsi="Arial" w:eastAsia="Arial"/>
          <w:b/>
          <w:i w:val="0"/>
          <w:sz w:val="24"/>
        </w:rPr>
        <w:t>3.2 Línea base previa a la ampliación de soporte asistido</w:t>
      </w:r>
    </w:p>
    <w:p>
      <w:pPr>
        <w:spacing w:line="360" w:lineRule="auto" w:after="120" w:before="0"/>
      </w:pPr>
      <w:r>
        <w:rPr>
          <w:rFonts w:ascii="Arial" w:hAnsi="Arial" w:eastAsia="Arial"/>
          <w:b w:val="0"/>
          <w:i w:val="0"/>
          <w:sz w:val="24"/>
        </w:rPr>
        <w:t>La línea base del piloto contempla inventario, tablero, tickets y reporte; soporte predominantemente humano; presupuesto US$ 20.700; equipo de cuatro roles; límite de dos trabajos en curso por persona. La ampliación relevante a nivel de proyecto es la incorporación condicionada de priorización visual en el tablero, un canal de asistencia con preguntas frecuentes (fase 1) y un depósito mínimo de información operativa, con redimensionamiento presupuestario asociado.</w:t>
      </w:r>
    </w:p>
    <w:p>
      <w:pPr>
        <w:spacing w:line="360" w:lineRule="auto" w:after="160" w:before="0"/>
      </w:pPr>
      <w:r>
        <w:rPr>
          <w:rFonts w:ascii="Arial" w:hAnsi="Arial" w:eastAsia="Arial"/>
          <w:b/>
          <w:i w:val="0"/>
          <w:sz w:val="24"/>
        </w:rPr>
        <w:t>3.3 Eventualidades, estrategias y justificación</w:t>
      </w:r>
    </w:p>
    <w:p>
      <w:pPr>
        <w:spacing w:line="360" w:lineRule="auto" w:after="120" w:before="0"/>
      </w:pPr>
      <w:r>
        <w:rPr>
          <w:rFonts w:ascii="Arial" w:hAnsi="Arial" w:eastAsia="Arial"/>
          <w:b w:val="0"/>
          <w:i w:val="0"/>
          <w:sz w:val="24"/>
        </w:rPr>
        <w:t>Se documentan las situaciones de cambio de nivel proyecto y la decisión informada.</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pPr>
              <w:spacing w:line="240" w:lineRule="auto" w:after="40" w:before="40"/>
            </w:pPr>
            <w:r/>
            <w:r>
              <w:rPr>
                <w:rFonts w:ascii="Arial" w:hAnsi="Arial" w:eastAsia="Arial"/>
                <w:b/>
                <w:i w:val="0"/>
                <w:sz w:val="18"/>
              </w:rPr>
              <w:t>Eventualidad</w:t>
            </w:r>
          </w:p>
        </w:tc>
        <w:tc>
          <w:tcPr>
            <w:tcW w:type="dxa" w:w="3135"/>
            <w:shd w:fill="D9E2F3" w:val="clear"/>
          </w:tcPr>
          <w:p>
            <w:pPr>
              <w:spacing w:line="240" w:lineRule="auto" w:after="40" w:before="40"/>
            </w:pPr>
            <w:r/>
            <w:r>
              <w:rPr>
                <w:rFonts w:ascii="Arial" w:hAnsi="Arial" w:eastAsia="Arial"/>
                <w:b/>
                <w:i w:val="0"/>
                <w:sz w:val="18"/>
              </w:rPr>
              <w:t>Estrategia adoptada</w:t>
            </w:r>
          </w:p>
        </w:tc>
        <w:tc>
          <w:tcPr>
            <w:tcW w:type="dxa" w:w="3135"/>
            <w:shd w:fill="D9E2F3" w:val="clear"/>
          </w:tcPr>
          <w:p>
            <w:pPr>
              <w:spacing w:line="240" w:lineRule="auto" w:after="40" w:before="40"/>
            </w:pPr>
            <w:r/>
            <w:r>
              <w:rPr>
                <w:rFonts w:ascii="Arial" w:hAnsi="Arial" w:eastAsia="Arial"/>
                <w:b/>
                <w:i w:val="0"/>
                <w:sz w:val="18"/>
              </w:rPr>
              <w:t>Justificación respecto del plan inicial</w:t>
            </w:r>
          </w:p>
        </w:tc>
      </w:tr>
      <w:tr>
        <w:tc>
          <w:tcPr>
            <w:tcW w:type="dxa" w:w="3135"/>
          </w:tcPr>
          <w:p>
            <w:pPr>
              <w:spacing w:line="240" w:lineRule="auto" w:after="40" w:before="40"/>
            </w:pPr>
            <w:r/>
            <w:r>
              <w:rPr>
                <w:rFonts w:ascii="Arial" w:hAnsi="Arial" w:eastAsia="Arial"/>
                <w:b w:val="0"/>
                <w:i w:val="0"/>
                <w:sz w:val="18"/>
              </w:rPr>
              <w:t>Evidencia fotográfica en cada ticket</w:t>
            </w:r>
          </w:p>
        </w:tc>
        <w:tc>
          <w:tcPr>
            <w:tcW w:type="dxa" w:w="3135"/>
          </w:tcPr>
          <w:p>
            <w:pPr>
              <w:spacing w:line="240" w:lineRule="auto" w:after="40" w:before="40"/>
            </w:pPr>
            <w:r/>
            <w:r>
              <w:rPr>
                <w:rFonts w:ascii="Arial" w:hAnsi="Arial" w:eastAsia="Arial"/>
                <w:b w:val="0"/>
                <w:i w:val="0"/>
                <w:sz w:val="18"/>
              </w:rPr>
              <w:t>Rechazo de la formulación con archivo; aceptación condicionada de prioridad y nota textual</w:t>
            </w:r>
          </w:p>
        </w:tc>
        <w:tc>
          <w:tcPr>
            <w:tcW w:type="dxa" w:w="3135"/>
          </w:tcPr>
          <w:p>
            <w:pPr>
              <w:spacing w:line="240" w:lineRule="auto" w:after="40" w:before="40"/>
            </w:pPr>
            <w:r/>
            <w:r>
              <w:rPr>
                <w:rFonts w:ascii="Arial" w:hAnsi="Arial" w:eastAsia="Arial"/>
                <w:b w:val="0"/>
                <w:i w:val="0"/>
                <w:sz w:val="18"/>
              </w:rPr>
              <w:t>La fotografía implica almacenamiento y esfuerzo que desplazan pruebas o reporte; la prioridad textual mejora la operación sin gasto nuevo</w:t>
            </w:r>
          </w:p>
        </w:tc>
      </w:tr>
      <w:tr>
        <w:tc>
          <w:tcPr>
            <w:tcW w:type="dxa" w:w="3135"/>
          </w:tcPr>
          <w:p>
            <w:pPr>
              <w:spacing w:line="240" w:lineRule="auto" w:after="40" w:before="40"/>
            </w:pPr>
            <w:r/>
            <w:r>
              <w:rPr>
                <w:rFonts w:ascii="Arial" w:hAnsi="Arial" w:eastAsia="Arial"/>
                <w:b w:val="0"/>
                <w:i w:val="0"/>
                <w:sz w:val="18"/>
              </w:rPr>
              <w:t>Segundo punto de acopio en la fecha del primer corte</w:t>
            </w:r>
          </w:p>
        </w:tc>
        <w:tc>
          <w:tcPr>
            <w:tcW w:type="dxa" w:w="3135"/>
          </w:tcPr>
          <w:p>
            <w:pPr>
              <w:spacing w:line="240" w:lineRule="auto" w:after="40" w:before="40"/>
            </w:pPr>
            <w:r/>
            <w:r>
              <w:rPr>
                <w:rFonts w:ascii="Arial" w:hAnsi="Arial" w:eastAsia="Arial"/>
                <w:b w:val="0"/>
                <w:i w:val="0"/>
                <w:sz w:val="18"/>
              </w:rPr>
              <w:t>No implementación en la ventana del piloto</w:t>
            </w:r>
          </w:p>
        </w:tc>
        <w:tc>
          <w:tcPr>
            <w:tcW w:type="dxa" w:w="3135"/>
          </w:tcPr>
          <w:p>
            <w:pPr>
              <w:spacing w:line="240" w:lineRule="auto" w:after="40" w:before="40"/>
            </w:pPr>
            <w:r/>
            <w:r>
              <w:rPr>
                <w:rFonts w:ascii="Arial" w:hAnsi="Arial" w:eastAsia="Arial"/>
                <w:b w:val="0"/>
                <w:i w:val="0"/>
                <w:sz w:val="18"/>
              </w:rPr>
              <w:t>El hito del 19 de octubre compromete un inventario validado; duplicar el punto altera alcance y arrastra el tablero</w:t>
            </w:r>
          </w:p>
        </w:tc>
      </w:tr>
      <w:tr>
        <w:tc>
          <w:tcPr>
            <w:tcW w:type="dxa" w:w="3135"/>
          </w:tcPr>
          <w:p>
            <w:pPr>
              <w:spacing w:line="240" w:lineRule="auto" w:after="40" w:before="40"/>
            </w:pPr>
            <w:r/>
            <w:r>
              <w:rPr>
                <w:rFonts w:ascii="Arial" w:hAnsi="Arial" w:eastAsia="Arial"/>
                <w:b w:val="0"/>
                <w:i w:val="0"/>
                <w:sz w:val="18"/>
              </w:rPr>
              <w:t>Servicio externo de pago para el reporte</w:t>
            </w:r>
          </w:p>
        </w:tc>
        <w:tc>
          <w:tcPr>
            <w:tcW w:type="dxa" w:w="3135"/>
          </w:tcPr>
          <w:p>
            <w:pPr>
              <w:spacing w:line="240" w:lineRule="auto" w:after="40" w:before="40"/>
            </w:pPr>
            <w:r/>
            <w:r>
              <w:rPr>
                <w:rFonts w:ascii="Arial" w:hAnsi="Arial" w:eastAsia="Arial"/>
                <w:b w:val="0"/>
                <w:i w:val="0"/>
                <w:sz w:val="18"/>
              </w:rPr>
              <w:t>Rechazo; reporte con medios del equipo</w:t>
            </w:r>
          </w:p>
        </w:tc>
        <w:tc>
          <w:tcPr>
            <w:tcW w:type="dxa" w:w="3135"/>
          </w:tcPr>
          <w:p>
            <w:pPr>
              <w:spacing w:line="240" w:lineRule="auto" w:after="40" w:before="40"/>
            </w:pPr>
            <w:r/>
            <w:r>
              <w:rPr>
                <w:rFonts w:ascii="Arial" w:hAnsi="Arial" w:eastAsia="Arial"/>
                <w:b w:val="0"/>
                <w:i w:val="0"/>
                <w:sz w:val="18"/>
              </w:rPr>
              <w:t>Gasto no comprometido y dependencia en semana de cierre</w:t>
            </w:r>
          </w:p>
        </w:tc>
      </w:tr>
      <w:tr>
        <w:tc>
          <w:tcPr>
            <w:tcW w:type="dxa" w:w="3135"/>
          </w:tcPr>
          <w:p>
            <w:pPr>
              <w:spacing w:line="240" w:lineRule="auto" w:after="40" w:before="40"/>
            </w:pPr>
            <w:r/>
            <w:r>
              <w:rPr>
                <w:rFonts w:ascii="Arial" w:hAnsi="Arial" w:eastAsia="Arial"/>
                <w:b w:val="0"/>
                <w:i w:val="0"/>
                <w:sz w:val="18"/>
              </w:rPr>
              <w:t>Reasignación informal ante bloqueos prolongados</w:t>
            </w:r>
          </w:p>
        </w:tc>
        <w:tc>
          <w:tcPr>
            <w:tcW w:type="dxa" w:w="3135"/>
          </w:tcPr>
          <w:p>
            <w:pPr>
              <w:spacing w:line="240" w:lineRule="auto" w:after="40" w:before="40"/>
            </w:pPr>
            <w:r/>
            <w:r>
              <w:rPr>
                <w:rFonts w:ascii="Arial" w:hAnsi="Arial" w:eastAsia="Arial"/>
                <w:b w:val="0"/>
                <w:i w:val="0"/>
                <w:sz w:val="18"/>
              </w:rPr>
              <w:t>Regla formal: bloqueo &gt; 5 días se resuelve o se reasigna entre los cuatro roles, actualizando el plan</w:t>
            </w:r>
          </w:p>
        </w:tc>
        <w:tc>
          <w:tcPr>
            <w:tcW w:type="dxa" w:w="3135"/>
          </w:tcPr>
          <w:p>
            <w:pPr>
              <w:spacing w:line="240" w:lineRule="auto" w:after="40" w:before="40"/>
            </w:pPr>
            <w:r/>
            <w:r>
              <w:rPr>
                <w:rFonts w:ascii="Arial" w:hAnsi="Arial" w:eastAsia="Arial"/>
                <w:b w:val="0"/>
                <w:i w:val="0"/>
                <w:sz w:val="18"/>
              </w:rPr>
              <w:t>Evita divergencia entre flujo operativo y Project Libre/Excel</w:t>
            </w:r>
          </w:p>
        </w:tc>
      </w:tr>
      <w:tr>
        <w:tc>
          <w:tcPr>
            <w:tcW w:type="dxa" w:w="3135"/>
          </w:tcPr>
          <w:p>
            <w:pPr>
              <w:spacing w:line="240" w:lineRule="auto" w:after="40" w:before="40"/>
            </w:pPr>
            <w:r/>
            <w:r>
              <w:rPr>
                <w:rFonts w:ascii="Arial" w:hAnsi="Arial" w:eastAsia="Arial"/>
                <w:b w:val="0"/>
                <w:i w:val="0"/>
                <w:sz w:val="18"/>
              </w:rPr>
              <w:t>Priorización visual en el tablero</w:t>
            </w:r>
          </w:p>
        </w:tc>
        <w:tc>
          <w:tcPr>
            <w:tcW w:type="dxa" w:w="3135"/>
          </w:tcPr>
          <w:p>
            <w:pPr>
              <w:spacing w:line="240" w:lineRule="auto" w:after="40" w:before="40"/>
            </w:pPr>
            <w:r/>
            <w:r>
              <w:rPr>
                <w:rFonts w:ascii="Arial" w:hAnsi="Arial" w:eastAsia="Arial"/>
                <w:b w:val="0"/>
                <w:i w:val="0"/>
                <w:sz w:val="18"/>
              </w:rPr>
              <w:t>Aprobación condicionada a capacidad; sin alterar estados del kit</w:t>
            </w:r>
          </w:p>
        </w:tc>
        <w:tc>
          <w:tcPr>
            <w:tcW w:type="dxa" w:w="3135"/>
          </w:tcPr>
          <w:p>
            <w:pPr>
              <w:spacing w:line="240" w:lineRule="auto" w:after="40" w:before="40"/>
            </w:pPr>
            <w:r/>
            <w:r>
              <w:rPr>
                <w:rFonts w:ascii="Arial" w:hAnsi="Arial" w:eastAsia="Arial"/>
                <w:b w:val="0"/>
                <w:i w:val="0"/>
                <w:sz w:val="18"/>
              </w:rPr>
              <w:t>Reduce consultas informales; prerrequisito de un canal que escale a persona</w:t>
            </w:r>
          </w:p>
        </w:tc>
      </w:tr>
      <w:tr>
        <w:tc>
          <w:tcPr>
            <w:tcW w:type="dxa" w:w="3135"/>
          </w:tcPr>
          <w:p>
            <w:pPr>
              <w:spacing w:line="240" w:lineRule="auto" w:after="40" w:before="40"/>
            </w:pPr>
            <w:r/>
            <w:r>
              <w:rPr>
                <w:rFonts w:ascii="Arial" w:hAnsi="Arial" w:eastAsia="Arial"/>
                <w:b w:val="0"/>
                <w:i w:val="0"/>
                <w:sz w:val="18"/>
              </w:rPr>
              <w:t>Asistencia automatizada (FAQ y canal con escalamiento humano)</w:t>
            </w:r>
          </w:p>
        </w:tc>
        <w:tc>
          <w:tcPr>
            <w:tcW w:type="dxa" w:w="3135"/>
          </w:tcPr>
          <w:p>
            <w:pPr>
              <w:spacing w:line="240" w:lineRule="auto" w:after="40" w:before="40"/>
            </w:pPr>
            <w:r/>
            <w:r>
              <w:rPr>
                <w:rFonts w:ascii="Arial" w:hAnsi="Arial" w:eastAsia="Arial"/>
                <w:b w:val="0"/>
                <w:i w:val="0"/>
                <w:sz w:val="18"/>
              </w:rPr>
              <w:t>Solo fase 1: condicionada a tablero usable, priorización visual, tope de API y corpus curado; no cierra tickets ni cambia estados sola</w:t>
            </w:r>
          </w:p>
        </w:tc>
        <w:tc>
          <w:tcPr>
            <w:tcW w:type="dxa" w:w="3135"/>
          </w:tcPr>
          <w:p>
            <w:pPr>
              <w:spacing w:line="240" w:lineRule="auto" w:after="40" w:before="40"/>
            </w:pPr>
            <w:r/>
            <w:r>
              <w:rPr>
                <w:rFonts w:ascii="Arial" w:hAnsi="Arial" w:eastAsia="Arial"/>
                <w:b w:val="0"/>
                <w:i w:val="0"/>
                <w:sz w:val="18"/>
              </w:rPr>
              <w:t>Atiende presión de soporte sin app ciudadana ni reemplazo total del técnico</w:t>
            </w:r>
          </w:p>
        </w:tc>
      </w:tr>
      <w:tr>
        <w:tc>
          <w:tcPr>
            <w:tcW w:type="dxa" w:w="3135"/>
          </w:tcPr>
          <w:p>
            <w:pPr>
              <w:spacing w:line="240" w:lineRule="auto" w:after="40" w:before="40"/>
            </w:pPr>
            <w:r/>
            <w:r>
              <w:rPr>
                <w:rFonts w:ascii="Arial" w:hAnsi="Arial" w:eastAsia="Arial"/>
                <w:b w:val="0"/>
                <w:i w:val="0"/>
                <w:sz w:val="18"/>
              </w:rPr>
              <w:t>App ciudadana, monitoreo de flota con IA, modelo propio, lago de datos completo</w:t>
            </w:r>
          </w:p>
        </w:tc>
        <w:tc>
          <w:tcPr>
            <w:tcW w:type="dxa" w:w="3135"/>
          </w:tcPr>
          <w:p>
            <w:pPr>
              <w:spacing w:line="240" w:lineRule="auto" w:after="40" w:before="40"/>
            </w:pPr>
            <w:r/>
            <w:r>
              <w:rPr>
                <w:rFonts w:ascii="Arial" w:hAnsi="Arial" w:eastAsia="Arial"/>
                <w:b w:val="0"/>
                <w:i w:val="0"/>
                <w:sz w:val="18"/>
              </w:rPr>
              <w:t>Identificación futura; rechazo en sep–dic 2026</w:t>
            </w:r>
          </w:p>
        </w:tc>
        <w:tc>
          <w:tcPr>
            <w:tcW w:type="dxa" w:w="3135"/>
          </w:tcPr>
          <w:p>
            <w:pPr>
              <w:spacing w:line="240" w:lineRule="auto" w:after="40" w:before="40"/>
            </w:pPr>
            <w:r/>
            <w:r>
              <w:rPr>
                <w:rFonts w:ascii="Arial" w:hAnsi="Arial" w:eastAsia="Arial"/>
                <w:b w:val="0"/>
                <w:i w:val="0"/>
                <w:sz w:val="18"/>
              </w:rPr>
              <w:t>Exceden la EDT del piloto y el techo</w:t>
            </w:r>
          </w:p>
        </w:tc>
      </w:tr>
      <w:tr>
        <w:tc>
          <w:tcPr>
            <w:tcW w:type="dxa" w:w="3135"/>
          </w:tcPr>
          <w:p>
            <w:pPr>
              <w:spacing w:line="240" w:lineRule="auto" w:after="40" w:before="40"/>
            </w:pPr>
            <w:r/>
            <w:r>
              <w:rPr>
                <w:rFonts w:ascii="Arial" w:hAnsi="Arial" w:eastAsia="Arial"/>
                <w:b w:val="0"/>
                <w:i w:val="0"/>
                <w:sz w:val="18"/>
              </w:rPr>
              <w:t>Depósito mínimo de información operativa</w:t>
            </w:r>
          </w:p>
        </w:tc>
        <w:tc>
          <w:tcPr>
            <w:tcW w:type="dxa" w:w="3135"/>
          </w:tcPr>
          <w:p>
            <w:pPr>
              <w:spacing w:line="240" w:lineRule="auto" w:after="40" w:before="40"/>
            </w:pPr>
            <w:r/>
            <w:r>
              <w:rPr>
                <w:rFonts w:ascii="Arial" w:hAnsi="Arial" w:eastAsia="Arial"/>
                <w:b w:val="0"/>
                <w:i w:val="0"/>
                <w:sz w:val="18"/>
              </w:rPr>
              <w:t>Condicionado a minimización, roles e ISO/IEC 27701; sin PII innecesaria en modelos externos</w:t>
            </w:r>
          </w:p>
        </w:tc>
        <w:tc>
          <w:tcPr>
            <w:tcW w:type="dxa" w:w="3135"/>
          </w:tcPr>
          <w:p>
            <w:pPr>
              <w:spacing w:line="240" w:lineRule="auto" w:after="40" w:before="40"/>
            </w:pPr>
            <w:r/>
            <w:r>
              <w:rPr>
                <w:rFonts w:ascii="Arial" w:hAnsi="Arial" w:eastAsia="Arial"/>
                <w:b w:val="0"/>
                <w:i w:val="0"/>
                <w:sz w:val="18"/>
              </w:rPr>
              <w:t>Sostiene el canal y el reporte sin autorizar lakehouse empresarial</w:t>
            </w:r>
          </w:p>
        </w:tc>
      </w:tr>
    </w:tbl>
    <w:p/>
    <w:p>
      <w:pPr>
        <w:spacing w:line="360" w:lineRule="auto" w:after="160" w:before="0"/>
      </w:pPr>
      <w:r>
        <w:rPr>
          <w:rFonts w:ascii="Arial" w:hAnsi="Arial" w:eastAsia="Arial"/>
          <w:b/>
          <w:i w:val="0"/>
          <w:sz w:val="24"/>
        </w:rPr>
        <w:t>3.4 Orden de adopción de cambios constructivos</w:t>
      </w:r>
    </w:p>
    <w:p>
      <w:pPr>
        <w:spacing w:line="360" w:lineRule="auto" w:after="120" w:before="0"/>
      </w:pPr>
      <w:r>
        <w:rPr>
          <w:rFonts w:ascii="Arial" w:hAnsi="Arial" w:eastAsia="Arial"/>
          <w:b w:val="0"/>
          <w:i w:val="0"/>
          <w:sz w:val="24"/>
        </w:rPr>
        <w:t>1. Regla de capacidad y registro (permanente).</w:t>
      </w:r>
    </w:p>
    <w:p>
      <w:pPr>
        <w:spacing w:line="360" w:lineRule="auto" w:after="120" w:before="0"/>
      </w:pPr>
      <w:r>
        <w:rPr>
          <w:rFonts w:ascii="Arial" w:hAnsi="Arial" w:eastAsia="Arial"/>
          <w:b w:val="0"/>
          <w:i w:val="0"/>
          <w:sz w:val="24"/>
        </w:rPr>
        <w:t>2. Priorización visual en el tablero (hacia el hito de noviembre).</w:t>
      </w:r>
    </w:p>
    <w:p>
      <w:pPr>
        <w:spacing w:line="360" w:lineRule="auto" w:after="120" w:before="0"/>
      </w:pPr>
      <w:r>
        <w:rPr>
          <w:rFonts w:ascii="Arial" w:hAnsi="Arial" w:eastAsia="Arial"/>
          <w:b w:val="0"/>
          <w:i w:val="0"/>
          <w:sz w:val="24"/>
        </w:rPr>
        <w:t>3. Canal de asistencia fase 1 y depósito mínimo (tras tablero usable; no en semana de cierre).</w:t>
      </w:r>
    </w:p>
    <w:p>
      <w:pPr>
        <w:spacing w:line="360" w:lineRule="auto" w:after="120" w:before="0"/>
      </w:pPr>
      <w:r>
        <w:rPr>
          <w:rFonts w:ascii="Arial" w:hAnsi="Arial" w:eastAsia="Arial"/>
          <w:b w:val="0"/>
          <w:i w:val="0"/>
          <w:sz w:val="24"/>
        </w:rPr>
        <w:t>4. Prioridad y nota en el ticket, solo si existe capacidad en el sprint del hito de diciembre.</w:t>
      </w:r>
    </w:p>
    <w:p>
      <w:pPr>
        <w:spacing w:line="360" w:lineRule="auto" w:after="120" w:before="0"/>
      </w:pPr>
      <w:r>
        <w:rPr>
          <w:rFonts w:ascii="Arial" w:hAnsi="Arial" w:eastAsia="Arial"/>
          <w:b w:val="0"/>
          <w:i w:val="0"/>
          <w:sz w:val="24"/>
        </w:rPr>
        <w:t>5. Fuera de ventana: segundo punto de inventario, servicio externo de reporte, fotografía en ticket, app ciudadana, lago de datos completo y monitoreo de flota con IA.</w:t>
      </w:r>
    </w:p>
    <w:p>
      <w:pPr>
        <w:spacing w:line="360" w:lineRule="auto" w:after="160" w:before="0"/>
      </w:pPr>
      <w:r>
        <w:rPr>
          <w:rFonts w:ascii="Arial" w:hAnsi="Arial" w:eastAsia="Arial"/>
          <w:b/>
          <w:i w:val="0"/>
          <w:sz w:val="24"/>
        </w:rPr>
        <w:t>3.5 Efecto conjunto sobre costo, tiempo y esfuerzo</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pPr>
              <w:spacing w:line="240" w:lineRule="auto" w:after="40" w:before="40"/>
            </w:pPr>
            <w:r/>
            <w:r>
              <w:rPr>
                <w:rFonts w:ascii="Arial" w:hAnsi="Arial" w:eastAsia="Arial"/>
                <w:b/>
                <w:i w:val="0"/>
                <w:sz w:val="18"/>
              </w:rPr>
              <w:t>Dimensión</w:t>
            </w:r>
          </w:p>
        </w:tc>
        <w:tc>
          <w:tcPr>
            <w:tcW w:type="dxa" w:w="3135"/>
            <w:shd w:fill="D9E2F3" w:val="clear"/>
          </w:tcPr>
          <w:p>
            <w:pPr>
              <w:spacing w:line="240" w:lineRule="auto" w:after="40" w:before="40"/>
            </w:pPr>
            <w:r/>
            <w:r>
              <w:rPr>
                <w:rFonts w:ascii="Arial" w:hAnsi="Arial" w:eastAsia="Arial"/>
                <w:b/>
                <w:i w:val="0"/>
                <w:sz w:val="18"/>
              </w:rPr>
              <w:t>Línea base</w:t>
            </w:r>
          </w:p>
        </w:tc>
        <w:tc>
          <w:tcPr>
            <w:tcW w:type="dxa" w:w="3135"/>
            <w:shd w:fill="D9E2F3" w:val="clear"/>
          </w:tcPr>
          <w:p>
            <w:pPr>
              <w:spacing w:line="240" w:lineRule="auto" w:after="40" w:before="40"/>
            </w:pPr>
            <w:r/>
            <w:r>
              <w:rPr>
                <w:rFonts w:ascii="Arial" w:hAnsi="Arial" w:eastAsia="Arial"/>
                <w:b/>
                <w:i w:val="0"/>
                <w:sz w:val="18"/>
              </w:rPr>
              <w:t>Con paquete de cambios aprobado</w:t>
            </w:r>
          </w:p>
        </w:tc>
      </w:tr>
      <w:tr>
        <w:tc>
          <w:tcPr>
            <w:tcW w:type="dxa" w:w="3135"/>
          </w:tcPr>
          <w:p>
            <w:pPr>
              <w:spacing w:line="240" w:lineRule="auto" w:after="40" w:before="40"/>
            </w:pPr>
            <w:r/>
            <w:r>
              <w:rPr>
                <w:rFonts w:ascii="Arial" w:hAnsi="Arial" w:eastAsia="Arial"/>
                <w:b w:val="0"/>
                <w:i w:val="0"/>
                <w:sz w:val="18"/>
              </w:rPr>
              <w:t>Presupuesto techo</w:t>
            </w:r>
          </w:p>
        </w:tc>
        <w:tc>
          <w:tcPr>
            <w:tcW w:type="dxa" w:w="3135"/>
          </w:tcPr>
          <w:p>
            <w:pPr>
              <w:spacing w:line="240" w:lineRule="auto" w:after="40" w:before="40"/>
            </w:pPr>
            <w:r/>
            <w:r>
              <w:rPr>
                <w:rFonts w:ascii="Arial" w:hAnsi="Arial" w:eastAsia="Arial"/>
                <w:b w:val="0"/>
                <w:i w:val="0"/>
                <w:sz w:val="18"/>
              </w:rPr>
              <w:t>US$ 20.700</w:t>
            </w:r>
          </w:p>
        </w:tc>
        <w:tc>
          <w:tcPr>
            <w:tcW w:type="dxa" w:w="3135"/>
          </w:tcPr>
          <w:p>
            <w:pPr>
              <w:spacing w:line="240" w:lineRule="auto" w:after="40" w:before="40"/>
            </w:pPr>
            <w:r/>
            <w:r>
              <w:rPr>
                <w:rFonts w:ascii="Arial" w:hAnsi="Arial" w:eastAsia="Arial"/>
                <w:b w:val="0"/>
                <w:i w:val="0"/>
                <w:sz w:val="18"/>
              </w:rPr>
              <w:t>US$ 21.200 (redimensionamiento propuesto)</w:t>
            </w:r>
          </w:p>
        </w:tc>
      </w:tr>
      <w:tr>
        <w:tc>
          <w:tcPr>
            <w:tcW w:type="dxa" w:w="3135"/>
          </w:tcPr>
          <w:p>
            <w:pPr>
              <w:spacing w:line="240" w:lineRule="auto" w:after="40" w:before="40"/>
            </w:pPr>
            <w:r/>
            <w:r>
              <w:rPr>
                <w:rFonts w:ascii="Arial" w:hAnsi="Arial" w:eastAsia="Arial"/>
                <w:b w:val="0"/>
                <w:i w:val="0"/>
                <w:sz w:val="18"/>
              </w:rPr>
              <w:t>Partidas nuevas</w:t>
            </w:r>
          </w:p>
        </w:tc>
        <w:tc>
          <w:tcPr>
            <w:tcW w:type="dxa" w:w="3135"/>
          </w:tcPr>
          <w:p>
            <w:pPr>
              <w:spacing w:line="240" w:lineRule="auto" w:after="40" w:before="40"/>
            </w:pPr>
            <w:r/>
            <w:r>
              <w:rPr>
                <w:rFonts w:ascii="Arial" w:hAnsi="Arial" w:eastAsia="Arial"/>
                <w:b w:val="0"/>
                <w:i w:val="0"/>
                <w:sz w:val="18"/>
              </w:rPr>
              <w:t>Sin API de modelo ni módulo de chat en el desglose inicial</w:t>
            </w:r>
          </w:p>
        </w:tc>
        <w:tc>
          <w:tcPr>
            <w:tcW w:type="dxa" w:w="3135"/>
          </w:tcPr>
          <w:p>
            <w:pPr>
              <w:spacing w:line="240" w:lineRule="auto" w:after="40" w:before="40"/>
            </w:pPr>
            <w:r/>
            <w:r>
              <w:rPr>
                <w:rFonts w:ascii="Arial" w:hAnsi="Arial" w:eastAsia="Arial"/>
                <w:b w:val="0"/>
                <w:i w:val="0"/>
                <w:sz w:val="18"/>
              </w:rPr>
              <w:t>Orden US$ 200–340 (API y nube), con tope de control</w:t>
            </w:r>
          </w:p>
        </w:tc>
      </w:tr>
      <w:tr>
        <w:tc>
          <w:tcPr>
            <w:tcW w:type="dxa" w:w="3135"/>
          </w:tcPr>
          <w:p>
            <w:pPr>
              <w:spacing w:line="240" w:lineRule="auto" w:after="40" w:before="40"/>
            </w:pPr>
            <w:r/>
            <w:r>
              <w:rPr>
                <w:rFonts w:ascii="Arial" w:hAnsi="Arial" w:eastAsia="Arial"/>
                <w:b w:val="0"/>
                <w:i w:val="0"/>
                <w:sz w:val="18"/>
              </w:rPr>
              <w:t>Fechas de hito</w:t>
            </w:r>
          </w:p>
        </w:tc>
        <w:tc>
          <w:tcPr>
            <w:tcW w:type="dxa" w:w="3135"/>
          </w:tcPr>
          <w:p>
            <w:pPr>
              <w:spacing w:line="240" w:lineRule="auto" w:after="40" w:before="40"/>
            </w:pPr>
            <w:r/>
            <w:r>
              <w:rPr>
                <w:rFonts w:ascii="Arial" w:hAnsi="Arial" w:eastAsia="Arial"/>
                <w:b w:val="0"/>
                <w:i w:val="0"/>
                <w:sz w:val="18"/>
              </w:rPr>
              <w:t>19 oct / 9 nov / 4 dic / cierre</w:t>
            </w:r>
          </w:p>
        </w:tc>
        <w:tc>
          <w:tcPr>
            <w:tcW w:type="dxa" w:w="3135"/>
          </w:tcPr>
          <w:p>
            <w:pPr>
              <w:spacing w:line="240" w:lineRule="auto" w:after="40" w:before="40"/>
            </w:pPr>
            <w:r/>
            <w:r>
              <w:rPr>
                <w:rFonts w:ascii="Arial" w:hAnsi="Arial" w:eastAsia="Arial"/>
                <w:b w:val="0"/>
                <w:i w:val="0"/>
                <w:sz w:val="18"/>
              </w:rPr>
              <w:t>Sin modificación de calendario</w:t>
            </w:r>
          </w:p>
        </w:tc>
      </w:tr>
      <w:tr>
        <w:tc>
          <w:tcPr>
            <w:tcW w:type="dxa" w:w="3135"/>
          </w:tcPr>
          <w:p>
            <w:pPr>
              <w:spacing w:line="240" w:lineRule="auto" w:after="40" w:before="40"/>
            </w:pPr>
            <w:r/>
            <w:r>
              <w:rPr>
                <w:rFonts w:ascii="Arial" w:hAnsi="Arial" w:eastAsia="Arial"/>
                <w:b w:val="0"/>
                <w:i w:val="0"/>
                <w:sz w:val="18"/>
              </w:rPr>
              <w:t>Esfuerzo</w:t>
            </w:r>
          </w:p>
        </w:tc>
        <w:tc>
          <w:tcPr>
            <w:tcW w:type="dxa" w:w="3135"/>
          </w:tcPr>
          <w:p>
            <w:pPr>
              <w:spacing w:line="240" w:lineRule="auto" w:after="40" w:before="40"/>
            </w:pPr>
            <w:r/>
            <w:r>
              <w:rPr>
                <w:rFonts w:ascii="Arial" w:hAnsi="Arial" w:eastAsia="Arial"/>
                <w:b w:val="0"/>
                <w:i w:val="0"/>
                <w:sz w:val="18"/>
              </w:rPr>
              <w:t>Cuatro roles; sin módulo de asistencia</w:t>
            </w:r>
          </w:p>
        </w:tc>
        <w:tc>
          <w:tcPr>
            <w:tcW w:type="dxa" w:w="3135"/>
          </w:tcPr>
          <w:p>
            <w:pPr>
              <w:spacing w:line="240" w:lineRule="auto" w:after="40" w:before="40"/>
            </w:pPr>
            <w:r/>
            <w:r>
              <w:rPr>
                <w:rFonts w:ascii="Arial" w:hAnsi="Arial" w:eastAsia="Arial"/>
                <w:b w:val="0"/>
                <w:i w:val="0"/>
                <w:sz w:val="18"/>
              </w:rPr>
              <w:t>13 a 22 días-persona adicionales por sustitución de trabajo, no por ampliar plantilla</w:t>
            </w:r>
          </w:p>
        </w:tc>
      </w:tr>
      <w:tr>
        <w:tc>
          <w:tcPr>
            <w:tcW w:type="dxa" w:w="3135"/>
          </w:tcPr>
          <w:p>
            <w:pPr>
              <w:spacing w:line="240" w:lineRule="auto" w:after="40" w:before="40"/>
            </w:pPr>
            <w:r/>
            <w:r>
              <w:rPr>
                <w:rFonts w:ascii="Arial" w:hAnsi="Arial" w:eastAsia="Arial"/>
                <w:b w:val="0"/>
                <w:i w:val="0"/>
                <w:sz w:val="18"/>
              </w:rPr>
              <w:t>Soporte</w:t>
            </w:r>
          </w:p>
        </w:tc>
        <w:tc>
          <w:tcPr>
            <w:tcW w:type="dxa" w:w="3135"/>
          </w:tcPr>
          <w:p>
            <w:pPr>
              <w:spacing w:line="240" w:lineRule="auto" w:after="40" w:before="40"/>
            </w:pPr>
            <w:r/>
            <w:r>
              <w:rPr>
                <w:rFonts w:ascii="Arial" w:hAnsi="Arial" w:eastAsia="Arial"/>
                <w:b w:val="0"/>
                <w:i w:val="0"/>
                <w:sz w:val="18"/>
              </w:rPr>
              <w:t>Predominio de atención humana e informal</w:t>
            </w:r>
          </w:p>
        </w:tc>
        <w:tc>
          <w:tcPr>
            <w:tcW w:type="dxa" w:w="3135"/>
          </w:tcPr>
          <w:p>
            <w:pPr>
              <w:spacing w:line="240" w:lineRule="auto" w:after="40" w:before="40"/>
            </w:pPr>
            <w:r/>
            <w:r>
              <w:rPr>
                <w:rFonts w:ascii="Arial" w:hAnsi="Arial" w:eastAsia="Arial"/>
                <w:b w:val="0"/>
                <w:i w:val="0"/>
                <w:sz w:val="18"/>
              </w:rPr>
              <w:t>Contención parcial por FAQ; escalamiento humano obligatorio</w:t>
            </w:r>
          </w:p>
        </w:tc>
      </w:tr>
    </w:tbl>
    <w:p/>
    <w:p>
      <w:pPr>
        <w:spacing w:line="360" w:lineRule="auto" w:after="120" w:before="0"/>
      </w:pPr>
      <w:r>
        <w:rPr>
          <w:rFonts w:ascii="Arial" w:hAnsi="Arial" w:eastAsia="Arial"/>
          <w:b w:val="0"/>
          <w:i w:val="0"/>
          <w:sz w:val="24"/>
        </w:rPr>
        <w:t>Decisión presupuestaria: la asistencia automatizada no se financia en silencio dentro de US$ 20.700. El equipo propone ampliar el techo autorizado a US$ 21.200. Alternativa: uso parcial de la contingencia del 12 % con acta. Reasignar recortando soporte humano en zona compleja no es la primera opción. Mientras no exista autorización, no se construye el módulo de asistencia.</w:t>
      </w:r>
    </w:p>
    <w:p>
      <w:pPr>
        <w:spacing w:line="360" w:lineRule="auto" w:after="160" w:before="0"/>
      </w:pPr>
      <w:r>
        <w:rPr>
          <w:rFonts w:ascii="Arial" w:hAnsi="Arial" w:eastAsia="Arial"/>
          <w:b/>
          <w:i w:val="0"/>
          <w:sz w:val="28"/>
        </w:rPr>
        <w:t>4. Plan de asignación de recursos</w:t>
      </w:r>
    </w:p>
    <w:p>
      <w:pPr>
        <w:spacing w:line="360" w:lineRule="auto" w:after="160" w:before="0"/>
      </w:pPr>
      <w:r>
        <w:rPr>
          <w:rFonts w:ascii="Arial" w:hAnsi="Arial" w:eastAsia="Arial"/>
          <w:b/>
          <w:i w:val="0"/>
          <w:sz w:val="24"/>
        </w:rPr>
        <w:t>4.1 Criterio general</w:t>
      </w:r>
    </w:p>
    <w:p>
      <w:pPr>
        <w:spacing w:line="360" w:lineRule="auto" w:after="120" w:before="0"/>
      </w:pPr>
      <w:r>
        <w:rPr>
          <w:rFonts w:ascii="Arial" w:hAnsi="Arial" w:eastAsia="Arial"/>
          <w:b w:val="0"/>
          <w:i w:val="0"/>
          <w:sz w:val="24"/>
        </w:rPr>
        <w:t>La asignación de recursos identifica tipo, cantidad y disponibilidad de personas, presupuesto e infraestructura necesarios para ejecutar el plan y controlar su uso (PMI, 2017). El recurso crítico no exclusivo del equipo de software es el técnico local: su disponibilidad condiciona la veracidad del inventario y de los tickets.</w:t>
      </w:r>
    </w:p>
    <w:p>
      <w:pPr>
        <w:spacing w:line="360" w:lineRule="auto" w:after="160" w:before="0"/>
      </w:pPr>
      <w:r>
        <w:rPr>
          <w:rFonts w:ascii="Arial" w:hAnsi="Arial" w:eastAsia="Arial"/>
          <w:b/>
          <w:i w:val="0"/>
          <w:sz w:val="24"/>
        </w:rPr>
        <w:t>4.2 Recursos humanos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val="clear"/>
          </w:tcPr>
          <w:p>
            <w:pPr>
              <w:spacing w:line="240" w:lineRule="auto" w:after="40" w:before="40"/>
            </w:pPr>
            <w:r/>
            <w:r>
              <w:rPr>
                <w:rFonts w:ascii="Arial" w:hAnsi="Arial" w:eastAsia="Arial"/>
                <w:b/>
                <w:i w:val="0"/>
                <w:sz w:val="18"/>
              </w:rPr>
              <w:t>Rol</w:t>
            </w:r>
          </w:p>
        </w:tc>
        <w:tc>
          <w:tcPr>
            <w:tcW w:type="dxa" w:w="2351"/>
            <w:shd w:fill="D9E2F3" w:val="clear"/>
          </w:tcPr>
          <w:p>
            <w:pPr>
              <w:spacing w:line="240" w:lineRule="auto" w:after="40" w:before="40"/>
            </w:pPr>
            <w:r/>
            <w:r>
              <w:rPr>
                <w:rFonts w:ascii="Arial" w:hAnsi="Arial" w:eastAsia="Arial"/>
                <w:b/>
                <w:i w:val="0"/>
                <w:sz w:val="18"/>
              </w:rPr>
              <w:t>Responsabilidad principal</w:t>
            </w:r>
          </w:p>
        </w:tc>
        <w:tc>
          <w:tcPr>
            <w:tcW w:type="dxa" w:w="2351"/>
            <w:shd w:fill="D9E2F3" w:val="clear"/>
          </w:tcPr>
          <w:p>
            <w:pPr>
              <w:spacing w:line="240" w:lineRule="auto" w:after="40" w:before="40"/>
            </w:pPr>
            <w:r/>
            <w:r>
              <w:rPr>
                <w:rFonts w:ascii="Arial" w:hAnsi="Arial" w:eastAsia="Arial"/>
                <w:b/>
                <w:i w:val="0"/>
                <w:sz w:val="18"/>
              </w:rPr>
              <w:t>Efecto del paquete de cambios</w:t>
            </w:r>
          </w:p>
        </w:tc>
        <w:tc>
          <w:tcPr>
            <w:tcW w:type="dxa" w:w="2351"/>
            <w:shd w:fill="D9E2F3" w:val="clear"/>
          </w:tcPr>
          <w:p>
            <w:pPr>
              <w:spacing w:line="240" w:lineRule="auto" w:after="40" w:before="40"/>
            </w:pPr>
            <w:r/>
            <w:r>
              <w:rPr>
                <w:rFonts w:ascii="Arial" w:hAnsi="Arial" w:eastAsia="Arial"/>
                <w:b/>
                <w:i w:val="0"/>
                <w:sz w:val="18"/>
              </w:rPr>
              <w:t>Mecanismo de control</w:t>
            </w:r>
          </w:p>
        </w:tc>
      </w:tr>
      <w:tr>
        <w:tc>
          <w:tcPr>
            <w:tcW w:type="dxa" w:w="2351"/>
          </w:tcPr>
          <w:p>
            <w:pPr>
              <w:spacing w:line="240" w:lineRule="auto" w:after="40" w:before="40"/>
            </w:pPr>
            <w:r/>
            <w:r>
              <w:rPr>
                <w:rFonts w:ascii="Arial" w:hAnsi="Arial" w:eastAsia="Arial"/>
                <w:b w:val="0"/>
                <w:i w:val="0"/>
                <w:sz w:val="18"/>
              </w:rPr>
              <w:t>Dirección y frontend</w:t>
            </w:r>
          </w:p>
        </w:tc>
        <w:tc>
          <w:tcPr>
            <w:tcW w:type="dxa" w:w="2351"/>
          </w:tcPr>
          <w:p>
            <w:pPr>
              <w:spacing w:line="240" w:lineRule="auto" w:after="40" w:before="40"/>
            </w:pPr>
            <w:r/>
            <w:r>
              <w:rPr>
                <w:rFonts w:ascii="Arial" w:hAnsi="Arial" w:eastAsia="Arial"/>
                <w:b w:val="0"/>
                <w:i w:val="0"/>
                <w:sz w:val="18"/>
              </w:rPr>
              <w:t>Alcance, control de cambios, interfaz</w:t>
            </w:r>
          </w:p>
        </w:tc>
        <w:tc>
          <w:tcPr>
            <w:tcW w:type="dxa" w:w="2351"/>
          </w:tcPr>
          <w:p>
            <w:pPr>
              <w:spacing w:line="240" w:lineRule="auto" w:after="40" w:before="40"/>
            </w:pPr>
            <w:r/>
            <w:r>
              <w:rPr>
                <w:rFonts w:ascii="Arial" w:hAnsi="Arial" w:eastAsia="Arial"/>
                <w:b w:val="0"/>
                <w:i w:val="0"/>
                <w:sz w:val="18"/>
              </w:rPr>
              <w:t>Priorización visual e interfaz del canal</w:t>
            </w:r>
          </w:p>
        </w:tc>
        <w:tc>
          <w:tcPr>
            <w:tcW w:type="dxa" w:w="2351"/>
          </w:tcPr>
          <w:p>
            <w:pPr>
              <w:spacing w:line="240" w:lineRule="auto" w:after="40" w:before="40"/>
            </w:pPr>
            <w:r/>
            <w:r>
              <w:rPr>
                <w:rFonts w:ascii="Arial" w:hAnsi="Arial" w:eastAsia="Arial"/>
                <w:b w:val="0"/>
                <w:i w:val="0"/>
                <w:sz w:val="18"/>
              </w:rPr>
              <w:t>Máx. 2 trabajos en curso; reasignación formal</w:t>
            </w:r>
          </w:p>
        </w:tc>
      </w:tr>
      <w:tr>
        <w:tc>
          <w:tcPr>
            <w:tcW w:type="dxa" w:w="2351"/>
          </w:tcPr>
          <w:p>
            <w:pPr>
              <w:spacing w:line="240" w:lineRule="auto" w:after="40" w:before="40"/>
            </w:pPr>
            <w:r/>
            <w:r>
              <w:rPr>
                <w:rFonts w:ascii="Arial" w:hAnsi="Arial" w:eastAsia="Arial"/>
                <w:b w:val="0"/>
                <w:i w:val="0"/>
                <w:sz w:val="18"/>
              </w:rPr>
              <w:t>Backend / datos</w:t>
            </w:r>
          </w:p>
        </w:tc>
        <w:tc>
          <w:tcPr>
            <w:tcW w:type="dxa" w:w="2351"/>
          </w:tcPr>
          <w:p>
            <w:pPr>
              <w:spacing w:line="240" w:lineRule="auto" w:after="40" w:before="40"/>
            </w:pPr>
            <w:r/>
            <w:r>
              <w:rPr>
                <w:rFonts w:ascii="Arial" w:hAnsi="Arial" w:eastAsia="Arial"/>
                <w:b w:val="0"/>
                <w:i w:val="0"/>
                <w:sz w:val="18"/>
              </w:rPr>
              <w:t>Inventario, tickets, integraciones</w:t>
            </w:r>
          </w:p>
        </w:tc>
        <w:tc>
          <w:tcPr>
            <w:tcW w:type="dxa" w:w="2351"/>
          </w:tcPr>
          <w:p>
            <w:pPr>
              <w:spacing w:line="240" w:lineRule="auto" w:after="40" w:before="40"/>
            </w:pPr>
            <w:r/>
            <w:r>
              <w:rPr>
                <w:rFonts w:ascii="Arial" w:hAnsi="Arial" w:eastAsia="Arial"/>
                <w:b w:val="0"/>
                <w:i w:val="0"/>
                <w:sz w:val="18"/>
              </w:rPr>
              <w:t>Integración del canal y depósito mínimo</w:t>
            </w:r>
          </w:p>
        </w:tc>
        <w:tc>
          <w:tcPr>
            <w:tcW w:type="dxa" w:w="2351"/>
          </w:tcPr>
          <w:p>
            <w:pPr>
              <w:spacing w:line="240" w:lineRule="auto" w:after="40" w:before="40"/>
            </w:pPr>
            <w:r/>
            <w:r>
              <w:rPr>
                <w:rFonts w:ascii="Arial" w:hAnsi="Arial" w:eastAsia="Arial"/>
                <w:b w:val="0"/>
                <w:i w:val="0"/>
                <w:sz w:val="18"/>
              </w:rPr>
              <w:t>Definition of Done; defectos y reapertura</w:t>
            </w:r>
          </w:p>
        </w:tc>
      </w:tr>
      <w:tr>
        <w:tc>
          <w:tcPr>
            <w:tcW w:type="dxa" w:w="2351"/>
          </w:tcPr>
          <w:p>
            <w:pPr>
              <w:spacing w:line="240" w:lineRule="auto" w:after="40" w:before="40"/>
            </w:pPr>
            <w:r/>
            <w:r>
              <w:rPr>
                <w:rFonts w:ascii="Arial" w:hAnsi="Arial" w:eastAsia="Arial"/>
                <w:b w:val="0"/>
                <w:i w:val="0"/>
                <w:sz w:val="18"/>
              </w:rPr>
              <w:t>Infraestructura y nube</w:t>
            </w:r>
          </w:p>
        </w:tc>
        <w:tc>
          <w:tcPr>
            <w:tcW w:type="dxa" w:w="2351"/>
          </w:tcPr>
          <w:p>
            <w:pPr>
              <w:spacing w:line="240" w:lineRule="auto" w:after="40" w:before="40"/>
            </w:pPr>
            <w:r/>
            <w:r>
              <w:rPr>
                <w:rFonts w:ascii="Arial" w:hAnsi="Arial" w:eastAsia="Arial"/>
                <w:b w:val="0"/>
                <w:i w:val="0"/>
                <w:sz w:val="18"/>
              </w:rPr>
              <w:t>Ambientes, accesos, gasto</w:t>
            </w:r>
          </w:p>
        </w:tc>
        <w:tc>
          <w:tcPr>
            <w:tcW w:type="dxa" w:w="2351"/>
          </w:tcPr>
          <w:p>
            <w:pPr>
              <w:spacing w:line="240" w:lineRule="auto" w:after="40" w:before="40"/>
            </w:pPr>
            <w:r/>
            <w:r>
              <w:rPr>
                <w:rFonts w:ascii="Arial" w:hAnsi="Arial" w:eastAsia="Arial"/>
                <w:b w:val="0"/>
                <w:i w:val="0"/>
                <w:sz w:val="18"/>
              </w:rPr>
              <w:t>Topes de API y lectura de consumo</w:t>
            </w:r>
          </w:p>
        </w:tc>
        <w:tc>
          <w:tcPr>
            <w:tcW w:type="dxa" w:w="2351"/>
          </w:tcPr>
          <w:p>
            <w:pPr>
              <w:spacing w:line="240" w:lineRule="auto" w:after="40" w:before="40"/>
            </w:pPr>
            <w:r/>
            <w:r>
              <w:rPr>
                <w:rFonts w:ascii="Arial" w:hAnsi="Arial" w:eastAsia="Arial"/>
                <w:b w:val="0"/>
                <w:i w:val="0"/>
                <w:sz w:val="18"/>
              </w:rPr>
              <w:t>Control quincenal; freno si desviación &gt; 10 %</w:t>
            </w:r>
          </w:p>
        </w:tc>
      </w:tr>
      <w:tr>
        <w:tc>
          <w:tcPr>
            <w:tcW w:type="dxa" w:w="2351"/>
          </w:tcPr>
          <w:p>
            <w:pPr>
              <w:spacing w:line="240" w:lineRule="auto" w:after="40" w:before="40"/>
            </w:pPr>
            <w:r/>
            <w:r>
              <w:rPr>
                <w:rFonts w:ascii="Arial" w:hAnsi="Arial" w:eastAsia="Arial"/>
                <w:b w:val="0"/>
                <w:i w:val="0"/>
                <w:sz w:val="18"/>
              </w:rPr>
              <w:t>Calidad e impacto</w:t>
            </w:r>
          </w:p>
        </w:tc>
        <w:tc>
          <w:tcPr>
            <w:tcW w:type="dxa" w:w="2351"/>
          </w:tcPr>
          <w:p>
            <w:pPr>
              <w:spacing w:line="240" w:lineRule="auto" w:after="40" w:before="40"/>
            </w:pPr>
            <w:r/>
            <w:r>
              <w:rPr>
                <w:rFonts w:ascii="Arial" w:hAnsi="Arial" w:eastAsia="Arial"/>
                <w:b w:val="0"/>
                <w:i w:val="0"/>
                <w:sz w:val="18"/>
              </w:rPr>
              <w:t>Pruebas, reporte, traspaso</w:t>
            </w:r>
          </w:p>
        </w:tc>
        <w:tc>
          <w:tcPr>
            <w:tcW w:type="dxa" w:w="2351"/>
          </w:tcPr>
          <w:p>
            <w:pPr>
              <w:spacing w:line="240" w:lineRule="auto" w:after="40" w:before="40"/>
            </w:pPr>
            <w:r/>
            <w:r>
              <w:rPr>
                <w:rFonts w:ascii="Arial" w:hAnsi="Arial" w:eastAsia="Arial"/>
                <w:b w:val="0"/>
                <w:i w:val="0"/>
                <w:sz w:val="18"/>
              </w:rPr>
              <w:t>Curaduría de FAQ y revisión de respuestas</w:t>
            </w:r>
          </w:p>
        </w:tc>
        <w:tc>
          <w:tcPr>
            <w:tcW w:type="dxa" w:w="2351"/>
          </w:tcPr>
          <w:p>
            <w:pPr>
              <w:spacing w:line="240" w:lineRule="auto" w:after="40" w:before="40"/>
            </w:pPr>
            <w:r/>
            <w:r>
              <w:rPr>
                <w:rFonts w:ascii="Arial" w:hAnsi="Arial" w:eastAsia="Arial"/>
                <w:b w:val="0"/>
                <w:i w:val="0"/>
                <w:sz w:val="18"/>
              </w:rPr>
              <w:t>Evidencia de prueba en cada incremento</w:t>
            </w:r>
          </w:p>
        </w:tc>
      </w:tr>
      <w:tr>
        <w:tc>
          <w:tcPr>
            <w:tcW w:type="dxa" w:w="2351"/>
          </w:tcPr>
          <w:p>
            <w:pPr>
              <w:spacing w:line="240" w:lineRule="auto" w:after="40" w:before="40"/>
            </w:pPr>
            <w:r/>
            <w:r>
              <w:rPr>
                <w:rFonts w:ascii="Arial" w:hAnsi="Arial" w:eastAsia="Arial"/>
                <w:b w:val="0"/>
                <w:i w:val="0"/>
                <w:sz w:val="18"/>
              </w:rPr>
              <w:t>Técnico / soporte local</w:t>
            </w:r>
          </w:p>
        </w:tc>
        <w:tc>
          <w:tcPr>
            <w:tcW w:type="dxa" w:w="2351"/>
          </w:tcPr>
          <w:p>
            <w:pPr>
              <w:spacing w:line="240" w:lineRule="auto" w:after="40" w:before="40"/>
            </w:pPr>
            <w:r/>
            <w:r>
              <w:rPr>
                <w:rFonts w:ascii="Arial" w:hAnsi="Arial" w:eastAsia="Arial"/>
                <w:b w:val="0"/>
                <w:i w:val="0"/>
                <w:sz w:val="18"/>
              </w:rPr>
              <w:t>Estados en terreno y atención</w:t>
            </w:r>
          </w:p>
        </w:tc>
        <w:tc>
          <w:tcPr>
            <w:tcW w:type="dxa" w:w="2351"/>
          </w:tcPr>
          <w:p>
            <w:pPr>
              <w:spacing w:line="240" w:lineRule="auto" w:after="40" w:before="40"/>
            </w:pPr>
            <w:r/>
            <w:r>
              <w:rPr>
                <w:rFonts w:ascii="Arial" w:hAnsi="Arial" w:eastAsia="Arial"/>
                <w:b w:val="0"/>
                <w:i w:val="0"/>
                <w:sz w:val="18"/>
              </w:rPr>
              <w:t>Menor carga informal; mantiene escalamiento</w:t>
            </w:r>
          </w:p>
        </w:tc>
        <w:tc>
          <w:tcPr>
            <w:tcW w:type="dxa" w:w="2351"/>
          </w:tcPr>
          <w:p>
            <w:pPr>
              <w:spacing w:line="240" w:lineRule="auto" w:after="40" w:before="40"/>
            </w:pPr>
            <w:r/>
            <w:r>
              <w:rPr>
                <w:rFonts w:ascii="Arial" w:hAnsi="Arial" w:eastAsia="Arial"/>
                <w:b w:val="0"/>
                <w:i w:val="0"/>
                <w:sz w:val="18"/>
              </w:rPr>
              <w:t>Revisión de hito; no sustituible por automatización total</w:t>
            </w:r>
          </w:p>
        </w:tc>
      </w:tr>
    </w:tbl>
    <w:p/>
    <w:p>
      <w:pPr>
        <w:spacing w:line="360" w:lineRule="auto" w:after="120" w:before="0"/>
      </w:pPr>
      <w:r>
        <w:rPr>
          <w:rFonts w:ascii="Arial" w:hAnsi="Arial" w:eastAsia="Arial"/>
          <w:b w:val="0"/>
          <w:i w:val="0"/>
          <w:sz w:val="24"/>
        </w:rPr>
        <w:t>No se incorpora un quinto perfil ni un especialista externo en desarrollo agéntico en la ventana del piloto. La capacidad adicional se obtiene por reordenamiento del backlog, no por ampliación de dotación.</w:t>
      </w:r>
    </w:p>
    <w:p>
      <w:pPr>
        <w:spacing w:line="360" w:lineRule="auto" w:after="160" w:before="0"/>
      </w:pPr>
      <w:r>
        <w:rPr>
          <w:rFonts w:ascii="Arial" w:hAnsi="Arial" w:eastAsia="Arial"/>
          <w:b/>
          <w:i w:val="0"/>
          <w:sz w:val="24"/>
        </w:rPr>
        <w:t>4.3 Recursos financieros</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pPr>
              <w:spacing w:line="240" w:lineRule="auto" w:after="40" w:before="40"/>
            </w:pPr>
            <w:r/>
            <w:r>
              <w:rPr>
                <w:rFonts w:ascii="Arial" w:hAnsi="Arial" w:eastAsia="Arial"/>
                <w:b/>
                <w:i w:val="0"/>
                <w:sz w:val="18"/>
              </w:rPr>
              <w:t>Concepto</w:t>
            </w:r>
          </w:p>
        </w:tc>
        <w:tc>
          <w:tcPr>
            <w:tcW w:type="dxa" w:w="3135"/>
            <w:shd w:fill="D9E2F3" w:val="clear"/>
          </w:tcPr>
          <w:p>
            <w:pPr>
              <w:spacing w:line="240" w:lineRule="auto" w:after="40" w:before="40"/>
            </w:pPr>
            <w:r/>
            <w:r>
              <w:rPr>
                <w:rFonts w:ascii="Arial" w:hAnsi="Arial" w:eastAsia="Arial"/>
                <w:b/>
                <w:i w:val="0"/>
                <w:sz w:val="18"/>
              </w:rPr>
              <w:t>Asignación</w:t>
            </w:r>
          </w:p>
        </w:tc>
        <w:tc>
          <w:tcPr>
            <w:tcW w:type="dxa" w:w="3135"/>
            <w:shd w:fill="D9E2F3" w:val="clear"/>
          </w:tcPr>
          <w:p>
            <w:pPr>
              <w:spacing w:line="240" w:lineRule="auto" w:after="40" w:before="40"/>
            </w:pPr>
            <w:r/>
            <w:r>
              <w:rPr>
                <w:rFonts w:ascii="Arial" w:hAnsi="Arial" w:eastAsia="Arial"/>
                <w:b/>
                <w:i w:val="0"/>
                <w:sz w:val="18"/>
              </w:rPr>
              <w:t>Seguimiento</w:t>
            </w:r>
          </w:p>
        </w:tc>
      </w:tr>
      <w:tr>
        <w:tc>
          <w:tcPr>
            <w:tcW w:type="dxa" w:w="3135"/>
          </w:tcPr>
          <w:p>
            <w:pPr>
              <w:spacing w:line="240" w:lineRule="auto" w:after="40" w:before="40"/>
            </w:pPr>
            <w:r/>
            <w:r>
              <w:rPr>
                <w:rFonts w:ascii="Arial" w:hAnsi="Arial" w:eastAsia="Arial"/>
                <w:b w:val="0"/>
                <w:i w:val="0"/>
                <w:sz w:val="18"/>
              </w:rPr>
              <w:t>Techo de línea base</w:t>
            </w:r>
          </w:p>
        </w:tc>
        <w:tc>
          <w:tcPr>
            <w:tcW w:type="dxa" w:w="3135"/>
          </w:tcPr>
          <w:p>
            <w:pPr>
              <w:spacing w:line="240" w:lineRule="auto" w:after="40" w:before="40"/>
            </w:pPr>
            <w:r/>
            <w:r>
              <w:rPr>
                <w:rFonts w:ascii="Arial" w:hAnsi="Arial" w:eastAsia="Arial"/>
                <w:b w:val="0"/>
                <w:i w:val="0"/>
                <w:sz w:val="18"/>
              </w:rPr>
              <w:t>US$ 20.700</w:t>
            </w:r>
          </w:p>
        </w:tc>
        <w:tc>
          <w:tcPr>
            <w:tcW w:type="dxa" w:w="3135"/>
          </w:tcPr>
          <w:p>
            <w:pPr>
              <w:spacing w:line="240" w:lineRule="auto" w:after="40" w:before="40"/>
            </w:pPr>
            <w:r/>
            <w:r>
              <w:rPr>
                <w:rFonts w:ascii="Arial" w:hAnsi="Arial" w:eastAsia="Arial"/>
                <w:b w:val="0"/>
                <w:i w:val="0"/>
                <w:sz w:val="18"/>
              </w:rPr>
              <w:t>Excel quincenal</w:t>
            </w:r>
          </w:p>
        </w:tc>
      </w:tr>
      <w:tr>
        <w:tc>
          <w:tcPr>
            <w:tcW w:type="dxa" w:w="3135"/>
          </w:tcPr>
          <w:p>
            <w:pPr>
              <w:spacing w:line="240" w:lineRule="auto" w:after="40" w:before="40"/>
            </w:pPr>
            <w:r/>
            <w:r>
              <w:rPr>
                <w:rFonts w:ascii="Arial" w:hAnsi="Arial" w:eastAsia="Arial"/>
                <w:b w:val="0"/>
                <w:i w:val="0"/>
                <w:sz w:val="18"/>
              </w:rPr>
              <w:t>Techo propuesto con módulo de asistencia</w:t>
            </w:r>
          </w:p>
        </w:tc>
        <w:tc>
          <w:tcPr>
            <w:tcW w:type="dxa" w:w="3135"/>
          </w:tcPr>
          <w:p>
            <w:pPr>
              <w:spacing w:line="240" w:lineRule="auto" w:after="40" w:before="40"/>
            </w:pPr>
            <w:r/>
            <w:r>
              <w:rPr>
                <w:rFonts w:ascii="Arial" w:hAnsi="Arial" w:eastAsia="Arial"/>
                <w:b w:val="0"/>
                <w:i w:val="0"/>
                <w:sz w:val="18"/>
              </w:rPr>
              <w:t>US$ 21.200</w:t>
            </w:r>
          </w:p>
        </w:tc>
        <w:tc>
          <w:tcPr>
            <w:tcW w:type="dxa" w:w="3135"/>
          </w:tcPr>
          <w:p>
            <w:pPr>
              <w:spacing w:line="240" w:lineRule="auto" w:after="40" w:before="40"/>
            </w:pPr>
            <w:r/>
            <w:r>
              <w:rPr>
                <w:rFonts w:ascii="Arial" w:hAnsi="Arial" w:eastAsia="Arial"/>
                <w:b w:val="0"/>
                <w:i w:val="0"/>
                <w:sz w:val="18"/>
              </w:rPr>
              <w:t>Condición de construcción del módulo</w:t>
            </w:r>
          </w:p>
        </w:tc>
      </w:tr>
      <w:tr>
        <w:tc>
          <w:tcPr>
            <w:tcW w:type="dxa" w:w="3135"/>
          </w:tcPr>
          <w:p>
            <w:pPr>
              <w:spacing w:line="240" w:lineRule="auto" w:after="40" w:before="40"/>
            </w:pPr>
            <w:r/>
            <w:r>
              <w:rPr>
                <w:rFonts w:ascii="Arial" w:hAnsi="Arial" w:eastAsia="Arial"/>
                <w:b w:val="0"/>
                <w:i w:val="0"/>
                <w:sz w:val="18"/>
              </w:rPr>
              <w:t>Contingencia (12 %)</w:t>
            </w:r>
          </w:p>
        </w:tc>
        <w:tc>
          <w:tcPr>
            <w:tcW w:type="dxa" w:w="3135"/>
          </w:tcPr>
          <w:p>
            <w:pPr>
              <w:spacing w:line="240" w:lineRule="auto" w:after="40" w:before="40"/>
            </w:pPr>
            <w:r/>
            <w:r>
              <w:rPr>
                <w:rFonts w:ascii="Arial" w:hAnsi="Arial" w:eastAsia="Arial"/>
                <w:b w:val="0"/>
                <w:i w:val="0"/>
                <w:sz w:val="18"/>
              </w:rPr>
              <w:t>US$ 1.890</w:t>
            </w:r>
          </w:p>
        </w:tc>
        <w:tc>
          <w:tcPr>
            <w:tcW w:type="dxa" w:w="3135"/>
          </w:tcPr>
          <w:p>
            <w:pPr>
              <w:spacing w:line="240" w:lineRule="auto" w:after="40" w:before="40"/>
            </w:pPr>
            <w:r/>
            <w:r>
              <w:rPr>
                <w:rFonts w:ascii="Arial" w:hAnsi="Arial" w:eastAsia="Arial"/>
                <w:b w:val="0"/>
                <w:i w:val="0"/>
                <w:sz w:val="18"/>
              </w:rPr>
              <w:t>Solo con razón escrita</w:t>
            </w:r>
          </w:p>
        </w:tc>
      </w:tr>
      <w:tr>
        <w:tc>
          <w:tcPr>
            <w:tcW w:type="dxa" w:w="3135"/>
          </w:tcPr>
          <w:p>
            <w:pPr>
              <w:spacing w:line="240" w:lineRule="auto" w:after="40" w:before="40"/>
            </w:pPr>
            <w:r/>
            <w:r>
              <w:rPr>
                <w:rFonts w:ascii="Arial" w:hAnsi="Arial" w:eastAsia="Arial"/>
                <w:b w:val="0"/>
                <w:i w:val="0"/>
                <w:sz w:val="18"/>
              </w:rPr>
              <w:t>Consumo variable de modelo y nube</w:t>
            </w:r>
          </w:p>
        </w:tc>
        <w:tc>
          <w:tcPr>
            <w:tcW w:type="dxa" w:w="3135"/>
          </w:tcPr>
          <w:p>
            <w:pPr>
              <w:spacing w:line="240" w:lineRule="auto" w:after="40" w:before="40"/>
            </w:pPr>
            <w:r/>
            <w:r>
              <w:rPr>
                <w:rFonts w:ascii="Arial" w:hAnsi="Arial" w:eastAsia="Arial"/>
                <w:b w:val="0"/>
                <w:i w:val="0"/>
                <w:sz w:val="18"/>
              </w:rPr>
              <w:t>Orden US$ 200–340; tope de API definido</w:t>
            </w:r>
          </w:p>
        </w:tc>
        <w:tc>
          <w:tcPr>
            <w:tcW w:type="dxa" w:w="3135"/>
          </w:tcPr>
          <w:p>
            <w:pPr>
              <w:spacing w:line="240" w:lineRule="auto" w:after="40" w:before="40"/>
            </w:pPr>
            <w:r/>
            <w:r>
              <w:rPr>
                <w:rFonts w:ascii="Arial" w:hAnsi="Arial" w:eastAsia="Arial"/>
                <w:b w:val="0"/>
                <w:i w:val="0"/>
                <w:sz w:val="18"/>
              </w:rPr>
              <w:t>Consola de nube; pausa ante incumplimiento</w:t>
            </w:r>
          </w:p>
        </w:tc>
      </w:tr>
      <w:tr>
        <w:tc>
          <w:tcPr>
            <w:tcW w:type="dxa" w:w="3135"/>
          </w:tcPr>
          <w:p>
            <w:pPr>
              <w:spacing w:line="240" w:lineRule="auto" w:after="40" w:before="40"/>
            </w:pPr>
            <w:r/>
            <w:r>
              <w:rPr>
                <w:rFonts w:ascii="Arial" w:hAnsi="Arial" w:eastAsia="Arial"/>
                <w:b w:val="0"/>
                <w:i w:val="0"/>
                <w:sz w:val="18"/>
              </w:rPr>
              <w:t>Horas de soporte humano</w:t>
            </w:r>
          </w:p>
        </w:tc>
        <w:tc>
          <w:tcPr>
            <w:tcW w:type="dxa" w:w="3135"/>
          </w:tcPr>
          <w:p>
            <w:pPr>
              <w:spacing w:line="240" w:lineRule="auto" w:after="40" w:before="40"/>
            </w:pPr>
            <w:r/>
            <w:r>
              <w:rPr>
                <w:rFonts w:ascii="Arial" w:hAnsi="Arial" w:eastAsia="Arial"/>
                <w:b w:val="0"/>
                <w:i w:val="0"/>
                <w:sz w:val="18"/>
              </w:rPr>
              <w:t>Partida variable del plan</w:t>
            </w:r>
          </w:p>
        </w:tc>
        <w:tc>
          <w:tcPr>
            <w:tcW w:type="dxa" w:w="3135"/>
          </w:tcPr>
          <w:p>
            <w:pPr>
              <w:spacing w:line="240" w:lineRule="auto" w:after="40" w:before="40"/>
            </w:pPr>
            <w:r/>
            <w:r>
              <w:rPr>
                <w:rFonts w:ascii="Arial" w:hAnsi="Arial" w:eastAsia="Arial"/>
                <w:b w:val="0"/>
                <w:i w:val="0"/>
                <w:sz w:val="18"/>
              </w:rPr>
              <w:t>No se vacía para financiar automatización</w:t>
            </w:r>
          </w:p>
        </w:tc>
      </w:tr>
    </w:tbl>
    <w:p/>
    <w:p>
      <w:pPr>
        <w:spacing w:line="360" w:lineRule="auto" w:after="160" w:before="0"/>
      </w:pPr>
      <w:r>
        <w:rPr>
          <w:rFonts w:ascii="Arial" w:hAnsi="Arial" w:eastAsia="Arial"/>
          <w:b/>
          <w:i w:val="0"/>
          <w:sz w:val="24"/>
        </w:rPr>
        <w:t>4.4 Recursos técnicos</w:t>
      </w:r>
    </w:p>
    <w:p>
      <w:pPr>
        <w:spacing w:line="360" w:lineRule="auto" w:after="120" w:before="0"/>
      </w:pPr>
      <w:r>
        <w:rPr>
          <w:rFonts w:ascii="Arial" w:hAnsi="Arial" w:eastAsia="Arial"/>
          <w:b w:val="0"/>
          <w:i w:val="0"/>
          <w:sz w:val="24"/>
        </w:rPr>
        <w:t>Infraestructura en nube, API de modelo gestionado, kit de desarrollo de agentes, Project Libre, Trello, Excel y depósito mínimo de información. Quedan fuera de la ventana: GPU dedicado, lago de datos empresarial y hospedaje de modelo propio.</w:t>
      </w:r>
    </w:p>
    <w:p>
      <w:pPr>
        <w:spacing w:line="360" w:lineRule="auto" w:after="160" w:before="0"/>
      </w:pPr>
      <w:r>
        <w:rPr>
          <w:rFonts w:ascii="Arial" w:hAnsi="Arial" w:eastAsia="Arial"/>
          <w:b/>
          <w:i w:val="0"/>
          <w:sz w:val="24"/>
        </w:rPr>
        <w:t>4.5 Estrategias de viabilidad y rentabilidad</w:t>
      </w:r>
    </w:p>
    <w:p>
      <w:pPr>
        <w:spacing w:line="360" w:lineRule="auto" w:after="120" w:before="0"/>
      </w:pPr>
      <w:r>
        <w:rPr>
          <w:rFonts w:ascii="Arial" w:hAnsi="Arial" w:eastAsia="Arial"/>
          <w:b w:val="0"/>
          <w:i w:val="0"/>
          <w:sz w:val="24"/>
        </w:rPr>
        <w:t>Viabilidad. Los cambios constructivos solo se incorporan si existe capacidad (sustitución de trabajo), si se respetan los hitos y si el financiamiento del módulo de asistencia está autorizado (techo redimensionado o contingencia con acta). El canal asistido no opera sin priorización visual ni sin corpus de preguntas frecuentes curado.</w:t>
      </w:r>
    </w:p>
    <w:p>
      <w:pPr>
        <w:spacing w:line="360" w:lineRule="auto" w:after="120" w:before="0"/>
      </w:pPr>
      <w:r>
        <w:rPr>
          <w:rFonts w:ascii="Arial" w:hAnsi="Arial" w:eastAsia="Arial"/>
          <w:b w:val="0"/>
          <w:i w:val="0"/>
          <w:sz w:val="24"/>
        </w:rPr>
        <w:t>Rentabilidad. No se declara un ahorro fijo en dólares en el acta sin medición. Se establece una línea base de consultas de soporte tras el tablero usable y antes de activar el canal; en operación se compara el costo de soporte evitado con el gasto real de API y nube. Si el gasto de automatización supera de forma sostenida el ahorro (dos revisiones consecutivas), se suspende el canal o se abre un nuevo control de cambios. Se distingue la inversión de puesta en marcha del gasto recurrente de operación.</w:t>
      </w:r>
    </w:p>
    <w:p>
      <w:pPr>
        <w:spacing w:line="360" w:lineRule="auto" w:after="160" w:before="0"/>
      </w:pPr>
      <w:r>
        <w:rPr>
          <w:rFonts w:ascii="Arial" w:hAnsi="Arial" w:eastAsia="Arial"/>
          <w:b/>
          <w:i w:val="0"/>
          <w:sz w:val="28"/>
        </w:rPr>
        <w:t>5. Estado actual del proyecto e información para partes interesadas</w:t>
      </w:r>
    </w:p>
    <w:p>
      <w:pPr>
        <w:spacing w:line="360" w:lineRule="auto" w:after="160" w:before="0"/>
      </w:pPr>
      <w:r>
        <w:rPr>
          <w:rFonts w:ascii="Arial" w:hAnsi="Arial" w:eastAsia="Arial"/>
          <w:b/>
          <w:i w:val="0"/>
          <w:sz w:val="24"/>
        </w:rPr>
        <w:t>5.1 Audiencias y valor de la información</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pPr>
              <w:spacing w:line="240" w:lineRule="auto" w:after="40" w:before="40"/>
            </w:pPr>
            <w:r/>
            <w:r>
              <w:rPr>
                <w:rFonts w:ascii="Arial" w:hAnsi="Arial" w:eastAsia="Arial"/>
                <w:b/>
                <w:i w:val="0"/>
                <w:sz w:val="18"/>
              </w:rPr>
              <w:t>Parte interesada</w:t>
            </w:r>
          </w:p>
        </w:tc>
        <w:tc>
          <w:tcPr>
            <w:tcW w:type="dxa" w:w="3135"/>
            <w:shd w:fill="D9E2F3" w:val="clear"/>
          </w:tcPr>
          <w:p>
            <w:pPr>
              <w:spacing w:line="240" w:lineRule="auto" w:after="40" w:before="40"/>
            </w:pPr>
            <w:r/>
            <w:r>
              <w:rPr>
                <w:rFonts w:ascii="Arial" w:hAnsi="Arial" w:eastAsia="Arial"/>
                <w:b/>
                <w:i w:val="0"/>
                <w:sz w:val="18"/>
              </w:rPr>
              <w:t>Información de valor</w:t>
            </w:r>
          </w:p>
        </w:tc>
        <w:tc>
          <w:tcPr>
            <w:tcW w:type="dxa" w:w="3135"/>
            <w:shd w:fill="D9E2F3" w:val="clear"/>
          </w:tcPr>
          <w:p>
            <w:pPr>
              <w:spacing w:line="240" w:lineRule="auto" w:after="40" w:before="40"/>
            </w:pPr>
            <w:r/>
            <w:r>
              <w:rPr>
                <w:rFonts w:ascii="Arial" w:hAnsi="Arial" w:eastAsia="Arial"/>
                <w:b/>
                <w:i w:val="0"/>
                <w:sz w:val="18"/>
              </w:rPr>
              <w:t>Uso en la decisión</w:t>
            </w:r>
          </w:p>
        </w:tc>
      </w:tr>
      <w:tr>
        <w:tc>
          <w:tcPr>
            <w:tcW w:type="dxa" w:w="3135"/>
          </w:tcPr>
          <w:p>
            <w:pPr>
              <w:spacing w:line="240" w:lineRule="auto" w:after="40" w:before="40"/>
            </w:pPr>
            <w:r/>
            <w:r>
              <w:rPr>
                <w:rFonts w:ascii="Arial" w:hAnsi="Arial" w:eastAsia="Arial"/>
                <w:b w:val="0"/>
                <w:i w:val="0"/>
                <w:sz w:val="18"/>
              </w:rPr>
              <w:t>Dirección / comisión del caso</w:t>
            </w:r>
          </w:p>
        </w:tc>
        <w:tc>
          <w:tcPr>
            <w:tcW w:type="dxa" w:w="3135"/>
          </w:tcPr>
          <w:p>
            <w:pPr>
              <w:spacing w:line="240" w:lineRule="auto" w:after="40" w:before="40"/>
            </w:pPr>
            <w:r/>
            <w:r>
              <w:rPr>
                <w:rFonts w:ascii="Arial" w:hAnsi="Arial" w:eastAsia="Arial"/>
                <w:b w:val="0"/>
                <w:i w:val="0"/>
                <w:sz w:val="18"/>
              </w:rPr>
              <w:t>Hitos, techo, cambios abiertos y riesgos</w:t>
            </w:r>
          </w:p>
        </w:tc>
        <w:tc>
          <w:tcPr>
            <w:tcW w:type="dxa" w:w="3135"/>
          </w:tcPr>
          <w:p>
            <w:pPr>
              <w:spacing w:line="240" w:lineRule="auto" w:after="40" w:before="40"/>
            </w:pPr>
            <w:r/>
            <w:r>
              <w:rPr>
                <w:rFonts w:ascii="Arial" w:hAnsi="Arial" w:eastAsia="Arial"/>
                <w:b w:val="0"/>
                <w:i w:val="0"/>
                <w:sz w:val="18"/>
              </w:rPr>
              <w:t>Autorizar redimensionamiento; condicionar o diferir el canal</w:t>
            </w:r>
          </w:p>
        </w:tc>
      </w:tr>
      <w:tr>
        <w:tc>
          <w:tcPr>
            <w:tcW w:type="dxa" w:w="3135"/>
          </w:tcPr>
          <w:p>
            <w:pPr>
              <w:spacing w:line="240" w:lineRule="auto" w:after="40" w:before="40"/>
            </w:pPr>
            <w:r/>
            <w:r>
              <w:rPr>
                <w:rFonts w:ascii="Arial" w:hAnsi="Arial" w:eastAsia="Arial"/>
                <w:b w:val="0"/>
                <w:i w:val="0"/>
                <w:sz w:val="18"/>
              </w:rPr>
              <w:t>Contraparte / soporte local</w:t>
            </w:r>
          </w:p>
        </w:tc>
        <w:tc>
          <w:tcPr>
            <w:tcW w:type="dxa" w:w="3135"/>
          </w:tcPr>
          <w:p>
            <w:pPr>
              <w:spacing w:line="240" w:lineRule="auto" w:after="40" w:before="40"/>
            </w:pPr>
            <w:r/>
            <w:r>
              <w:rPr>
                <w:rFonts w:ascii="Arial" w:hAnsi="Arial" w:eastAsia="Arial"/>
                <w:b w:val="0"/>
                <w:i w:val="0"/>
                <w:sz w:val="18"/>
              </w:rPr>
              <w:t>Usabilidad del tablero, cola, puntaje de hito</w:t>
            </w:r>
          </w:p>
        </w:tc>
        <w:tc>
          <w:tcPr>
            <w:tcW w:type="dxa" w:w="3135"/>
          </w:tcPr>
          <w:p>
            <w:pPr>
              <w:spacing w:line="240" w:lineRule="auto" w:after="40" w:before="40"/>
            </w:pPr>
            <w:r/>
            <w:r>
              <w:rPr>
                <w:rFonts w:ascii="Arial" w:hAnsi="Arial" w:eastAsia="Arial"/>
                <w:b w:val="0"/>
                <w:i w:val="0"/>
                <w:sz w:val="18"/>
              </w:rPr>
              <w:t>Validar entregables; reducir trabajo informal</w:t>
            </w:r>
          </w:p>
        </w:tc>
      </w:tr>
      <w:tr>
        <w:tc>
          <w:tcPr>
            <w:tcW w:type="dxa" w:w="3135"/>
          </w:tcPr>
          <w:p>
            <w:pPr>
              <w:spacing w:line="240" w:lineRule="auto" w:after="40" w:before="40"/>
            </w:pPr>
            <w:r/>
            <w:r>
              <w:rPr>
                <w:rFonts w:ascii="Arial" w:hAnsi="Arial" w:eastAsia="Arial"/>
                <w:b w:val="0"/>
                <w:i w:val="0"/>
                <w:sz w:val="18"/>
              </w:rPr>
              <w:t>Equipo de desarrollo</w:t>
            </w:r>
          </w:p>
        </w:tc>
        <w:tc>
          <w:tcPr>
            <w:tcW w:type="dxa" w:w="3135"/>
          </w:tcPr>
          <w:p>
            <w:pPr>
              <w:spacing w:line="240" w:lineRule="auto" w:after="40" w:before="40"/>
            </w:pPr>
            <w:r/>
            <w:r>
              <w:rPr>
                <w:rFonts w:ascii="Arial" w:hAnsi="Arial" w:eastAsia="Arial"/>
                <w:b w:val="0"/>
                <w:i w:val="0"/>
                <w:sz w:val="18"/>
              </w:rPr>
              <w:t>Capacidad, calidad, registro de cambios</w:t>
            </w:r>
          </w:p>
        </w:tc>
        <w:tc>
          <w:tcPr>
            <w:tcW w:type="dxa" w:w="3135"/>
          </w:tcPr>
          <w:p>
            <w:pPr>
              <w:spacing w:line="240" w:lineRule="auto" w:after="40" w:before="40"/>
            </w:pPr>
            <w:r/>
            <w:r>
              <w:rPr>
                <w:rFonts w:ascii="Arial" w:hAnsi="Arial" w:eastAsia="Arial"/>
                <w:b w:val="0"/>
                <w:i w:val="0"/>
                <w:sz w:val="18"/>
              </w:rPr>
              <w:t>Comprometer solo trabajo factible</w:t>
            </w:r>
          </w:p>
        </w:tc>
      </w:tr>
      <w:tr>
        <w:tc>
          <w:tcPr>
            <w:tcW w:type="dxa" w:w="3135"/>
          </w:tcPr>
          <w:p>
            <w:pPr>
              <w:spacing w:line="240" w:lineRule="auto" w:after="40" w:before="40"/>
            </w:pPr>
            <w:r/>
            <w:r>
              <w:rPr>
                <w:rFonts w:ascii="Arial" w:hAnsi="Arial" w:eastAsia="Arial"/>
                <w:b w:val="0"/>
                <w:i w:val="0"/>
                <w:sz w:val="18"/>
              </w:rPr>
              <w:t>Inversores / donantes (vía reporte)</w:t>
            </w:r>
          </w:p>
        </w:tc>
        <w:tc>
          <w:tcPr>
            <w:tcW w:type="dxa" w:w="3135"/>
          </w:tcPr>
          <w:p>
            <w:pPr>
              <w:spacing w:line="240" w:lineRule="auto" w:after="40" w:before="40"/>
            </w:pPr>
            <w:r/>
            <w:r>
              <w:rPr>
                <w:rFonts w:ascii="Arial" w:hAnsi="Arial" w:eastAsia="Arial"/>
                <w:b w:val="0"/>
                <w:i w:val="0"/>
                <w:sz w:val="18"/>
              </w:rPr>
              <w:t>Coherencia entre operación y cifra reportada</w:t>
            </w:r>
          </w:p>
        </w:tc>
        <w:tc>
          <w:tcPr>
            <w:tcW w:type="dxa" w:w="3135"/>
          </w:tcPr>
          <w:p>
            <w:pPr>
              <w:spacing w:line="240" w:lineRule="auto" w:after="40" w:before="40"/>
            </w:pPr>
            <w:r/>
            <w:r>
              <w:rPr>
                <w:rFonts w:ascii="Arial" w:hAnsi="Arial" w:eastAsia="Arial"/>
                <w:b w:val="0"/>
                <w:i w:val="0"/>
                <w:sz w:val="18"/>
              </w:rPr>
              <w:t>Confianza en el informe de impacto</w:t>
            </w:r>
          </w:p>
        </w:tc>
      </w:tr>
    </w:tbl>
    <w:p/>
    <w:p>
      <w:pPr>
        <w:spacing w:line="360" w:lineRule="auto" w:after="160" w:before="0"/>
      </w:pPr>
      <w:r>
        <w:rPr>
          <w:rFonts w:ascii="Arial" w:hAnsi="Arial" w:eastAsia="Arial"/>
          <w:b/>
          <w:i w:val="0"/>
          <w:sz w:val="24"/>
        </w:rPr>
        <w:t>5.2 Estado consolidado</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pPr>
              <w:spacing w:line="240" w:lineRule="auto" w:after="40" w:before="40"/>
            </w:pPr>
            <w:r/>
            <w:r>
              <w:rPr>
                <w:rFonts w:ascii="Arial" w:hAnsi="Arial" w:eastAsia="Arial"/>
                <w:b/>
                <w:i w:val="0"/>
                <w:sz w:val="18"/>
              </w:rPr>
              <w:t>Dimensión</w:t>
            </w:r>
          </w:p>
        </w:tc>
        <w:tc>
          <w:tcPr>
            <w:tcW w:type="dxa" w:w="3135"/>
            <w:shd w:fill="D9E2F3" w:val="clear"/>
          </w:tcPr>
          <w:p>
            <w:pPr>
              <w:spacing w:line="240" w:lineRule="auto" w:after="40" w:before="40"/>
            </w:pPr>
            <w:r/>
            <w:r>
              <w:rPr>
                <w:rFonts w:ascii="Arial" w:hAnsi="Arial" w:eastAsia="Arial"/>
                <w:b/>
                <w:i w:val="0"/>
                <w:sz w:val="18"/>
              </w:rPr>
              <w:t>Estado</w:t>
            </w:r>
          </w:p>
        </w:tc>
        <w:tc>
          <w:tcPr>
            <w:tcW w:type="dxa" w:w="3135"/>
            <w:shd w:fill="D9E2F3" w:val="clear"/>
          </w:tcPr>
          <w:p>
            <w:pPr>
              <w:spacing w:line="240" w:lineRule="auto" w:after="40" w:before="40"/>
            </w:pPr>
            <w:r/>
            <w:r>
              <w:rPr>
                <w:rFonts w:ascii="Arial" w:hAnsi="Arial" w:eastAsia="Arial"/>
                <w:b/>
                <w:i w:val="0"/>
                <w:sz w:val="18"/>
              </w:rPr>
              <w:t>Observación para la gestión</w:t>
            </w:r>
          </w:p>
        </w:tc>
      </w:tr>
      <w:tr>
        <w:tc>
          <w:tcPr>
            <w:tcW w:type="dxa" w:w="3135"/>
          </w:tcPr>
          <w:p>
            <w:pPr>
              <w:spacing w:line="240" w:lineRule="auto" w:after="40" w:before="40"/>
            </w:pPr>
            <w:r/>
            <w:r>
              <w:rPr>
                <w:rFonts w:ascii="Arial" w:hAnsi="Arial" w:eastAsia="Arial"/>
                <w:b w:val="0"/>
                <w:i w:val="0"/>
                <w:sz w:val="18"/>
              </w:rPr>
              <w:t>Periodo</w:t>
            </w:r>
          </w:p>
        </w:tc>
        <w:tc>
          <w:tcPr>
            <w:tcW w:type="dxa" w:w="3135"/>
          </w:tcPr>
          <w:p>
            <w:pPr>
              <w:spacing w:line="240" w:lineRule="auto" w:after="40" w:before="40"/>
            </w:pPr>
            <w:r/>
            <w:r>
              <w:rPr>
                <w:rFonts w:ascii="Arial" w:hAnsi="Arial" w:eastAsia="Arial"/>
                <w:b w:val="0"/>
                <w:i w:val="0"/>
                <w:sz w:val="18"/>
              </w:rPr>
              <w:t>Piloto en ventana sep–dic 2026</w:t>
            </w:r>
          </w:p>
        </w:tc>
        <w:tc>
          <w:tcPr>
            <w:tcW w:type="dxa" w:w="3135"/>
          </w:tcPr>
          <w:p>
            <w:pPr>
              <w:spacing w:line="240" w:lineRule="auto" w:after="40" w:before="40"/>
            </w:pPr>
            <w:r/>
            <w:r>
              <w:rPr>
                <w:rFonts w:ascii="Arial" w:hAnsi="Arial" w:eastAsia="Arial"/>
                <w:b w:val="0"/>
                <w:i w:val="0"/>
                <w:sz w:val="18"/>
              </w:rPr>
              <w:t>Cierre formal el 9 de diciembre</w:t>
            </w:r>
          </w:p>
        </w:tc>
      </w:tr>
      <w:tr>
        <w:tc>
          <w:tcPr>
            <w:tcW w:type="dxa" w:w="3135"/>
          </w:tcPr>
          <w:p>
            <w:pPr>
              <w:spacing w:line="240" w:lineRule="auto" w:after="40" w:before="40"/>
            </w:pPr>
            <w:r/>
            <w:r>
              <w:rPr>
                <w:rFonts w:ascii="Arial" w:hAnsi="Arial" w:eastAsia="Arial"/>
                <w:b w:val="0"/>
                <w:i w:val="0"/>
                <w:sz w:val="18"/>
              </w:rPr>
              <w:t>Hito inventario</w:t>
            </w:r>
          </w:p>
        </w:tc>
        <w:tc>
          <w:tcPr>
            <w:tcW w:type="dxa" w:w="3135"/>
          </w:tcPr>
          <w:p>
            <w:pPr>
              <w:spacing w:line="240" w:lineRule="auto" w:after="40" w:before="40"/>
            </w:pPr>
            <w:r/>
            <w:r>
              <w:rPr>
                <w:rFonts w:ascii="Arial" w:hAnsi="Arial" w:eastAsia="Arial"/>
                <w:b w:val="0"/>
                <w:i w:val="0"/>
                <w:sz w:val="18"/>
              </w:rPr>
              <w:t>Un inventario validado</w:t>
            </w:r>
          </w:p>
        </w:tc>
        <w:tc>
          <w:tcPr>
            <w:tcW w:type="dxa" w:w="3135"/>
          </w:tcPr>
          <w:p>
            <w:pPr>
              <w:spacing w:line="240" w:lineRule="auto" w:after="40" w:before="40"/>
            </w:pPr>
            <w:r/>
            <w:r>
              <w:rPr>
                <w:rFonts w:ascii="Arial" w:hAnsi="Arial" w:eastAsia="Arial"/>
                <w:b w:val="0"/>
                <w:i w:val="0"/>
                <w:sz w:val="18"/>
              </w:rPr>
              <w:t>Segundo punto de acopio no incorporado</w:t>
            </w:r>
          </w:p>
        </w:tc>
      </w:tr>
      <w:tr>
        <w:tc>
          <w:tcPr>
            <w:tcW w:type="dxa" w:w="3135"/>
          </w:tcPr>
          <w:p>
            <w:pPr>
              <w:spacing w:line="240" w:lineRule="auto" w:after="40" w:before="40"/>
            </w:pPr>
            <w:r/>
            <w:r>
              <w:rPr>
                <w:rFonts w:ascii="Arial" w:hAnsi="Arial" w:eastAsia="Arial"/>
                <w:b w:val="0"/>
                <w:i w:val="0"/>
                <w:sz w:val="18"/>
              </w:rPr>
              <w:t>Hito tablero</w:t>
            </w:r>
          </w:p>
        </w:tc>
        <w:tc>
          <w:tcPr>
            <w:tcW w:type="dxa" w:w="3135"/>
          </w:tcPr>
          <w:p>
            <w:pPr>
              <w:spacing w:line="240" w:lineRule="auto" w:after="40" w:before="40"/>
            </w:pPr>
            <w:r/>
            <w:r>
              <w:rPr>
                <w:rFonts w:ascii="Arial" w:hAnsi="Arial" w:eastAsia="Arial"/>
                <w:b w:val="0"/>
                <w:i w:val="0"/>
                <w:sz w:val="18"/>
              </w:rPr>
              <w:t>Compromiso vigente</w:t>
            </w:r>
          </w:p>
        </w:tc>
        <w:tc>
          <w:tcPr>
            <w:tcW w:type="dxa" w:w="3135"/>
          </w:tcPr>
          <w:p>
            <w:pPr>
              <w:spacing w:line="240" w:lineRule="auto" w:after="40" w:before="40"/>
            </w:pPr>
            <w:r/>
            <w:r>
              <w:rPr>
                <w:rFonts w:ascii="Arial" w:hAnsi="Arial" w:eastAsia="Arial"/>
                <w:b w:val="0"/>
                <w:i w:val="0"/>
                <w:sz w:val="18"/>
              </w:rPr>
              <w:t>Priorización visual condicionada a capacidad</w:t>
            </w:r>
          </w:p>
        </w:tc>
      </w:tr>
      <w:tr>
        <w:tc>
          <w:tcPr>
            <w:tcW w:type="dxa" w:w="3135"/>
          </w:tcPr>
          <w:p>
            <w:pPr>
              <w:spacing w:line="240" w:lineRule="auto" w:after="40" w:before="40"/>
            </w:pPr>
            <w:r/>
            <w:r>
              <w:rPr>
                <w:rFonts w:ascii="Arial" w:hAnsi="Arial" w:eastAsia="Arial"/>
                <w:b w:val="0"/>
                <w:i w:val="0"/>
                <w:sz w:val="18"/>
              </w:rPr>
              <w:t>Hito tickets y reporte</w:t>
            </w:r>
          </w:p>
        </w:tc>
        <w:tc>
          <w:tcPr>
            <w:tcW w:type="dxa" w:w="3135"/>
          </w:tcPr>
          <w:p>
            <w:pPr>
              <w:spacing w:line="240" w:lineRule="auto" w:after="40" w:before="40"/>
            </w:pPr>
            <w:r/>
            <w:r>
              <w:rPr>
                <w:rFonts w:ascii="Arial" w:hAnsi="Arial" w:eastAsia="Arial"/>
                <w:b w:val="0"/>
                <w:i w:val="0"/>
                <w:sz w:val="18"/>
              </w:rPr>
              <w:t>Compromiso vigente</w:t>
            </w:r>
          </w:p>
        </w:tc>
        <w:tc>
          <w:tcPr>
            <w:tcW w:type="dxa" w:w="3135"/>
          </w:tcPr>
          <w:p>
            <w:pPr>
              <w:spacing w:line="240" w:lineRule="auto" w:after="40" w:before="40"/>
            </w:pPr>
            <w:r/>
            <w:r>
              <w:rPr>
                <w:rFonts w:ascii="Arial" w:hAnsi="Arial" w:eastAsia="Arial"/>
                <w:b w:val="0"/>
                <w:i w:val="0"/>
                <w:sz w:val="18"/>
              </w:rPr>
              <w:t>Asistencia automatizada solo condicionada y post tablero usable</w:t>
            </w:r>
          </w:p>
        </w:tc>
      </w:tr>
      <w:tr>
        <w:tc>
          <w:tcPr>
            <w:tcW w:type="dxa" w:w="3135"/>
          </w:tcPr>
          <w:p>
            <w:pPr>
              <w:spacing w:line="240" w:lineRule="auto" w:after="40" w:before="40"/>
            </w:pPr>
            <w:r/>
            <w:r>
              <w:rPr>
                <w:rFonts w:ascii="Arial" w:hAnsi="Arial" w:eastAsia="Arial"/>
                <w:b w:val="0"/>
                <w:i w:val="0"/>
                <w:sz w:val="18"/>
              </w:rPr>
              <w:t>Presupuesto</w:t>
            </w:r>
          </w:p>
        </w:tc>
        <w:tc>
          <w:tcPr>
            <w:tcW w:type="dxa" w:w="3135"/>
          </w:tcPr>
          <w:p>
            <w:pPr>
              <w:spacing w:line="240" w:lineRule="auto" w:after="40" w:before="40"/>
            </w:pPr>
            <w:r/>
            <w:r>
              <w:rPr>
                <w:rFonts w:ascii="Arial" w:hAnsi="Arial" w:eastAsia="Arial"/>
                <w:b w:val="0"/>
                <w:i w:val="0"/>
                <w:sz w:val="18"/>
              </w:rPr>
              <w:t>Línea base 20.700; propuesta 21.200</w:t>
            </w:r>
          </w:p>
        </w:tc>
        <w:tc>
          <w:tcPr>
            <w:tcW w:type="dxa" w:w="3135"/>
          </w:tcPr>
          <w:p>
            <w:pPr>
              <w:spacing w:line="240" w:lineRule="auto" w:after="40" w:before="40"/>
            </w:pPr>
            <w:r/>
            <w:r>
              <w:rPr>
                <w:rFonts w:ascii="Arial" w:hAnsi="Arial" w:eastAsia="Arial"/>
                <w:b w:val="0"/>
                <w:i w:val="0"/>
                <w:sz w:val="18"/>
              </w:rPr>
              <w:t>Sin construcción del canal sin autorización</w:t>
            </w:r>
          </w:p>
        </w:tc>
      </w:tr>
      <w:tr>
        <w:tc>
          <w:tcPr>
            <w:tcW w:type="dxa" w:w="3135"/>
          </w:tcPr>
          <w:p>
            <w:pPr>
              <w:spacing w:line="240" w:lineRule="auto" w:after="40" w:before="40"/>
            </w:pPr>
            <w:r/>
            <w:r>
              <w:rPr>
                <w:rFonts w:ascii="Arial" w:hAnsi="Arial" w:eastAsia="Arial"/>
                <w:b w:val="0"/>
                <w:i w:val="0"/>
                <w:sz w:val="18"/>
              </w:rPr>
              <w:t>Capacidad</w:t>
            </w:r>
          </w:p>
        </w:tc>
        <w:tc>
          <w:tcPr>
            <w:tcW w:type="dxa" w:w="3135"/>
          </w:tcPr>
          <w:p>
            <w:pPr>
              <w:spacing w:line="240" w:lineRule="auto" w:after="40" w:before="40"/>
            </w:pPr>
            <w:r/>
            <w:r>
              <w:rPr>
                <w:rFonts w:ascii="Arial" w:hAnsi="Arial" w:eastAsia="Arial"/>
                <w:b w:val="0"/>
                <w:i w:val="0"/>
                <w:sz w:val="18"/>
              </w:rPr>
              <w:t>Cuatro roles; máx. dos trabajos en curso por persona</w:t>
            </w:r>
          </w:p>
        </w:tc>
        <w:tc>
          <w:tcPr>
            <w:tcW w:type="dxa" w:w="3135"/>
          </w:tcPr>
          <w:p>
            <w:pPr>
              <w:spacing w:line="240" w:lineRule="auto" w:after="40" w:before="40"/>
            </w:pPr>
            <w:r/>
            <w:r>
              <w:rPr>
                <w:rFonts w:ascii="Arial" w:hAnsi="Arial" w:eastAsia="Arial"/>
                <w:b w:val="0"/>
                <w:i w:val="0"/>
                <w:sz w:val="18"/>
              </w:rPr>
              <w:t>Reasignación formal ante bloqueos prolongados</w:t>
            </w:r>
          </w:p>
        </w:tc>
      </w:tr>
      <w:tr>
        <w:tc>
          <w:tcPr>
            <w:tcW w:type="dxa" w:w="3135"/>
          </w:tcPr>
          <w:p>
            <w:pPr>
              <w:spacing w:line="240" w:lineRule="auto" w:after="40" w:before="40"/>
            </w:pPr>
            <w:r/>
            <w:r>
              <w:rPr>
                <w:rFonts w:ascii="Arial" w:hAnsi="Arial" w:eastAsia="Arial"/>
                <w:b w:val="0"/>
                <w:i w:val="0"/>
                <w:sz w:val="18"/>
              </w:rPr>
              <w:t>Cambios condicionados</w:t>
            </w:r>
          </w:p>
        </w:tc>
        <w:tc>
          <w:tcPr>
            <w:tcW w:type="dxa" w:w="3135"/>
          </w:tcPr>
          <w:p>
            <w:pPr>
              <w:spacing w:line="240" w:lineRule="auto" w:after="40" w:before="40"/>
            </w:pPr>
            <w:r/>
            <w:r>
              <w:rPr>
                <w:rFonts w:ascii="Arial" w:hAnsi="Arial" w:eastAsia="Arial"/>
                <w:b w:val="0"/>
                <w:i w:val="0"/>
                <w:sz w:val="18"/>
              </w:rPr>
              <w:t>Regla de capacidad; priorización visual; asistencia fase 1; depósito mínimo; prioridad textual</w:t>
            </w:r>
          </w:p>
        </w:tc>
        <w:tc>
          <w:tcPr>
            <w:tcW w:type="dxa" w:w="3135"/>
          </w:tcPr>
          <w:p>
            <w:pPr>
              <w:spacing w:line="240" w:lineRule="auto" w:after="40" w:before="40"/>
            </w:pPr>
            <w:r/>
            <w:r>
              <w:rPr>
                <w:rFonts w:ascii="Arial" w:hAnsi="Arial" w:eastAsia="Arial"/>
                <w:b w:val="0"/>
                <w:i w:val="0"/>
                <w:sz w:val="18"/>
              </w:rPr>
              <w:t>Sujetos a capacidad y financiamiento</w:t>
            </w:r>
          </w:p>
        </w:tc>
      </w:tr>
      <w:tr>
        <w:tc>
          <w:tcPr>
            <w:tcW w:type="dxa" w:w="3135"/>
          </w:tcPr>
          <w:p>
            <w:pPr>
              <w:spacing w:line="240" w:lineRule="auto" w:after="40" w:before="40"/>
            </w:pPr>
            <w:r/>
            <w:r>
              <w:rPr>
                <w:rFonts w:ascii="Arial" w:hAnsi="Arial" w:eastAsia="Arial"/>
                <w:b w:val="0"/>
                <w:i w:val="0"/>
                <w:sz w:val="18"/>
              </w:rPr>
              <w:t>Cambios rechazados o diferidos</w:t>
            </w:r>
          </w:p>
        </w:tc>
        <w:tc>
          <w:tcPr>
            <w:tcW w:type="dxa" w:w="3135"/>
          </w:tcPr>
          <w:p>
            <w:pPr>
              <w:spacing w:line="240" w:lineRule="auto" w:after="40" w:before="40"/>
            </w:pPr>
            <w:r/>
            <w:r>
              <w:rPr>
                <w:rFonts w:ascii="Arial" w:hAnsi="Arial" w:eastAsia="Arial"/>
                <w:b w:val="0"/>
                <w:i w:val="0"/>
                <w:sz w:val="18"/>
              </w:rPr>
              <w:t>Fotografía en ticket; segundo inventario; servicio externo; app ciudadana; lago completo; monitoreo de flota con IA</w:t>
            </w:r>
          </w:p>
        </w:tc>
        <w:tc>
          <w:tcPr>
            <w:tcW w:type="dxa" w:w="3135"/>
          </w:tcPr>
          <w:p>
            <w:pPr>
              <w:spacing w:line="240" w:lineRule="auto" w:after="40" w:before="40"/>
            </w:pPr>
            <w:r/>
            <w:r>
              <w:rPr>
                <w:rFonts w:ascii="Arial" w:hAnsi="Arial" w:eastAsia="Arial"/>
                <w:b w:val="0"/>
                <w:i w:val="0"/>
                <w:sz w:val="18"/>
              </w:rPr>
              <w:t>Registrados para evitar reingreso informal</w:t>
            </w:r>
          </w:p>
        </w:tc>
      </w:tr>
      <w:tr>
        <w:tc>
          <w:tcPr>
            <w:tcW w:type="dxa" w:w="3135"/>
          </w:tcPr>
          <w:p>
            <w:pPr>
              <w:spacing w:line="240" w:lineRule="auto" w:after="40" w:before="40"/>
            </w:pPr>
            <w:r/>
            <w:r>
              <w:rPr>
                <w:rFonts w:ascii="Arial" w:hAnsi="Arial" w:eastAsia="Arial"/>
                <w:b w:val="0"/>
                <w:i w:val="0"/>
                <w:sz w:val="18"/>
              </w:rPr>
              <w:t>Calidad y privacidad</w:t>
            </w:r>
          </w:p>
        </w:tc>
        <w:tc>
          <w:tcPr>
            <w:tcW w:type="dxa" w:w="3135"/>
          </w:tcPr>
          <w:p>
            <w:pPr>
              <w:spacing w:line="240" w:lineRule="auto" w:after="40" w:before="40"/>
            </w:pPr>
            <w:r/>
            <w:r>
              <w:rPr>
                <w:rFonts w:ascii="Arial" w:hAnsi="Arial" w:eastAsia="Arial"/>
                <w:b w:val="0"/>
                <w:i w:val="0"/>
                <w:sz w:val="18"/>
              </w:rPr>
              <w:t>Controles operativos activos; minimización de datos</w:t>
            </w:r>
          </w:p>
        </w:tc>
        <w:tc>
          <w:tcPr>
            <w:tcW w:type="dxa" w:w="3135"/>
          </w:tcPr>
          <w:p>
            <w:pPr>
              <w:spacing w:line="240" w:lineRule="auto" w:after="40" w:before="40"/>
            </w:pPr>
            <w:r/>
            <w:r>
              <w:rPr>
                <w:rFonts w:ascii="Arial" w:hAnsi="Arial" w:eastAsia="Arial"/>
                <w:b w:val="0"/>
                <w:i w:val="0"/>
                <w:sz w:val="18"/>
              </w:rPr>
              <w:t>Sin bases reales en el repositorio</w:t>
            </w:r>
          </w:p>
        </w:tc>
      </w:tr>
    </w:tbl>
    <w:p/>
    <w:p>
      <w:pPr>
        <w:spacing w:line="360" w:lineRule="auto" w:after="160" w:before="0"/>
      </w:pPr>
      <w:r>
        <w:rPr>
          <w:rFonts w:ascii="Arial" w:hAnsi="Arial" w:eastAsia="Arial"/>
          <w:b/>
          <w:i w:val="0"/>
          <w:sz w:val="24"/>
        </w:rPr>
        <w:t>5.3 Cifras relevantes para la toma de decisiones</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pPr>
              <w:spacing w:line="240" w:lineRule="auto" w:after="40" w:before="40"/>
            </w:pPr>
            <w:r/>
            <w:r>
              <w:rPr>
                <w:rFonts w:ascii="Arial" w:hAnsi="Arial" w:eastAsia="Arial"/>
                <w:b/>
                <w:i w:val="0"/>
                <w:sz w:val="18"/>
              </w:rPr>
              <w:t>Indicador o cifra</w:t>
            </w:r>
          </w:p>
        </w:tc>
        <w:tc>
          <w:tcPr>
            <w:tcW w:type="dxa" w:w="3135"/>
            <w:shd w:fill="D9E2F3" w:val="clear"/>
          </w:tcPr>
          <w:p>
            <w:pPr>
              <w:spacing w:line="240" w:lineRule="auto" w:after="40" w:before="40"/>
            </w:pPr>
            <w:r/>
            <w:r>
              <w:rPr>
                <w:rFonts w:ascii="Arial" w:hAnsi="Arial" w:eastAsia="Arial"/>
                <w:b/>
                <w:i w:val="0"/>
                <w:sz w:val="18"/>
              </w:rPr>
              <w:t>Valor de referencia</w:t>
            </w:r>
          </w:p>
        </w:tc>
        <w:tc>
          <w:tcPr>
            <w:tcW w:type="dxa" w:w="3135"/>
            <w:shd w:fill="D9E2F3" w:val="clear"/>
          </w:tcPr>
          <w:p>
            <w:pPr>
              <w:spacing w:line="240" w:lineRule="auto" w:after="40" w:before="40"/>
            </w:pPr>
            <w:r/>
            <w:r>
              <w:rPr>
                <w:rFonts w:ascii="Arial" w:hAnsi="Arial" w:eastAsia="Arial"/>
                <w:b/>
                <w:i w:val="0"/>
                <w:sz w:val="18"/>
              </w:rPr>
              <w:t>Implicancia</w:t>
            </w:r>
          </w:p>
        </w:tc>
      </w:tr>
      <w:tr>
        <w:tc>
          <w:tcPr>
            <w:tcW w:type="dxa" w:w="3135"/>
          </w:tcPr>
          <w:p>
            <w:pPr>
              <w:spacing w:line="240" w:lineRule="auto" w:after="40" w:before="40"/>
            </w:pPr>
            <w:r/>
            <w:r>
              <w:rPr>
                <w:rFonts w:ascii="Arial" w:hAnsi="Arial" w:eastAsia="Arial"/>
                <w:b w:val="0"/>
                <w:i w:val="0"/>
                <w:sz w:val="18"/>
              </w:rPr>
              <w:t>Techo línea base → propuesto</w:t>
            </w:r>
          </w:p>
        </w:tc>
        <w:tc>
          <w:tcPr>
            <w:tcW w:type="dxa" w:w="3135"/>
          </w:tcPr>
          <w:p>
            <w:pPr>
              <w:spacing w:line="240" w:lineRule="auto" w:after="40" w:before="40"/>
            </w:pPr>
            <w:r/>
            <w:r>
              <w:rPr>
                <w:rFonts w:ascii="Arial" w:hAnsi="Arial" w:eastAsia="Arial"/>
                <w:b w:val="0"/>
                <w:i w:val="0"/>
                <w:sz w:val="18"/>
              </w:rPr>
              <w:t>20.700 → 21.200</w:t>
            </w:r>
          </w:p>
        </w:tc>
        <w:tc>
          <w:tcPr>
            <w:tcW w:type="dxa" w:w="3135"/>
          </w:tcPr>
          <w:p>
            <w:pPr>
              <w:spacing w:line="240" w:lineRule="auto" w:after="40" w:before="40"/>
            </w:pPr>
            <w:r/>
            <w:r>
              <w:rPr>
                <w:rFonts w:ascii="Arial" w:hAnsi="Arial" w:eastAsia="Arial"/>
                <w:b w:val="0"/>
                <w:i w:val="0"/>
                <w:sz w:val="18"/>
              </w:rPr>
              <w:t>Condición de viabilidad del canal asistido</w:t>
            </w:r>
          </w:p>
        </w:tc>
      </w:tr>
      <w:tr>
        <w:tc>
          <w:tcPr>
            <w:tcW w:type="dxa" w:w="3135"/>
          </w:tcPr>
          <w:p>
            <w:pPr>
              <w:spacing w:line="240" w:lineRule="auto" w:after="40" w:before="40"/>
            </w:pPr>
            <w:r/>
            <w:r>
              <w:rPr>
                <w:rFonts w:ascii="Arial" w:hAnsi="Arial" w:eastAsia="Arial"/>
                <w:b w:val="0"/>
                <w:i w:val="0"/>
                <w:sz w:val="18"/>
              </w:rPr>
              <w:t>Costo variable estimado del canal</w:t>
            </w:r>
          </w:p>
        </w:tc>
        <w:tc>
          <w:tcPr>
            <w:tcW w:type="dxa" w:w="3135"/>
          </w:tcPr>
          <w:p>
            <w:pPr>
              <w:spacing w:line="240" w:lineRule="auto" w:after="40" w:before="40"/>
            </w:pPr>
            <w:r/>
            <w:r>
              <w:rPr>
                <w:rFonts w:ascii="Arial" w:hAnsi="Arial" w:eastAsia="Arial"/>
                <w:b w:val="0"/>
                <w:i w:val="0"/>
                <w:sz w:val="18"/>
              </w:rPr>
              <w:t>US$ 200–340 (orden); tope de API acotado</w:t>
            </w:r>
          </w:p>
        </w:tc>
        <w:tc>
          <w:tcPr>
            <w:tcW w:type="dxa" w:w="3135"/>
          </w:tcPr>
          <w:p>
            <w:pPr>
              <w:spacing w:line="240" w:lineRule="auto" w:after="40" w:before="40"/>
            </w:pPr>
            <w:r/>
            <w:r>
              <w:rPr>
                <w:rFonts w:ascii="Arial" w:hAnsi="Arial" w:eastAsia="Arial"/>
                <w:b w:val="0"/>
                <w:i w:val="0"/>
                <w:sz w:val="18"/>
              </w:rPr>
              <w:t>Control de factura y pausa ante desvío</w:t>
            </w:r>
          </w:p>
        </w:tc>
      </w:tr>
      <w:tr>
        <w:tc>
          <w:tcPr>
            <w:tcW w:type="dxa" w:w="3135"/>
          </w:tcPr>
          <w:p>
            <w:pPr>
              <w:spacing w:line="240" w:lineRule="auto" w:after="40" w:before="40"/>
            </w:pPr>
            <w:r/>
            <w:r>
              <w:rPr>
                <w:rFonts w:ascii="Arial" w:hAnsi="Arial" w:eastAsia="Arial"/>
                <w:b w:val="0"/>
                <w:i w:val="0"/>
                <w:sz w:val="18"/>
              </w:rPr>
              <w:t>Esfuerzo adicional estimado</w:t>
            </w:r>
          </w:p>
        </w:tc>
        <w:tc>
          <w:tcPr>
            <w:tcW w:type="dxa" w:w="3135"/>
          </w:tcPr>
          <w:p>
            <w:pPr>
              <w:spacing w:line="240" w:lineRule="auto" w:after="40" w:before="40"/>
            </w:pPr>
            <w:r/>
            <w:r>
              <w:rPr>
                <w:rFonts w:ascii="Arial" w:hAnsi="Arial" w:eastAsia="Arial"/>
                <w:b w:val="0"/>
                <w:i w:val="0"/>
                <w:sz w:val="18"/>
              </w:rPr>
              <w:t>13–22 días-persona</w:t>
            </w:r>
          </w:p>
        </w:tc>
        <w:tc>
          <w:tcPr>
            <w:tcW w:type="dxa" w:w="3135"/>
          </w:tcPr>
          <w:p>
            <w:pPr>
              <w:spacing w:line="240" w:lineRule="auto" w:after="40" w:before="40"/>
            </w:pPr>
            <w:r/>
            <w:r>
              <w:rPr>
                <w:rFonts w:ascii="Arial" w:hAnsi="Arial" w:eastAsia="Arial"/>
                <w:b w:val="0"/>
                <w:i w:val="0"/>
                <w:sz w:val="18"/>
              </w:rPr>
              <w:t>Exige sustitución de alcance, no contratación</w:t>
            </w:r>
          </w:p>
        </w:tc>
      </w:tr>
      <w:tr>
        <w:tc>
          <w:tcPr>
            <w:tcW w:type="dxa" w:w="3135"/>
          </w:tcPr>
          <w:p>
            <w:pPr>
              <w:spacing w:line="240" w:lineRule="auto" w:after="40" w:before="40"/>
            </w:pPr>
            <w:r/>
            <w:r>
              <w:rPr>
                <w:rFonts w:ascii="Arial" w:hAnsi="Arial" w:eastAsia="Arial"/>
                <w:b w:val="0"/>
                <w:i w:val="0"/>
                <w:sz w:val="18"/>
              </w:rPr>
              <w:t>Umbral de desviación de gasto</w:t>
            </w:r>
          </w:p>
        </w:tc>
        <w:tc>
          <w:tcPr>
            <w:tcW w:type="dxa" w:w="3135"/>
          </w:tcPr>
          <w:p>
            <w:pPr>
              <w:spacing w:line="240" w:lineRule="auto" w:after="40" w:before="40"/>
            </w:pPr>
            <w:r/>
            <w:r>
              <w:rPr>
                <w:rFonts w:ascii="Arial" w:hAnsi="Arial" w:eastAsia="Arial"/>
                <w:b w:val="0"/>
                <w:i w:val="0"/>
                <w:sz w:val="18"/>
              </w:rPr>
              <w:t>&gt; 10 %</w:t>
            </w:r>
          </w:p>
        </w:tc>
        <w:tc>
          <w:tcPr>
            <w:tcW w:type="dxa" w:w="3135"/>
          </w:tcPr>
          <w:p>
            <w:pPr>
              <w:spacing w:line="240" w:lineRule="auto" w:after="40" w:before="40"/>
            </w:pPr>
            <w:r/>
            <w:r>
              <w:rPr>
                <w:rFonts w:ascii="Arial" w:hAnsi="Arial" w:eastAsia="Arial"/>
                <w:b w:val="0"/>
                <w:i w:val="0"/>
                <w:sz w:val="18"/>
              </w:rPr>
              <w:t>Detención de gasto no comprometido</w:t>
            </w:r>
          </w:p>
        </w:tc>
      </w:tr>
      <w:tr>
        <w:tc>
          <w:tcPr>
            <w:tcW w:type="dxa" w:w="3135"/>
          </w:tcPr>
          <w:p>
            <w:pPr>
              <w:spacing w:line="240" w:lineRule="auto" w:after="40" w:before="40"/>
            </w:pPr>
            <w:r/>
            <w:r>
              <w:rPr>
                <w:rFonts w:ascii="Arial" w:hAnsi="Arial" w:eastAsia="Arial"/>
                <w:b w:val="0"/>
                <w:i w:val="0"/>
                <w:sz w:val="18"/>
              </w:rPr>
              <w:t>Límite de trabajo en curso</w:t>
            </w:r>
          </w:p>
        </w:tc>
        <w:tc>
          <w:tcPr>
            <w:tcW w:type="dxa" w:w="3135"/>
          </w:tcPr>
          <w:p>
            <w:pPr>
              <w:spacing w:line="240" w:lineRule="auto" w:after="40" w:before="40"/>
            </w:pPr>
            <w:r/>
            <w:r>
              <w:rPr>
                <w:rFonts w:ascii="Arial" w:hAnsi="Arial" w:eastAsia="Arial"/>
                <w:b w:val="0"/>
                <w:i w:val="0"/>
                <w:sz w:val="18"/>
              </w:rPr>
              <w:t>2 por persona</w:t>
            </w:r>
          </w:p>
        </w:tc>
        <w:tc>
          <w:tcPr>
            <w:tcW w:type="dxa" w:w="3135"/>
          </w:tcPr>
          <w:p>
            <w:pPr>
              <w:spacing w:line="240" w:lineRule="auto" w:after="40" w:before="40"/>
            </w:pPr>
            <w:r/>
            <w:r>
              <w:rPr>
                <w:rFonts w:ascii="Arial" w:hAnsi="Arial" w:eastAsia="Arial"/>
                <w:b w:val="0"/>
                <w:i w:val="0"/>
                <w:sz w:val="18"/>
              </w:rPr>
              <w:t>Protección de calidad e integración</w:t>
            </w:r>
          </w:p>
        </w:tc>
      </w:tr>
      <w:tr>
        <w:tc>
          <w:tcPr>
            <w:tcW w:type="dxa" w:w="3135"/>
          </w:tcPr>
          <w:p>
            <w:pPr>
              <w:spacing w:line="240" w:lineRule="auto" w:after="40" w:before="40"/>
            </w:pPr>
            <w:r/>
            <w:r>
              <w:rPr>
                <w:rFonts w:ascii="Arial" w:hAnsi="Arial" w:eastAsia="Arial"/>
                <w:b w:val="0"/>
                <w:i w:val="0"/>
                <w:sz w:val="18"/>
              </w:rPr>
              <w:t>Puntaje mínimo de hito</w:t>
            </w:r>
          </w:p>
        </w:tc>
        <w:tc>
          <w:tcPr>
            <w:tcW w:type="dxa" w:w="3135"/>
          </w:tcPr>
          <w:p>
            <w:pPr>
              <w:spacing w:line="240" w:lineRule="auto" w:after="40" w:before="40"/>
            </w:pPr>
            <w:r/>
            <w:r>
              <w:rPr>
                <w:rFonts w:ascii="Arial" w:hAnsi="Arial" w:eastAsia="Arial"/>
                <w:b w:val="0"/>
                <w:i w:val="0"/>
                <w:sz w:val="18"/>
              </w:rPr>
              <w:t>4 / 5</w:t>
            </w:r>
          </w:p>
        </w:tc>
        <w:tc>
          <w:tcPr>
            <w:tcW w:type="dxa" w:w="3135"/>
          </w:tcPr>
          <w:p>
            <w:pPr>
              <w:spacing w:line="240" w:lineRule="auto" w:after="40" w:before="40"/>
            </w:pPr>
            <w:r/>
            <w:r>
              <w:rPr>
                <w:rFonts w:ascii="Arial" w:hAnsi="Arial" w:eastAsia="Arial"/>
                <w:b w:val="0"/>
                <w:i w:val="0"/>
                <w:sz w:val="18"/>
              </w:rPr>
              <w:t>Reapertura del corte si no se alcanza</w:t>
            </w:r>
          </w:p>
        </w:tc>
      </w:tr>
    </w:tbl>
    <w:p/>
    <w:p>
      <w:pPr>
        <w:spacing w:line="360" w:lineRule="auto" w:after="160" w:before="0"/>
      </w:pPr>
      <w:r>
        <w:rPr>
          <w:rFonts w:ascii="Arial" w:hAnsi="Arial" w:eastAsia="Arial"/>
          <w:b/>
          <w:i w:val="0"/>
          <w:sz w:val="24"/>
        </w:rPr>
        <w:t>5.4 Síntesis para dirección</w:t>
      </w:r>
    </w:p>
    <w:p>
      <w:pPr>
        <w:spacing w:line="360" w:lineRule="auto" w:after="120" w:before="0"/>
      </w:pPr>
      <w:r>
        <w:rPr>
          <w:rFonts w:ascii="Arial" w:hAnsi="Arial" w:eastAsia="Arial"/>
          <w:b w:val="0"/>
          <w:i w:val="0"/>
          <w:sz w:val="24"/>
        </w:rPr>
        <w:t>El plan inicial permanece como referencia única: los hitos no se modifican por acumulación informal de alcance. Se solicita autorización para redimensionar el techo a US$ 21.200 si se incorpora la asistencia automatizada en fase 1. El orden técnico es priorización visual antes del canal asistido; este último no sustituye al soporte humano. La rentabilidad se verificará con línea base de consultas versus consumo de nube. Las ampliaciones de producto (aplicación ciudadana, lago de datos completo, monitoreo de flota) permanecen fuera de la ventana y exigen un nuevo ciclo de control de cambios.</w:t>
      </w:r>
    </w:p>
    <w:p>
      <w:pPr>
        <w:spacing w:line="360" w:lineRule="auto" w:after="160" w:before="0"/>
      </w:pPr>
      <w:r>
        <w:rPr>
          <w:rFonts w:ascii="Arial" w:hAnsi="Arial" w:eastAsia="Arial"/>
          <w:b/>
          <w:i w:val="0"/>
          <w:sz w:val="28"/>
        </w:rPr>
        <w:t>6. Conclusiones</w:t>
      </w:r>
    </w:p>
    <w:p>
      <w:pPr>
        <w:spacing w:line="360" w:lineRule="auto" w:after="120" w:before="0"/>
      </w:pPr>
      <w:r>
        <w:rPr>
          <w:rFonts w:ascii="Arial" w:hAnsi="Arial" w:eastAsia="Arial"/>
          <w:b w:val="0"/>
          <w:i w:val="0"/>
          <w:sz w:val="24"/>
        </w:rPr>
        <w:t>El sistema de monitoreo y control articula herramientas de planificación, flujo de trabajo, seguimiento financiero e indicadores estratégicos y operativos, con hitos explícitos y flujo de información trazable. La gestión del cambio documenta eventualidades de nivel proyecto, estrategias aplicadas y justificación orientada a la integridad del plan. El plan de recursos prioriza la capacidad humana limitada, el techo financiero y la infraestructura cloud, con criterios de viabilidad y rentabilidad medibles. El estado reportado a las partes interesadas concentra las cifras y decisiones que habilitan o detienen la ampliación de soporte asistido sin comprometer los cortes del piloto.</w:t>
      </w:r>
    </w:p>
    <w:p>
      <w:pPr>
        <w:spacing w:line="360" w:lineRule="auto" w:after="160" w:before="0"/>
      </w:pPr>
      <w:r>
        <w:rPr>
          <w:rFonts w:ascii="Arial" w:hAnsi="Arial" w:eastAsia="Arial"/>
          <w:b/>
          <w:i w:val="0"/>
          <w:sz w:val="28"/>
        </w:rPr>
        <w:t>Referencias</w:t>
      </w:r>
    </w:p>
    <w:p>
      <w:pPr>
        <w:spacing w:line="360" w:lineRule="auto" w:after="120" w:before="0"/>
      </w:pPr>
      <w:r>
        <w:rPr>
          <w:rFonts w:ascii="Arial" w:hAnsi="Arial" w:eastAsia="Arial"/>
          <w:b w:val="0"/>
          <w:i w:val="0"/>
          <w:sz w:val="24"/>
        </w:rPr>
        <w:t>Project Management Institute. (2017). Guía de los fundamentos para la dirección de proyectos (Guía del PMBOK) (6.ª ed.). Project Management Institute.</w:t>
      </w:r>
    </w:p>
    <w:p>
      <w:pPr>
        <w:spacing w:line="360" w:lineRule="auto" w:after="120" w:before="0"/>
      </w:pPr>
      <w:r>
        <w:rPr>
          <w:rFonts w:ascii="Arial" w:hAnsi="Arial" w:eastAsia="Arial"/>
          <w:b w:val="0"/>
          <w:i w:val="0"/>
          <w:sz w:val="24"/>
        </w:rPr>
        <w:t>Peters, L. J. (2024). Software project management: Methods and techniques. CRC Press, Taylor &amp; Francis Group.</w:t>
      </w:r>
    </w:p>
    <w:p>
      <w:pPr>
        <w:spacing w:line="360" w:lineRule="auto" w:after="160" w:before="0"/>
      </w:pPr>
      <w:r>
        <w:rPr>
          <w:rFonts w:ascii="Arial" w:hAnsi="Arial" w:eastAsia="Arial"/>
          <w:b/>
          <w:i w:val="0"/>
          <w:sz w:val="28"/>
        </w:rPr>
        <w:t>Anexo A. Correspondencia con indicadores de evaluación del informe</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pPr>
              <w:spacing w:line="240" w:lineRule="auto" w:after="40" w:before="40"/>
            </w:pPr>
            <w:r/>
            <w:r>
              <w:rPr>
                <w:rFonts w:ascii="Arial" w:hAnsi="Arial" w:eastAsia="Arial"/>
                <w:b/>
                <w:i w:val="0"/>
                <w:sz w:val="18"/>
              </w:rPr>
              <w:t>Indicador de evaluación</w:t>
            </w:r>
          </w:p>
        </w:tc>
        <w:tc>
          <w:tcPr>
            <w:tcW w:type="dxa" w:w="3135"/>
            <w:shd w:fill="D9E2F3" w:val="clear"/>
          </w:tcPr>
          <w:p>
            <w:pPr>
              <w:spacing w:line="240" w:lineRule="auto" w:after="40" w:before="40"/>
            </w:pPr>
            <w:r/>
            <w:r>
              <w:rPr>
                <w:rFonts w:ascii="Arial" w:hAnsi="Arial" w:eastAsia="Arial"/>
                <w:b/>
                <w:i w:val="0"/>
                <w:sz w:val="18"/>
              </w:rPr>
              <w:t>Contenido</w:t>
            </w:r>
          </w:p>
        </w:tc>
        <w:tc>
          <w:tcPr>
            <w:tcW w:type="dxa" w:w="3135"/>
            <w:shd w:fill="D9E2F3" w:val="clear"/>
          </w:tcPr>
          <w:p>
            <w:pPr>
              <w:spacing w:line="240" w:lineRule="auto" w:after="40" w:before="40"/>
            </w:pPr>
            <w:r/>
            <w:r>
              <w:rPr>
                <w:rFonts w:ascii="Arial" w:hAnsi="Arial" w:eastAsia="Arial"/>
                <w:b/>
                <w:i w:val="0"/>
                <w:sz w:val="18"/>
              </w:rPr>
              <w:t>Sección</w:t>
            </w:r>
          </w:p>
        </w:tc>
      </w:tr>
      <w:tr>
        <w:tc>
          <w:tcPr>
            <w:tcW w:type="dxa" w:w="3135"/>
          </w:tcPr>
          <w:p>
            <w:pPr>
              <w:spacing w:line="240" w:lineRule="auto" w:after="40" w:before="40"/>
            </w:pPr>
            <w:r/>
            <w:r>
              <w:rPr>
                <w:rFonts w:ascii="Arial" w:hAnsi="Arial" w:eastAsia="Arial"/>
                <w:b w:val="0"/>
                <w:i w:val="0"/>
                <w:sz w:val="18"/>
              </w:rPr>
              <w:t>IE1 — Sistema de monitoreo y control, flujos e hitos</w:t>
            </w:r>
          </w:p>
        </w:tc>
        <w:tc>
          <w:tcPr>
            <w:tcW w:type="dxa" w:w="3135"/>
          </w:tcPr>
          <w:p>
            <w:pPr>
              <w:spacing w:line="240" w:lineRule="auto" w:after="40" w:before="40"/>
            </w:pPr>
            <w:r/>
            <w:r>
              <w:rPr>
                <w:rFonts w:ascii="Arial" w:hAnsi="Arial" w:eastAsia="Arial"/>
                <w:b w:val="0"/>
                <w:i w:val="0"/>
                <w:sz w:val="18"/>
              </w:rPr>
              <w:t>Componentes, flujo, hitos, indicadores</w:t>
            </w:r>
          </w:p>
        </w:tc>
        <w:tc>
          <w:tcPr>
            <w:tcW w:type="dxa" w:w="3135"/>
          </w:tcPr>
          <w:p>
            <w:pPr>
              <w:spacing w:line="240" w:lineRule="auto" w:after="40" w:before="40"/>
            </w:pPr>
            <w:r/>
            <w:r>
              <w:rPr>
                <w:rFonts w:ascii="Arial" w:hAnsi="Arial" w:eastAsia="Arial"/>
                <w:b w:val="0"/>
                <w:i w:val="0"/>
                <w:sz w:val="18"/>
              </w:rPr>
              <w:t>§2</w:t>
            </w:r>
          </w:p>
        </w:tc>
      </w:tr>
      <w:tr>
        <w:tc>
          <w:tcPr>
            <w:tcW w:type="dxa" w:w="3135"/>
          </w:tcPr>
          <w:p>
            <w:pPr>
              <w:spacing w:line="240" w:lineRule="auto" w:after="40" w:before="40"/>
            </w:pPr>
            <w:r/>
            <w:r>
              <w:rPr>
                <w:rFonts w:ascii="Arial" w:hAnsi="Arial" w:eastAsia="Arial"/>
                <w:b w:val="0"/>
                <w:i w:val="0"/>
                <w:sz w:val="18"/>
              </w:rPr>
              <w:t>IE3 — Estrategias de gestión del cambio, problemáticas y justificación</w:t>
            </w:r>
          </w:p>
        </w:tc>
        <w:tc>
          <w:tcPr>
            <w:tcW w:type="dxa" w:w="3135"/>
          </w:tcPr>
          <w:p>
            <w:pPr>
              <w:spacing w:line="240" w:lineRule="auto" w:after="40" w:before="40"/>
            </w:pPr>
            <w:r/>
            <w:r>
              <w:rPr>
                <w:rFonts w:ascii="Arial" w:hAnsi="Arial" w:eastAsia="Arial"/>
                <w:b w:val="0"/>
                <w:i w:val="0"/>
                <w:sz w:val="18"/>
              </w:rPr>
              <w:t>Eventualidades, estrategias, orden, efecto conjunto</w:t>
            </w:r>
          </w:p>
        </w:tc>
        <w:tc>
          <w:tcPr>
            <w:tcW w:type="dxa" w:w="3135"/>
          </w:tcPr>
          <w:p>
            <w:pPr>
              <w:spacing w:line="240" w:lineRule="auto" w:after="40" w:before="40"/>
            </w:pPr>
            <w:r/>
            <w:r>
              <w:rPr>
                <w:rFonts w:ascii="Arial" w:hAnsi="Arial" w:eastAsia="Arial"/>
                <w:b w:val="0"/>
                <w:i w:val="0"/>
                <w:sz w:val="18"/>
              </w:rPr>
              <w:t>§3</w:t>
            </w:r>
          </w:p>
        </w:tc>
      </w:tr>
      <w:tr>
        <w:tc>
          <w:tcPr>
            <w:tcW w:type="dxa" w:w="3135"/>
          </w:tcPr>
          <w:p>
            <w:pPr>
              <w:spacing w:line="240" w:lineRule="auto" w:after="40" w:before="40"/>
            </w:pPr>
            <w:r/>
            <w:r>
              <w:rPr>
                <w:rFonts w:ascii="Arial" w:hAnsi="Arial" w:eastAsia="Arial"/>
                <w:b w:val="0"/>
                <w:i w:val="0"/>
                <w:sz w:val="18"/>
              </w:rPr>
              <w:t>IE5 — Plan de asignación de recursos, viabilidad y rentabilidad</w:t>
            </w:r>
          </w:p>
        </w:tc>
        <w:tc>
          <w:tcPr>
            <w:tcW w:type="dxa" w:w="3135"/>
          </w:tcPr>
          <w:p>
            <w:pPr>
              <w:spacing w:line="240" w:lineRule="auto" w:after="40" w:before="40"/>
            </w:pPr>
            <w:r/>
            <w:r>
              <w:rPr>
                <w:rFonts w:ascii="Arial" w:hAnsi="Arial" w:eastAsia="Arial"/>
                <w:b w:val="0"/>
                <w:i w:val="0"/>
                <w:sz w:val="18"/>
              </w:rPr>
              <w:t>Humanos, financieros, técnicos, estrategias</w:t>
            </w:r>
          </w:p>
        </w:tc>
        <w:tc>
          <w:tcPr>
            <w:tcW w:type="dxa" w:w="3135"/>
          </w:tcPr>
          <w:p>
            <w:pPr>
              <w:spacing w:line="240" w:lineRule="auto" w:after="40" w:before="40"/>
            </w:pPr>
            <w:r/>
            <w:r>
              <w:rPr>
                <w:rFonts w:ascii="Arial" w:hAnsi="Arial" w:eastAsia="Arial"/>
                <w:b w:val="0"/>
                <w:i w:val="0"/>
                <w:sz w:val="18"/>
              </w:rPr>
              <w:t>§4</w:t>
            </w:r>
          </w:p>
        </w:tc>
      </w:tr>
      <w:tr>
        <w:tc>
          <w:tcPr>
            <w:tcW w:type="dxa" w:w="3135"/>
          </w:tcPr>
          <w:p>
            <w:pPr>
              <w:spacing w:line="240" w:lineRule="auto" w:after="40" w:before="40"/>
            </w:pPr>
            <w:r/>
            <w:r>
              <w:rPr>
                <w:rFonts w:ascii="Arial" w:hAnsi="Arial" w:eastAsia="Arial"/>
                <w:b w:val="0"/>
                <w:i w:val="0"/>
                <w:sz w:val="18"/>
              </w:rPr>
              <w:t>IE7 — Estado actual e información de valor</w:t>
            </w:r>
          </w:p>
        </w:tc>
        <w:tc>
          <w:tcPr>
            <w:tcW w:type="dxa" w:w="3135"/>
          </w:tcPr>
          <w:p>
            <w:pPr>
              <w:spacing w:line="240" w:lineRule="auto" w:after="40" w:before="40"/>
            </w:pPr>
            <w:r/>
            <w:r>
              <w:rPr>
                <w:rFonts w:ascii="Arial" w:hAnsi="Arial" w:eastAsia="Arial"/>
                <w:b w:val="0"/>
                <w:i w:val="0"/>
                <w:sz w:val="18"/>
              </w:rPr>
              <w:t>Audiencias, estado, cifras, síntesis</w:t>
            </w:r>
          </w:p>
        </w:tc>
        <w:tc>
          <w:tcPr>
            <w:tcW w:type="dxa" w:w="3135"/>
          </w:tcPr>
          <w:p>
            <w:pPr>
              <w:spacing w:line="240" w:lineRule="auto" w:after="40" w:before="40"/>
            </w:pPr>
            <w:r/>
            <w:r>
              <w:rPr>
                <w:rFonts w:ascii="Arial" w:hAnsi="Arial" w:eastAsia="Arial"/>
                <w:b w:val="0"/>
                <w:i w:val="0"/>
                <w:sz w:val="18"/>
              </w:rPr>
              <w:t>§5</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