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i w:val="0"/>
          <w:color w:val="1F4E79"/>
          <w:sz w:val="32"/>
        </w:rPr>
        <w:t>Alcance cerrado, exclusiones y EDT</w:t>
      </w:r>
    </w:p>
    <w:p>
      <w:pPr>
        <w:spacing w:after="160"/>
        <w:jc w:val="center"/>
      </w:pPr>
      <w:r>
        <w:rPr>
          <w:rFonts w:ascii="Times New Roman" w:hAnsi="Times New Roman" w:cs="Times New Roman" w:eastAsia="Times New Roman"/>
          <w:b w:val="0"/>
          <w:i/>
          <w:sz w:val="24"/>
        </w:rPr>
        <w:t>Plataforma de operación de kits solares — comunidad piloto</w:t>
      </w:r>
    </w:p>
    <w:p>
      <w:pPr>
        <w:spacing w:line="276" w:lineRule="auto" w:before="200" w:after="80"/>
        <w:ind w:firstLine="0"/>
        <w:jc w:val="left"/>
      </w:pPr>
      <w:r>
        <w:rPr>
          <w:rFonts w:ascii="Times New Roman" w:hAnsi="Times New Roman" w:cs="Times New Roman" w:eastAsia="Times New Roman"/>
          <w:b/>
          <w:i w:val="0"/>
          <w:color w:val="1F4E79"/>
          <w:sz w:val="26"/>
        </w:rPr>
        <w:t>Qué es este proyecto (y qué no)</w:t>
      </w:r>
    </w:p>
    <w:p>
      <w:pPr>
        <w:spacing w:line="360" w:lineRule="auto" w:after="120" w:before="0"/>
        <w:ind w:firstLine="425"/>
        <w:jc w:val="both"/>
      </w:pPr>
      <w:r>
        <w:rPr>
          <w:rFonts w:ascii="Times New Roman" w:hAnsi="Times New Roman" w:cs="Times New Roman" w:eastAsia="Times New Roman"/>
          <w:b w:val="0"/>
          <w:i w:val="0"/>
          <w:sz w:val="24"/>
        </w:rPr>
        <w:t>Este documento cierra el alcance ANTES del Gantt. Si el árbol y las exclusiones no están firmados por el equipo, cualquier barra del cronograma es un deseo. El proyecto GPY1102 es software de operación del piloto. No es un proyecto de ingeniería eléctrica.</w:t>
      </w:r>
    </w:p>
    <w:p>
      <w:pPr>
        <w:spacing w:line="276" w:lineRule="auto" w:before="200" w:after="80"/>
        <w:ind w:firstLine="0"/>
        <w:jc w:val="left"/>
      </w:pPr>
      <w:r>
        <w:rPr>
          <w:rFonts w:ascii="Times New Roman" w:hAnsi="Times New Roman" w:cs="Times New Roman" w:eastAsia="Times New Roman"/>
          <w:b/>
          <w:i w:val="0"/>
          <w:color w:val="1F4E79"/>
          <w:sz w:val="26"/>
        </w:rPr>
        <w:t>Enunciado de alcance (seis mínimos)</w:t>
      </w:r>
    </w:p>
    <w:tbl>
      <w:tblPr>
        <w:tblStyle w:val="TableGrid"/>
        <w:tblW w:type="auto" w:w="0"/>
        <w:jc w:val="center"/>
        <w:tblLayout w:type="autofit"/>
        <w:tblLook w:firstColumn="1" w:firstRow="1" w:lastColumn="0" w:lastRow="0" w:noHBand="0" w:noVBand="1" w:val="04A0"/>
      </w:tblPr>
      <w:tblGrid>
        <w:gridCol w:w="4536"/>
        <w:gridCol w:w="4536"/>
      </w:tblGrid>
      <w:tr>
        <w:tc>
          <w:tcPr>
            <w:tcW w:type="dxa" w:w="2268"/>
            <w:shd w:fill="1F4E79" w:val="clear"/>
          </w:tcPr>
          <w:p>
            <w:pPr>
              <w:spacing w:after="0" w:before="0" w:line="240" w:lineRule="auto"/>
            </w:pPr>
            <w:r/>
            <w:r>
              <w:rPr>
                <w:rFonts w:ascii="Times New Roman" w:hAnsi="Times New Roman" w:cs="Times New Roman" w:eastAsia="Times New Roman"/>
                <w:b/>
                <w:i w:val="0"/>
                <w:color w:val="FFFFFF"/>
                <w:sz w:val="18"/>
              </w:rPr>
              <w:t>Elemento</w:t>
            </w:r>
          </w:p>
        </w:tc>
        <w:tc>
          <w:tcPr>
            <w:tcW w:type="dxa" w:w="6803"/>
            <w:shd w:fill="1F4E79" w:val="clear"/>
          </w:tcPr>
          <w:p>
            <w:pPr>
              <w:spacing w:after="0" w:before="0" w:line="240" w:lineRule="auto"/>
            </w:pPr>
            <w:r/>
            <w:r>
              <w:rPr>
                <w:rFonts w:ascii="Times New Roman" w:hAnsi="Times New Roman" w:cs="Times New Roman" w:eastAsia="Times New Roman"/>
                <w:b/>
                <w:i w:val="0"/>
                <w:color w:val="FFFFFF"/>
                <w:sz w:val="18"/>
              </w:rPr>
              <w:t>Definición cerrada para el piloto</w:t>
            </w:r>
          </w:p>
        </w:tc>
      </w:tr>
      <w:tr>
        <w:tc>
          <w:tcPr>
            <w:tcW w:type="dxa" w:w="2268"/>
          </w:tcPr>
          <w:p>
            <w:pPr>
              <w:spacing w:after="0" w:before="0" w:line="240" w:lineRule="auto"/>
            </w:pPr>
            <w:r/>
            <w:r>
              <w:rPr>
                <w:rFonts w:ascii="Times New Roman" w:hAnsi="Times New Roman" w:cs="Times New Roman" w:eastAsia="Times New Roman"/>
                <w:b w:val="0"/>
                <w:i w:val="0"/>
                <w:sz w:val="18"/>
              </w:rPr>
              <w:t>Producto</w:t>
            </w:r>
          </w:p>
        </w:tc>
        <w:tc>
          <w:tcPr>
            <w:tcW w:type="dxa" w:w="6803"/>
          </w:tcPr>
          <w:p>
            <w:pPr>
              <w:spacing w:after="0" w:before="0" w:line="240" w:lineRule="auto"/>
            </w:pPr>
            <w:r/>
            <w:r>
              <w:rPr>
                <w:rFonts w:ascii="Times New Roman" w:hAnsi="Times New Roman" w:cs="Times New Roman" w:eastAsia="Times New Roman"/>
                <w:b w:val="0"/>
                <w:i w:val="0"/>
                <w:sz w:val="18"/>
              </w:rPr>
              <w:t>Sistema web para registrar kits de UNA comunidad piloto, ver estado, gestionar mantención y emitir reportes. Apoyo de carga por lotes u offline si la red falla.</w:t>
            </w:r>
          </w:p>
        </w:tc>
      </w:tr>
      <w:tr>
        <w:tc>
          <w:tcPr>
            <w:tcW w:type="dxa" w:w="2268"/>
            <w:shd w:fill="F2F2F2" w:val="clear"/>
          </w:tcPr>
          <w:p>
            <w:pPr>
              <w:spacing w:after="0" w:before="0" w:line="240" w:lineRule="auto"/>
            </w:pPr>
            <w:r/>
            <w:r>
              <w:rPr>
                <w:rFonts w:ascii="Times New Roman" w:hAnsi="Times New Roman" w:cs="Times New Roman" w:eastAsia="Times New Roman"/>
                <w:b w:val="0"/>
                <w:i w:val="0"/>
                <w:sz w:val="18"/>
              </w:rPr>
              <w:t>Criterios de aceptación</w:t>
            </w:r>
          </w:p>
        </w:tc>
        <w:tc>
          <w:tcPr>
            <w:tcW w:type="dxa" w:w="6803"/>
            <w:shd w:fill="F2F2F2" w:val="clear"/>
          </w:tcPr>
          <w:p>
            <w:pPr>
              <w:spacing w:after="0" w:before="0" w:line="240" w:lineRule="auto"/>
            </w:pPr>
            <w:r/>
            <w:r>
              <w:rPr>
                <w:rFonts w:ascii="Times New Roman" w:hAnsi="Times New Roman" w:cs="Times New Roman" w:eastAsia="Times New Roman"/>
                <w:b w:val="0"/>
                <w:i w:val="0"/>
                <w:sz w:val="18"/>
              </w:rPr>
              <w:t>Kit con hogar + estado (activo/falla/baja). Ticket nace de un kit en falla y se asigna. Reporte mensual exportable a patrocinadores.</w:t>
            </w:r>
          </w:p>
        </w:tc>
      </w:tr>
      <w:tr>
        <w:tc>
          <w:tcPr>
            <w:tcW w:type="dxa" w:w="2268"/>
          </w:tcPr>
          <w:p>
            <w:pPr>
              <w:spacing w:after="0" w:before="0" w:line="240" w:lineRule="auto"/>
            </w:pPr>
            <w:r/>
            <w:r>
              <w:rPr>
                <w:rFonts w:ascii="Times New Roman" w:hAnsi="Times New Roman" w:cs="Times New Roman" w:eastAsia="Times New Roman"/>
                <w:b w:val="0"/>
                <w:i w:val="0"/>
                <w:sz w:val="18"/>
              </w:rPr>
              <w:t>Entregables</w:t>
            </w:r>
          </w:p>
        </w:tc>
        <w:tc>
          <w:tcPr>
            <w:tcW w:type="dxa" w:w="6803"/>
          </w:tcPr>
          <w:p>
            <w:pPr>
              <w:spacing w:after="0" w:before="0" w:line="240" w:lineRule="auto"/>
            </w:pPr>
            <w:r/>
            <w:r>
              <w:rPr>
                <w:rFonts w:ascii="Times New Roman" w:hAnsi="Times New Roman" w:cs="Times New Roman" w:eastAsia="Times New Roman"/>
                <w:b w:val="0"/>
                <w:i w:val="0"/>
                <w:sz w:val="18"/>
              </w:rPr>
              <w:t>Módulos 2–5, roles/privacidad (6), capacitación (7), acta y plan preliminar, línea base en Project Libre.</w:t>
            </w:r>
          </w:p>
        </w:tc>
      </w:tr>
      <w:tr>
        <w:tc>
          <w:tcPr>
            <w:tcW w:type="dxa" w:w="2268"/>
            <w:shd w:fill="F2F2F2" w:val="clear"/>
          </w:tcPr>
          <w:p>
            <w:pPr>
              <w:spacing w:after="0" w:before="0" w:line="240" w:lineRule="auto"/>
            </w:pPr>
            <w:r/>
            <w:r>
              <w:rPr>
                <w:rFonts w:ascii="Times New Roman" w:hAnsi="Times New Roman" w:cs="Times New Roman" w:eastAsia="Times New Roman"/>
                <w:b w:val="0"/>
                <w:i w:val="0"/>
                <w:sz w:val="18"/>
              </w:rPr>
              <w:t>Exclusiones</w:t>
            </w:r>
          </w:p>
        </w:tc>
        <w:tc>
          <w:tcPr>
            <w:tcW w:type="dxa" w:w="6803"/>
            <w:shd w:fill="F2F2F2" w:val="clear"/>
          </w:tcPr>
          <w:p>
            <w:pPr>
              <w:spacing w:after="0" w:before="0" w:line="240" w:lineRule="auto"/>
            </w:pPr>
            <w:r/>
            <w:r>
              <w:rPr>
                <w:rFonts w:ascii="Times New Roman" w:hAnsi="Times New Roman" w:cs="Times New Roman" w:eastAsia="Times New Roman"/>
                <w:b w:val="0"/>
                <w:i w:val="0"/>
                <w:sz w:val="18"/>
              </w:rPr>
              <w:t>Ver tabla siguiente. Quedan fuera de la EDT y de la ruta crítica.</w:t>
            </w:r>
          </w:p>
        </w:tc>
      </w:tr>
      <w:tr>
        <w:tc>
          <w:tcPr>
            <w:tcW w:type="dxa" w:w="2268"/>
          </w:tcPr>
          <w:p>
            <w:pPr>
              <w:spacing w:after="0" w:before="0" w:line="240" w:lineRule="auto"/>
            </w:pPr>
            <w:r/>
            <w:r>
              <w:rPr>
                <w:rFonts w:ascii="Times New Roman" w:hAnsi="Times New Roman" w:cs="Times New Roman" w:eastAsia="Times New Roman"/>
                <w:b w:val="0"/>
                <w:i w:val="0"/>
                <w:sz w:val="18"/>
              </w:rPr>
              <w:t>Restricciones</w:t>
            </w:r>
          </w:p>
        </w:tc>
        <w:tc>
          <w:tcPr>
            <w:tcW w:type="dxa" w:w="6803"/>
          </w:tcPr>
          <w:p>
            <w:pPr>
              <w:spacing w:after="0" w:before="0" w:line="240" w:lineRule="auto"/>
            </w:pPr>
            <w:r/>
            <w:r>
              <w:rPr>
                <w:rFonts w:ascii="Times New Roman" w:hAnsi="Times New Roman" w:cs="Times New Roman" w:eastAsia="Times New Roman"/>
                <w:b w:val="0"/>
                <w:i w:val="0"/>
                <w:sz w:val="18"/>
              </w:rPr>
              <w:t>Techo US$ 20.700; equipo de 4 + técnico local; conectividad irregular; primer reporte a donantes el 4 de diciembre de 2026.</w:t>
            </w:r>
          </w:p>
        </w:tc>
      </w:tr>
      <w:tr>
        <w:tc>
          <w:tcPr>
            <w:tcW w:type="dxa" w:w="2268"/>
            <w:shd w:fill="F2F2F2" w:val="clear"/>
          </w:tcPr>
          <w:p>
            <w:pPr>
              <w:spacing w:after="0" w:before="0" w:line="240" w:lineRule="auto"/>
            </w:pPr>
            <w:r/>
            <w:r>
              <w:rPr>
                <w:rFonts w:ascii="Times New Roman" w:hAnsi="Times New Roman" w:cs="Times New Roman" w:eastAsia="Times New Roman"/>
                <w:b w:val="0"/>
                <w:i w:val="0"/>
                <w:sz w:val="18"/>
              </w:rPr>
              <w:t>Supuestos</w:t>
            </w:r>
          </w:p>
        </w:tc>
        <w:tc>
          <w:tcPr>
            <w:tcW w:type="dxa" w:w="6803"/>
            <w:shd w:fill="F2F2F2" w:val="clear"/>
          </w:tcPr>
          <w:p>
            <w:pPr>
              <w:spacing w:after="0" w:before="0" w:line="240" w:lineRule="auto"/>
            </w:pPr>
            <w:r/>
            <w:r>
              <w:rPr>
                <w:rFonts w:ascii="Times New Roman" w:hAnsi="Times New Roman" w:cs="Times New Roman" w:eastAsia="Times New Roman"/>
                <w:b w:val="0"/>
                <w:i w:val="0"/>
                <w:sz w:val="18"/>
              </w:rPr>
              <w:t>Comunidad piloto identificada; hay un técnico local; inversores aceptan indicadores simples; existe procedimiento de carga si no hay señal.</w:t>
            </w:r>
          </w:p>
        </w:tc>
      </w:tr>
    </w:tbl>
    <w:p>
      <w:pPr>
        <w:spacing w:after="80"/>
      </w:pPr>
    </w:p>
    <w:p>
      <w:pPr>
        <w:spacing w:line="276" w:lineRule="auto" w:before="200" w:after="80"/>
        <w:ind w:firstLine="0"/>
        <w:jc w:val="left"/>
      </w:pPr>
      <w:r>
        <w:rPr>
          <w:rFonts w:ascii="Times New Roman" w:hAnsi="Times New Roman" w:cs="Times New Roman" w:eastAsia="Times New Roman"/>
          <w:b/>
          <w:i w:val="0"/>
          <w:color w:val="1F4E79"/>
          <w:sz w:val="26"/>
        </w:rPr>
        <w:t>Exclusiones cerradas (con el porqué)</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494"/>
            <w:shd w:fill="1F4E79" w:val="clear"/>
          </w:tcPr>
          <w:p>
            <w:pPr>
              <w:spacing w:after="0" w:before="0" w:line="240" w:lineRule="auto"/>
            </w:pPr>
            <w:r/>
            <w:r>
              <w:rPr>
                <w:rFonts w:ascii="Times New Roman" w:hAnsi="Times New Roman" w:cs="Times New Roman" w:eastAsia="Times New Roman"/>
                <w:b/>
                <w:i w:val="0"/>
                <w:color w:val="FFFFFF"/>
                <w:sz w:val="18"/>
              </w:rPr>
              <w:t>Queda fuera</w:t>
            </w:r>
          </w:p>
        </w:tc>
        <w:tc>
          <w:tcPr>
            <w:tcW w:type="dxa" w:w="3288"/>
            <w:shd w:fill="1F4E79" w:val="clear"/>
          </w:tcPr>
          <w:p>
            <w:pPr>
              <w:spacing w:after="0" w:before="0" w:line="240" w:lineRule="auto"/>
            </w:pPr>
            <w:r/>
            <w:r>
              <w:rPr>
                <w:rFonts w:ascii="Times New Roman" w:hAnsi="Times New Roman" w:cs="Times New Roman" w:eastAsia="Times New Roman"/>
                <w:b/>
                <w:i w:val="0"/>
                <w:color w:val="FFFFFF"/>
                <w:sz w:val="18"/>
              </w:rPr>
              <w:t>Por qué se excluye</w:t>
            </w:r>
          </w:p>
        </w:tc>
        <w:tc>
          <w:tcPr>
            <w:tcW w:type="dxa" w:w="3288"/>
            <w:shd w:fill="1F4E79" w:val="clear"/>
          </w:tcPr>
          <w:p>
            <w:pPr>
              <w:spacing w:after="0" w:before="0" w:line="240" w:lineRule="auto"/>
            </w:pPr>
            <w:r/>
            <w:r>
              <w:rPr>
                <w:rFonts w:ascii="Times New Roman" w:hAnsi="Times New Roman" w:cs="Times New Roman" w:eastAsia="Times New Roman"/>
                <w:b/>
                <w:i w:val="0"/>
                <w:color w:val="FFFFFF"/>
                <w:sz w:val="18"/>
              </w:rPr>
              <w:t>Qué pasaría si no se escribe</w:t>
            </w:r>
          </w:p>
        </w:tc>
      </w:tr>
      <w:tr>
        <w:tc>
          <w:tcPr>
            <w:tcW w:type="dxa" w:w="2494"/>
          </w:tcPr>
          <w:p>
            <w:pPr>
              <w:spacing w:after="0" w:before="0" w:line="240" w:lineRule="auto"/>
            </w:pPr>
            <w:r/>
            <w:r>
              <w:rPr>
                <w:rFonts w:ascii="Times New Roman" w:hAnsi="Times New Roman" w:cs="Times New Roman" w:eastAsia="Times New Roman"/>
                <w:b w:val="0"/>
                <w:i w:val="0"/>
                <w:sz w:val="18"/>
              </w:rPr>
              <w:t>Fabricar o instalar paneles y kits</w:t>
            </w:r>
          </w:p>
        </w:tc>
        <w:tc>
          <w:tcPr>
            <w:tcW w:type="dxa" w:w="3288"/>
          </w:tcPr>
          <w:p>
            <w:pPr>
              <w:spacing w:after="0" w:before="0" w:line="240" w:lineRule="auto"/>
            </w:pPr>
            <w:r/>
            <w:r>
              <w:rPr>
                <w:rFonts w:ascii="Times New Roman" w:hAnsi="Times New Roman" w:cs="Times New Roman" w:eastAsia="Times New Roman"/>
                <w:b w:val="0"/>
                <w:i w:val="0"/>
                <w:sz w:val="18"/>
              </w:rPr>
              <w:t>Es infraestructura energética, no software</w:t>
            </w:r>
          </w:p>
        </w:tc>
        <w:tc>
          <w:tcPr>
            <w:tcW w:type="dxa" w:w="3288"/>
          </w:tcPr>
          <w:p>
            <w:pPr>
              <w:spacing w:after="0" w:before="0" w:line="240" w:lineRule="auto"/>
            </w:pPr>
            <w:r/>
            <w:r>
              <w:rPr>
                <w:rFonts w:ascii="Times New Roman" w:hAnsi="Times New Roman" w:cs="Times New Roman" w:eastAsia="Times New Roman"/>
                <w:b w:val="0"/>
                <w:i w:val="0"/>
                <w:sz w:val="18"/>
              </w:rPr>
              <w:t>El alcance se hincha y el CPM deja de ser de este ramo</w:t>
            </w:r>
          </w:p>
        </w:tc>
      </w:tr>
      <w:tr>
        <w:tc>
          <w:tcPr>
            <w:tcW w:type="dxa" w:w="2494"/>
            <w:shd w:fill="F2F2F2" w:val="clear"/>
          </w:tcPr>
          <w:p>
            <w:pPr>
              <w:spacing w:after="0" w:before="0" w:line="240" w:lineRule="auto"/>
            </w:pPr>
            <w:r/>
            <w:r>
              <w:rPr>
                <w:rFonts w:ascii="Times New Roman" w:hAnsi="Times New Roman" w:cs="Times New Roman" w:eastAsia="Times New Roman"/>
                <w:b w:val="0"/>
                <w:i w:val="0"/>
                <w:sz w:val="18"/>
              </w:rPr>
              <w:t>Tendido eléctrico / microred física</w:t>
            </w:r>
          </w:p>
        </w:tc>
        <w:tc>
          <w:tcPr>
            <w:tcW w:type="dxa" w:w="3288"/>
            <w:shd w:fill="F2F2F2" w:val="clear"/>
          </w:tcPr>
          <w:p>
            <w:pPr>
              <w:spacing w:after="0" w:before="0" w:line="240" w:lineRule="auto"/>
            </w:pPr>
            <w:r/>
            <w:r>
              <w:rPr>
                <w:rFonts w:ascii="Times New Roman" w:hAnsi="Times New Roman" w:cs="Times New Roman" w:eastAsia="Times New Roman"/>
                <w:b w:val="0"/>
                <w:i w:val="0"/>
                <w:sz w:val="18"/>
              </w:rPr>
              <w:t>Fuera de la competencia del equipo</w:t>
            </w:r>
          </w:p>
        </w:tc>
        <w:tc>
          <w:tcPr>
            <w:tcW w:type="dxa" w:w="3288"/>
            <w:shd w:fill="F2F2F2" w:val="clear"/>
          </w:tcPr>
          <w:p>
            <w:pPr>
              <w:spacing w:after="0" w:before="0" w:line="240" w:lineRule="auto"/>
            </w:pPr>
            <w:r/>
            <w:r>
              <w:rPr>
                <w:rFonts w:ascii="Times New Roman" w:hAnsi="Times New Roman" w:cs="Times New Roman" w:eastAsia="Times New Roman"/>
                <w:b w:val="0"/>
                <w:i w:val="0"/>
                <w:sz w:val="18"/>
              </w:rPr>
              <w:t>Se promete algo que no se puede entregar en el semestre</w:t>
            </w:r>
          </w:p>
        </w:tc>
      </w:tr>
      <w:tr>
        <w:tc>
          <w:tcPr>
            <w:tcW w:type="dxa" w:w="2494"/>
          </w:tcPr>
          <w:p>
            <w:pPr>
              <w:spacing w:after="0" w:before="0" w:line="240" w:lineRule="auto"/>
            </w:pPr>
            <w:r/>
            <w:r>
              <w:rPr>
                <w:rFonts w:ascii="Times New Roman" w:hAnsi="Times New Roman" w:cs="Times New Roman" w:eastAsia="Times New Roman"/>
                <w:b w:val="0"/>
                <w:i w:val="0"/>
                <w:sz w:val="18"/>
              </w:rPr>
              <w:t>Microfinanzas o cobro de tarifas</w:t>
            </w:r>
          </w:p>
        </w:tc>
        <w:tc>
          <w:tcPr>
            <w:tcW w:type="dxa" w:w="3288"/>
          </w:tcPr>
          <w:p>
            <w:pPr>
              <w:spacing w:after="0" w:before="0" w:line="240" w:lineRule="auto"/>
            </w:pPr>
            <w:r/>
            <w:r>
              <w:rPr>
                <w:rFonts w:ascii="Times New Roman" w:hAnsi="Times New Roman" w:cs="Times New Roman" w:eastAsia="Times New Roman"/>
                <w:b w:val="0"/>
                <w:i w:val="0"/>
                <w:sz w:val="18"/>
              </w:rPr>
              <w:t>No está en las funcionalidades pedidas</w:t>
            </w:r>
          </w:p>
        </w:tc>
        <w:tc>
          <w:tcPr>
            <w:tcW w:type="dxa" w:w="3288"/>
          </w:tcPr>
          <w:p>
            <w:pPr>
              <w:spacing w:after="0" w:before="0" w:line="240" w:lineRule="auto"/>
            </w:pPr>
            <w:r/>
            <w:r>
              <w:rPr>
                <w:rFonts w:ascii="Times New Roman" w:hAnsi="Times New Roman" w:cs="Times New Roman" w:eastAsia="Times New Roman"/>
                <w:b w:val="0"/>
                <w:i w:val="0"/>
                <w:sz w:val="18"/>
              </w:rPr>
              <w:t>Nace un segundo producto (pagos) sin presupuesto</w:t>
            </w:r>
          </w:p>
        </w:tc>
      </w:tr>
      <w:tr>
        <w:tc>
          <w:tcPr>
            <w:tcW w:type="dxa" w:w="2494"/>
            <w:shd w:fill="F2F2F2" w:val="clear"/>
          </w:tcPr>
          <w:p>
            <w:pPr>
              <w:spacing w:after="0" w:before="0" w:line="240" w:lineRule="auto"/>
            </w:pPr>
            <w:r/>
            <w:r>
              <w:rPr>
                <w:rFonts w:ascii="Times New Roman" w:hAnsi="Times New Roman" w:cs="Times New Roman" w:eastAsia="Times New Roman"/>
                <w:b w:val="0"/>
                <w:i w:val="0"/>
                <w:sz w:val="18"/>
              </w:rPr>
              <w:t>Expansión a otras regiones</w:t>
            </w:r>
          </w:p>
        </w:tc>
        <w:tc>
          <w:tcPr>
            <w:tcW w:type="dxa" w:w="3288"/>
            <w:shd w:fill="F2F2F2" w:val="clear"/>
          </w:tcPr>
          <w:p>
            <w:pPr>
              <w:spacing w:after="0" w:before="0" w:line="240" w:lineRule="auto"/>
            </w:pPr>
            <w:r/>
            <w:r>
              <w:rPr>
                <w:rFonts w:ascii="Times New Roman" w:hAnsi="Times New Roman" w:cs="Times New Roman" w:eastAsia="Times New Roman"/>
                <w:b w:val="0"/>
                <w:i w:val="0"/>
                <w:sz w:val="18"/>
              </w:rPr>
              <w:t>El caso pide UNA comunidad piloto</w:t>
            </w:r>
          </w:p>
        </w:tc>
        <w:tc>
          <w:tcPr>
            <w:tcW w:type="dxa" w:w="3288"/>
            <w:shd w:fill="F2F2F2" w:val="clear"/>
          </w:tcPr>
          <w:p>
            <w:pPr>
              <w:spacing w:after="0" w:before="0" w:line="240" w:lineRule="auto"/>
            </w:pPr>
            <w:r/>
            <w:r>
              <w:rPr>
                <w:rFonts w:ascii="Times New Roman" w:hAnsi="Times New Roman" w:cs="Times New Roman" w:eastAsia="Times New Roman"/>
                <w:b w:val="0"/>
                <w:i w:val="0"/>
                <w:sz w:val="18"/>
              </w:rPr>
              <w:t>Se planifica un roll-out que el acta no autoriza</w:t>
            </w:r>
          </w:p>
        </w:tc>
      </w:tr>
      <w:tr>
        <w:tc>
          <w:tcPr>
            <w:tcW w:type="dxa" w:w="2494"/>
          </w:tcPr>
          <w:p>
            <w:pPr>
              <w:spacing w:after="0" w:before="0" w:line="240" w:lineRule="auto"/>
            </w:pPr>
            <w:r/>
            <w:r>
              <w:rPr>
                <w:rFonts w:ascii="Times New Roman" w:hAnsi="Times New Roman" w:cs="Times New Roman" w:eastAsia="Times New Roman"/>
                <w:b w:val="0"/>
                <w:i w:val="0"/>
                <w:sz w:val="18"/>
              </w:rPr>
              <w:t>App ciudadana masiva</w:t>
            </w:r>
          </w:p>
        </w:tc>
        <w:tc>
          <w:tcPr>
            <w:tcW w:type="dxa" w:w="3288"/>
          </w:tcPr>
          <w:p>
            <w:pPr>
              <w:spacing w:after="0" w:before="0" w:line="240" w:lineRule="auto"/>
            </w:pPr>
            <w:r/>
            <w:r>
              <w:rPr>
                <w:rFonts w:ascii="Times New Roman" w:hAnsi="Times New Roman" w:cs="Times New Roman" w:eastAsia="Times New Roman"/>
                <w:b w:val="0"/>
                <w:i w:val="0"/>
                <w:sz w:val="18"/>
              </w:rPr>
              <w:t>El usuario de esta fase es el soporte local y la dirección</w:t>
            </w:r>
          </w:p>
        </w:tc>
        <w:tc>
          <w:tcPr>
            <w:tcW w:type="dxa" w:w="3288"/>
          </w:tcPr>
          <w:p>
            <w:pPr>
              <w:spacing w:after="0" w:before="0" w:line="240" w:lineRule="auto"/>
            </w:pPr>
            <w:r/>
            <w:r>
              <w:rPr>
                <w:rFonts w:ascii="Times New Roman" w:hAnsi="Times New Roman" w:cs="Times New Roman" w:eastAsia="Times New Roman"/>
                <w:b w:val="0"/>
                <w:i w:val="0"/>
                <w:sz w:val="18"/>
              </w:rPr>
              <w:t>UX y alcance cambian de destinatario</w:t>
            </w:r>
          </w:p>
        </w:tc>
      </w:tr>
      <w:tr>
        <w:tc>
          <w:tcPr>
            <w:tcW w:type="dxa" w:w="2494"/>
            <w:shd w:fill="F2F2F2" w:val="clear"/>
          </w:tcPr>
          <w:p>
            <w:pPr>
              <w:spacing w:after="0" w:before="0" w:line="240" w:lineRule="auto"/>
            </w:pPr>
            <w:r/>
            <w:r>
              <w:rPr>
                <w:rFonts w:ascii="Times New Roman" w:hAnsi="Times New Roman" w:cs="Times New Roman" w:eastAsia="Times New Roman"/>
                <w:b w:val="0"/>
                <w:i w:val="0"/>
                <w:sz w:val="18"/>
              </w:rPr>
              <w:t>Operación continua post-piloto</w:t>
            </w:r>
          </w:p>
        </w:tc>
        <w:tc>
          <w:tcPr>
            <w:tcW w:type="dxa" w:w="3288"/>
            <w:shd w:fill="F2F2F2" w:val="clear"/>
          </w:tcPr>
          <w:p>
            <w:pPr>
              <w:spacing w:after="0" w:before="0" w:line="240" w:lineRule="auto"/>
            </w:pPr>
            <w:r/>
            <w:r>
              <w:rPr>
                <w:rFonts w:ascii="Times New Roman" w:hAnsi="Times New Roman" w:cs="Times New Roman" w:eastAsia="Times New Roman"/>
                <w:b w:val="0"/>
                <w:i w:val="0"/>
                <w:sz w:val="18"/>
              </w:rPr>
              <w:t>Eso es operación, no proyecto</w:t>
            </w:r>
          </w:p>
        </w:tc>
        <w:tc>
          <w:tcPr>
            <w:tcW w:type="dxa" w:w="3288"/>
            <w:shd w:fill="F2F2F2" w:val="clear"/>
          </w:tcPr>
          <w:p>
            <w:pPr>
              <w:spacing w:after="0" w:before="0" w:line="240" w:lineRule="auto"/>
            </w:pPr>
            <w:r/>
            <w:r>
              <w:rPr>
                <w:rFonts w:ascii="Times New Roman" w:hAnsi="Times New Roman" w:cs="Times New Roman" w:eastAsia="Times New Roman"/>
                <w:b w:val="0"/>
                <w:i w:val="0"/>
                <w:sz w:val="18"/>
              </w:rPr>
              <w:t>El cierre (Unidad 3) no tendría frontera</w:t>
            </w:r>
          </w:p>
        </w:tc>
      </w:tr>
    </w:tbl>
    <w:p>
      <w:pPr>
        <w:spacing w:after="80"/>
      </w:pPr>
    </w:p>
    <w:p>
      <w:pPr>
        <w:spacing w:line="360" w:lineRule="auto" w:after="120" w:before="0"/>
        <w:ind w:firstLine="425"/>
        <w:jc w:val="both"/>
      </w:pPr>
      <w:r>
        <w:rPr>
          <w:rFonts w:ascii="Times New Roman" w:hAnsi="Times New Roman" w:cs="Times New Roman" w:eastAsia="Times New Roman"/>
          <w:b w:val="0"/>
          <w:i w:val="0"/>
          <w:sz w:val="24"/>
        </w:rPr>
        <w:t>Regla del equipo: si alguien pide “de paso un dashboard para toda India”, es un cambio. No se mete por el ladito al Gantt.</w:t>
      </w:r>
    </w:p>
    <w:p>
      <w:pPr>
        <w:spacing w:line="276" w:lineRule="auto" w:before="200" w:after="80"/>
        <w:ind w:firstLine="0"/>
        <w:jc w:val="left"/>
      </w:pPr>
      <w:r>
        <w:rPr>
          <w:rFonts w:ascii="Times New Roman" w:hAnsi="Times New Roman" w:cs="Times New Roman" w:eastAsia="Times New Roman"/>
          <w:b/>
          <w:i w:val="0"/>
          <w:color w:val="1F4E79"/>
          <w:sz w:val="26"/>
        </w:rPr>
        <w:t>EDT completa (regla del 100 %)</w:t>
      </w:r>
    </w:p>
    <w:p>
      <w:pPr>
        <w:spacing w:line="360" w:lineRule="auto" w:after="120" w:before="0"/>
        <w:ind w:firstLine="425"/>
        <w:jc w:val="both"/>
      </w:pPr>
      <w:r>
        <w:rPr>
          <w:rFonts w:ascii="Times New Roman" w:hAnsi="Times New Roman" w:cs="Times New Roman" w:eastAsia="Times New Roman"/>
          <w:b w:val="0"/>
          <w:i w:val="0"/>
          <w:sz w:val="24"/>
        </w:rPr>
        <w:t>Nivel 1 = cuentas de control (ahí se medirá alcance, plazo y costo juntos en la Unidad 2). Nivel 2 = paquetes de trabajo estimables. Lo que no aparece aquí no existe para el piloto.</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134"/>
            <w:shd w:fill="1F4E79" w:val="clear"/>
          </w:tcPr>
          <w:p>
            <w:pPr>
              <w:spacing w:after="0" w:before="0" w:line="240" w:lineRule="auto"/>
            </w:pPr>
            <w:r/>
            <w:r>
              <w:rPr>
                <w:rFonts w:ascii="Times New Roman" w:hAnsi="Times New Roman" w:cs="Times New Roman" w:eastAsia="Times New Roman"/>
                <w:b/>
                <w:i w:val="0"/>
                <w:color w:val="FFFFFF"/>
                <w:sz w:val="18"/>
              </w:rPr>
              <w:t>ID</w:t>
            </w:r>
          </w:p>
        </w:tc>
        <w:tc>
          <w:tcPr>
            <w:tcW w:type="dxa" w:w="4649"/>
            <w:shd w:fill="1F4E79" w:val="clear"/>
          </w:tcPr>
          <w:p>
            <w:pPr>
              <w:spacing w:after="0" w:before="0" w:line="240" w:lineRule="auto"/>
            </w:pPr>
            <w:r/>
            <w:r>
              <w:rPr>
                <w:rFonts w:ascii="Times New Roman" w:hAnsi="Times New Roman" w:cs="Times New Roman" w:eastAsia="Times New Roman"/>
                <w:b/>
                <w:i w:val="0"/>
                <w:color w:val="FFFFFF"/>
                <w:sz w:val="18"/>
              </w:rPr>
              <w:t>Nombre</w:t>
            </w:r>
          </w:p>
        </w:tc>
        <w:tc>
          <w:tcPr>
            <w:tcW w:type="dxa" w:w="1928"/>
            <w:shd w:fill="1F4E79" w:val="clear"/>
          </w:tcPr>
          <w:p>
            <w:pPr>
              <w:spacing w:after="0" w:before="0" w:line="240" w:lineRule="auto"/>
            </w:pPr>
            <w:r/>
            <w:r>
              <w:rPr>
                <w:rFonts w:ascii="Times New Roman" w:hAnsi="Times New Roman" w:cs="Times New Roman" w:eastAsia="Times New Roman"/>
                <w:b/>
                <w:i w:val="0"/>
                <w:color w:val="FFFFFF"/>
                <w:sz w:val="18"/>
              </w:rPr>
              <w:t>Nivel</w:t>
            </w:r>
          </w:p>
        </w:tc>
        <w:tc>
          <w:tcPr>
            <w:tcW w:type="dxa" w:w="1134"/>
            <w:shd w:fill="1F4E79" w:val="clear"/>
          </w:tcPr>
          <w:p>
            <w:pPr>
              <w:spacing w:after="0" w:before="0" w:line="240" w:lineRule="auto"/>
            </w:pPr>
            <w:r/>
            <w:r>
              <w:rPr>
                <w:rFonts w:ascii="Times New Roman" w:hAnsi="Times New Roman" w:cs="Times New Roman" w:eastAsia="Times New Roman"/>
                <w:b/>
                <w:i w:val="0"/>
                <w:color w:val="FFFFFF"/>
                <w:sz w:val="18"/>
              </w:rPr>
              <w:t>Duración</w:t>
            </w:r>
          </w:p>
        </w:tc>
        <w:tc>
          <w:tcPr>
            <w:tcW w:type="dxa" w:w="1361"/>
            <w:shd w:fill="1F4E79" w:val="clear"/>
          </w:tcPr>
          <w:p>
            <w:pPr>
              <w:spacing w:after="0" w:before="0" w:line="240" w:lineRule="auto"/>
            </w:pPr>
            <w:r/>
            <w:r>
              <w:rPr>
                <w:rFonts w:ascii="Times New Roman" w:hAnsi="Times New Roman" w:cs="Times New Roman" w:eastAsia="Times New Roman"/>
                <w:b/>
                <w:i w:val="0"/>
                <w:color w:val="FFFFFF"/>
                <w:sz w:val="18"/>
              </w:rPr>
              <w:t>¿Crítica?</w:t>
            </w:r>
          </w:p>
        </w:tc>
      </w:tr>
      <w:tr>
        <w:tc>
          <w:tcPr>
            <w:tcW w:type="dxa" w:w="1134"/>
          </w:tcPr>
          <w:p>
            <w:pPr>
              <w:spacing w:after="0" w:before="0" w:line="240" w:lineRule="auto"/>
            </w:pPr>
            <w:r/>
            <w:r>
              <w:rPr>
                <w:rFonts w:ascii="Times New Roman" w:hAnsi="Times New Roman" w:cs="Times New Roman" w:eastAsia="Times New Roman"/>
                <w:b w:val="0"/>
                <w:i w:val="0"/>
                <w:sz w:val="18"/>
              </w:rPr>
              <w:t>1</w:t>
            </w:r>
          </w:p>
        </w:tc>
        <w:tc>
          <w:tcPr>
            <w:tcW w:type="dxa" w:w="4649"/>
          </w:tcPr>
          <w:p>
            <w:pPr>
              <w:spacing w:after="0" w:before="0" w:line="240" w:lineRule="auto"/>
            </w:pPr>
            <w:r/>
            <w:r>
              <w:rPr>
                <w:rFonts w:ascii="Times New Roman" w:hAnsi="Times New Roman" w:cs="Times New Roman" w:eastAsia="Times New Roman"/>
                <w:b w:val="0"/>
                <w:i w:val="0"/>
                <w:sz w:val="18"/>
              </w:rPr>
              <w:t>DIRECCIÓN DEL PROYECTO</w:t>
            </w:r>
          </w:p>
        </w:tc>
        <w:tc>
          <w:tcPr>
            <w:tcW w:type="dxa" w:w="1928"/>
          </w:tcPr>
          <w:p>
            <w:pPr>
              <w:spacing w:after="0" w:before="0" w:line="240" w:lineRule="auto"/>
            </w:pPr>
            <w:r/>
            <w:r>
              <w:rPr>
                <w:rFonts w:ascii="Times New Roman" w:hAnsi="Times New Roman" w:cs="Times New Roman" w:eastAsia="Times New Roman"/>
                <w:b w:val="0"/>
                <w:i w:val="0"/>
                <w:sz w:val="18"/>
              </w:rPr>
              <w:t>Cuenta de control</w:t>
            </w:r>
          </w:p>
        </w:tc>
        <w:tc>
          <w:tcPr>
            <w:tcW w:type="dxa" w:w="1134"/>
          </w:tcPr>
          <w:p>
            <w:pPr>
              <w:spacing w:after="0" w:before="0" w:line="240" w:lineRule="auto"/>
            </w:pPr>
            <w:r/>
            <w:r>
              <w:rPr>
                <w:rFonts w:ascii="Times New Roman" w:hAnsi="Times New Roman" w:cs="Times New Roman" w:eastAsia="Times New Roman"/>
                <w:b w:val="0"/>
                <w:i w:val="0"/>
                <w:sz w:val="18"/>
              </w:rPr>
              <w:t>—</w:t>
            </w:r>
          </w:p>
        </w:tc>
        <w:tc>
          <w:tcPr>
            <w:tcW w:type="dxa" w:w="1361"/>
          </w:tcPr>
          <w:p>
            <w:pPr>
              <w:spacing w:after="0" w:before="0" w:line="240" w:lineRule="auto"/>
            </w:pPr>
            <w:r/>
            <w:r>
              <w:rPr>
                <w:rFonts w:ascii="Times New Roman" w:hAnsi="Times New Roman" w:cs="Times New Roman" w:eastAsia="Times New Roman"/>
                <w:b w:val="0"/>
                <w:i w:val="0"/>
                <w:sz w:val="18"/>
              </w:rPr>
              <w:t>—</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1.1</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Acta de constitución e interesados</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3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Sí</w:t>
            </w:r>
          </w:p>
        </w:tc>
      </w:tr>
      <w:tr>
        <w:tc>
          <w:tcPr>
            <w:tcW w:type="dxa" w:w="1134"/>
          </w:tcPr>
          <w:p>
            <w:pPr>
              <w:spacing w:after="0" w:before="0" w:line="240" w:lineRule="auto"/>
            </w:pPr>
            <w:r/>
            <w:r>
              <w:rPr>
                <w:rFonts w:ascii="Times New Roman" w:hAnsi="Times New Roman" w:cs="Times New Roman" w:eastAsia="Times New Roman"/>
                <w:b w:val="0"/>
                <w:i w:val="0"/>
                <w:sz w:val="18"/>
              </w:rPr>
              <w:t>1.2</w:t>
            </w:r>
          </w:p>
        </w:tc>
        <w:tc>
          <w:tcPr>
            <w:tcW w:type="dxa" w:w="4649"/>
          </w:tcPr>
          <w:p>
            <w:pPr>
              <w:spacing w:after="0" w:before="0" w:line="240" w:lineRule="auto"/>
            </w:pPr>
            <w:r/>
            <w:r>
              <w:rPr>
                <w:rFonts w:ascii="Times New Roman" w:hAnsi="Times New Roman" w:cs="Times New Roman" w:eastAsia="Times New Roman"/>
                <w:b w:val="0"/>
                <w:i w:val="0"/>
                <w:sz w:val="18"/>
              </w:rPr>
              <w:t>Plan preliminar y línea base</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5 d</w:t>
            </w:r>
          </w:p>
        </w:tc>
        <w:tc>
          <w:tcPr>
            <w:tcW w:type="dxa" w:w="1361"/>
          </w:tcPr>
          <w:p>
            <w:pPr>
              <w:spacing w:after="0" w:before="0" w:line="240" w:lineRule="auto"/>
            </w:pPr>
            <w:r/>
            <w:r>
              <w:rPr>
                <w:rFonts w:ascii="Times New Roman" w:hAnsi="Times New Roman" w:cs="Times New Roman" w:eastAsia="Times New Roman"/>
                <w:b w:val="0"/>
                <w:i w:val="0"/>
                <w:sz w:val="18"/>
              </w:rPr>
              <w:t>No</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1.3</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Riesgos de alto nivel y comunicación</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4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No</w:t>
            </w:r>
          </w:p>
        </w:tc>
      </w:tr>
      <w:tr>
        <w:tc>
          <w:tcPr>
            <w:tcW w:type="dxa" w:w="1134"/>
          </w:tcPr>
          <w:p>
            <w:pPr>
              <w:spacing w:after="0" w:before="0" w:line="240" w:lineRule="auto"/>
            </w:pPr>
            <w:r/>
            <w:r>
              <w:rPr>
                <w:rFonts w:ascii="Times New Roman" w:hAnsi="Times New Roman" w:cs="Times New Roman" w:eastAsia="Times New Roman"/>
                <w:b w:val="0"/>
                <w:i w:val="0"/>
                <w:sz w:val="18"/>
              </w:rPr>
              <w:t>2</w:t>
            </w:r>
          </w:p>
        </w:tc>
        <w:tc>
          <w:tcPr>
            <w:tcW w:type="dxa" w:w="4649"/>
          </w:tcPr>
          <w:p>
            <w:pPr>
              <w:spacing w:after="0" w:before="0" w:line="240" w:lineRule="auto"/>
            </w:pPr>
            <w:r/>
            <w:r>
              <w:rPr>
                <w:rFonts w:ascii="Times New Roman" w:hAnsi="Times New Roman" w:cs="Times New Roman" w:eastAsia="Times New Roman"/>
                <w:b w:val="0"/>
                <w:i w:val="0"/>
                <w:sz w:val="18"/>
              </w:rPr>
              <w:t>INVENTARIO DE KITS Y HOGARES</w:t>
            </w:r>
          </w:p>
        </w:tc>
        <w:tc>
          <w:tcPr>
            <w:tcW w:type="dxa" w:w="1928"/>
          </w:tcPr>
          <w:p>
            <w:pPr>
              <w:spacing w:after="0" w:before="0" w:line="240" w:lineRule="auto"/>
            </w:pPr>
            <w:r/>
            <w:r>
              <w:rPr>
                <w:rFonts w:ascii="Times New Roman" w:hAnsi="Times New Roman" w:cs="Times New Roman" w:eastAsia="Times New Roman"/>
                <w:b w:val="0"/>
                <w:i w:val="0"/>
                <w:sz w:val="18"/>
              </w:rPr>
              <w:t>Cuenta de control</w:t>
            </w:r>
          </w:p>
        </w:tc>
        <w:tc>
          <w:tcPr>
            <w:tcW w:type="dxa" w:w="1134"/>
          </w:tcPr>
          <w:p>
            <w:pPr>
              <w:spacing w:after="0" w:before="0" w:line="240" w:lineRule="auto"/>
            </w:pPr>
            <w:r/>
            <w:r>
              <w:rPr>
                <w:rFonts w:ascii="Times New Roman" w:hAnsi="Times New Roman" w:cs="Times New Roman" w:eastAsia="Times New Roman"/>
                <w:b w:val="0"/>
                <w:i w:val="0"/>
                <w:sz w:val="18"/>
              </w:rPr>
              <w:t>—</w:t>
            </w:r>
          </w:p>
        </w:tc>
        <w:tc>
          <w:tcPr>
            <w:tcW w:type="dxa" w:w="1361"/>
          </w:tcPr>
          <w:p>
            <w:pPr>
              <w:spacing w:after="0" w:before="0" w:line="240" w:lineRule="auto"/>
            </w:pPr>
            <w:r/>
            <w:r>
              <w:rPr>
                <w:rFonts w:ascii="Times New Roman" w:hAnsi="Times New Roman" w:cs="Times New Roman" w:eastAsia="Times New Roman"/>
                <w:b w:val="0"/>
                <w:i w:val="0"/>
                <w:sz w:val="18"/>
              </w:rPr>
              <w:t>—</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2.1</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Modelo de datos (comunidad, hogar, kit)</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8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Sí</w:t>
            </w:r>
          </w:p>
        </w:tc>
      </w:tr>
      <w:tr>
        <w:tc>
          <w:tcPr>
            <w:tcW w:type="dxa" w:w="1134"/>
          </w:tcPr>
          <w:p>
            <w:pPr>
              <w:spacing w:after="0" w:before="0" w:line="240" w:lineRule="auto"/>
            </w:pPr>
            <w:r/>
            <w:r>
              <w:rPr>
                <w:rFonts w:ascii="Times New Roman" w:hAnsi="Times New Roman" w:cs="Times New Roman" w:eastAsia="Times New Roman"/>
                <w:b w:val="0"/>
                <w:i w:val="0"/>
                <w:sz w:val="18"/>
              </w:rPr>
              <w:t>2.2</w:t>
            </w:r>
          </w:p>
        </w:tc>
        <w:tc>
          <w:tcPr>
            <w:tcW w:type="dxa" w:w="4649"/>
          </w:tcPr>
          <w:p>
            <w:pPr>
              <w:spacing w:after="0" w:before="0" w:line="240" w:lineRule="auto"/>
            </w:pPr>
            <w:r/>
            <w:r>
              <w:rPr>
                <w:rFonts w:ascii="Times New Roman" w:hAnsi="Times New Roman" w:cs="Times New Roman" w:eastAsia="Times New Roman"/>
                <w:b w:val="0"/>
                <w:i w:val="0"/>
                <w:sz w:val="18"/>
              </w:rPr>
              <w:t>Estados operativos del kit</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5 d</w:t>
            </w:r>
          </w:p>
        </w:tc>
        <w:tc>
          <w:tcPr>
            <w:tcW w:type="dxa" w:w="1361"/>
          </w:tcPr>
          <w:p>
            <w:pPr>
              <w:spacing w:after="0" w:before="0" w:line="240" w:lineRule="auto"/>
            </w:pPr>
            <w:r/>
            <w:r>
              <w:rPr>
                <w:rFonts w:ascii="Times New Roman" w:hAnsi="Times New Roman" w:cs="Times New Roman" w:eastAsia="Times New Roman"/>
                <w:b w:val="0"/>
                <w:i w:val="0"/>
                <w:sz w:val="18"/>
              </w:rPr>
              <w:t>Sí</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2.3</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Carga inicial del piloto</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6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Sí</w:t>
            </w:r>
          </w:p>
        </w:tc>
      </w:tr>
      <w:tr>
        <w:tc>
          <w:tcPr>
            <w:tcW w:type="dxa" w:w="1134"/>
          </w:tcPr>
          <w:p>
            <w:pPr>
              <w:spacing w:after="0" w:before="0" w:line="240" w:lineRule="auto"/>
            </w:pPr>
            <w:r/>
            <w:r>
              <w:rPr>
                <w:rFonts w:ascii="Times New Roman" w:hAnsi="Times New Roman" w:cs="Times New Roman" w:eastAsia="Times New Roman"/>
                <w:b w:val="0"/>
                <w:i w:val="0"/>
                <w:sz w:val="18"/>
              </w:rPr>
              <w:t>2.4</w:t>
            </w:r>
          </w:p>
        </w:tc>
        <w:tc>
          <w:tcPr>
            <w:tcW w:type="dxa" w:w="4649"/>
          </w:tcPr>
          <w:p>
            <w:pPr>
              <w:spacing w:after="0" w:before="0" w:line="240" w:lineRule="auto"/>
            </w:pPr>
            <w:r/>
            <w:r>
              <w:rPr>
                <w:rFonts w:ascii="Times New Roman" w:hAnsi="Times New Roman" w:cs="Times New Roman" w:eastAsia="Times New Roman"/>
                <w:b w:val="0"/>
                <w:i w:val="0"/>
                <w:sz w:val="18"/>
              </w:rPr>
              <w:t>Validación con soporte local</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4 d</w:t>
            </w:r>
          </w:p>
        </w:tc>
        <w:tc>
          <w:tcPr>
            <w:tcW w:type="dxa" w:w="1361"/>
          </w:tcPr>
          <w:p>
            <w:pPr>
              <w:spacing w:after="0" w:before="0" w:line="240" w:lineRule="auto"/>
            </w:pPr>
            <w:r/>
            <w:r>
              <w:rPr>
                <w:rFonts w:ascii="Times New Roman" w:hAnsi="Times New Roman" w:cs="Times New Roman" w:eastAsia="Times New Roman"/>
                <w:b w:val="0"/>
                <w:i w:val="0"/>
                <w:sz w:val="18"/>
              </w:rPr>
              <w:t>No</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3</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TABLERO OPERATIVO</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Cuenta de control</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w:t>
            </w:r>
          </w:p>
        </w:tc>
      </w:tr>
      <w:tr>
        <w:tc>
          <w:tcPr>
            <w:tcW w:type="dxa" w:w="1134"/>
          </w:tcPr>
          <w:p>
            <w:pPr>
              <w:spacing w:after="0" w:before="0" w:line="240" w:lineRule="auto"/>
            </w:pPr>
            <w:r/>
            <w:r>
              <w:rPr>
                <w:rFonts w:ascii="Times New Roman" w:hAnsi="Times New Roman" w:cs="Times New Roman" w:eastAsia="Times New Roman"/>
                <w:b w:val="0"/>
                <w:i w:val="0"/>
                <w:sz w:val="18"/>
              </w:rPr>
              <w:t>3.1</w:t>
            </w:r>
          </w:p>
        </w:tc>
        <w:tc>
          <w:tcPr>
            <w:tcW w:type="dxa" w:w="4649"/>
          </w:tcPr>
          <w:p>
            <w:pPr>
              <w:spacing w:after="0" w:before="0" w:line="240" w:lineRule="auto"/>
            </w:pPr>
            <w:r/>
            <w:r>
              <w:rPr>
                <w:rFonts w:ascii="Times New Roman" w:hAnsi="Times New Roman" w:cs="Times New Roman" w:eastAsia="Times New Roman"/>
                <w:b w:val="0"/>
                <w:i w:val="0"/>
                <w:sz w:val="18"/>
              </w:rPr>
              <w:t>Vista general de la comunidad</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8 d</w:t>
            </w:r>
          </w:p>
        </w:tc>
        <w:tc>
          <w:tcPr>
            <w:tcW w:type="dxa" w:w="1361"/>
          </w:tcPr>
          <w:p>
            <w:pPr>
              <w:spacing w:after="0" w:before="0" w:line="240" w:lineRule="auto"/>
            </w:pPr>
            <w:r/>
            <w:r>
              <w:rPr>
                <w:rFonts w:ascii="Times New Roman" w:hAnsi="Times New Roman" w:cs="Times New Roman" w:eastAsia="Times New Roman"/>
                <w:b w:val="0"/>
                <w:i w:val="0"/>
                <w:sz w:val="18"/>
              </w:rPr>
              <w:t>Sí</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3.2</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Vista individual del kit</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6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Sí</w:t>
            </w:r>
          </w:p>
        </w:tc>
      </w:tr>
      <w:tr>
        <w:tc>
          <w:tcPr>
            <w:tcW w:type="dxa" w:w="1134"/>
          </w:tcPr>
          <w:p>
            <w:pPr>
              <w:spacing w:after="0" w:before="0" w:line="240" w:lineRule="auto"/>
            </w:pPr>
            <w:r/>
            <w:r>
              <w:rPr>
                <w:rFonts w:ascii="Times New Roman" w:hAnsi="Times New Roman" w:cs="Times New Roman" w:eastAsia="Times New Roman"/>
                <w:b w:val="0"/>
                <w:i w:val="0"/>
                <w:sz w:val="18"/>
              </w:rPr>
              <w:t>3.3</w:t>
            </w:r>
          </w:p>
        </w:tc>
        <w:tc>
          <w:tcPr>
            <w:tcW w:type="dxa" w:w="4649"/>
          </w:tcPr>
          <w:p>
            <w:pPr>
              <w:spacing w:after="0" w:before="0" w:line="240" w:lineRule="auto"/>
            </w:pPr>
            <w:r/>
            <w:r>
              <w:rPr>
                <w:rFonts w:ascii="Times New Roman" w:hAnsi="Times New Roman" w:cs="Times New Roman" w:eastAsia="Times New Roman"/>
                <w:b w:val="0"/>
                <w:i w:val="0"/>
                <w:sz w:val="18"/>
              </w:rPr>
              <w:t>Indicadores de estado</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5 d</w:t>
            </w:r>
          </w:p>
        </w:tc>
        <w:tc>
          <w:tcPr>
            <w:tcW w:type="dxa" w:w="1361"/>
          </w:tcPr>
          <w:p>
            <w:pPr>
              <w:spacing w:after="0" w:before="0" w:line="240" w:lineRule="auto"/>
            </w:pPr>
            <w:r/>
            <w:r>
              <w:rPr>
                <w:rFonts w:ascii="Times New Roman" w:hAnsi="Times New Roman" w:cs="Times New Roman" w:eastAsia="Times New Roman"/>
                <w:b w:val="0"/>
                <w:i w:val="0"/>
                <w:sz w:val="18"/>
              </w:rPr>
              <w:t>No</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3.4</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Ajustes de usabilidad con técnico local</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5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No</w:t>
            </w:r>
          </w:p>
        </w:tc>
      </w:tr>
      <w:tr>
        <w:tc>
          <w:tcPr>
            <w:tcW w:type="dxa" w:w="1134"/>
          </w:tcPr>
          <w:p>
            <w:pPr>
              <w:spacing w:after="0" w:before="0" w:line="240" w:lineRule="auto"/>
            </w:pPr>
            <w:r/>
            <w:r>
              <w:rPr>
                <w:rFonts w:ascii="Times New Roman" w:hAnsi="Times New Roman" w:cs="Times New Roman" w:eastAsia="Times New Roman"/>
                <w:b w:val="0"/>
                <w:i w:val="0"/>
                <w:sz w:val="18"/>
              </w:rPr>
              <w:t>4</w:t>
            </w:r>
          </w:p>
        </w:tc>
        <w:tc>
          <w:tcPr>
            <w:tcW w:type="dxa" w:w="4649"/>
          </w:tcPr>
          <w:p>
            <w:pPr>
              <w:spacing w:after="0" w:before="0" w:line="240" w:lineRule="auto"/>
            </w:pPr>
            <w:r/>
            <w:r>
              <w:rPr>
                <w:rFonts w:ascii="Times New Roman" w:hAnsi="Times New Roman" w:cs="Times New Roman" w:eastAsia="Times New Roman"/>
                <w:b w:val="0"/>
                <w:i w:val="0"/>
                <w:sz w:val="18"/>
              </w:rPr>
              <w:t>MONITOREO, TICKETS Y MANTENCIÓN</w:t>
            </w:r>
          </w:p>
        </w:tc>
        <w:tc>
          <w:tcPr>
            <w:tcW w:type="dxa" w:w="1928"/>
          </w:tcPr>
          <w:p>
            <w:pPr>
              <w:spacing w:after="0" w:before="0" w:line="240" w:lineRule="auto"/>
            </w:pPr>
            <w:r/>
            <w:r>
              <w:rPr>
                <w:rFonts w:ascii="Times New Roman" w:hAnsi="Times New Roman" w:cs="Times New Roman" w:eastAsia="Times New Roman"/>
                <w:b w:val="0"/>
                <w:i w:val="0"/>
                <w:sz w:val="18"/>
              </w:rPr>
              <w:t>Cuenta de control</w:t>
            </w:r>
          </w:p>
        </w:tc>
        <w:tc>
          <w:tcPr>
            <w:tcW w:type="dxa" w:w="1134"/>
          </w:tcPr>
          <w:p>
            <w:pPr>
              <w:spacing w:after="0" w:before="0" w:line="240" w:lineRule="auto"/>
            </w:pPr>
            <w:r/>
            <w:r>
              <w:rPr>
                <w:rFonts w:ascii="Times New Roman" w:hAnsi="Times New Roman" w:cs="Times New Roman" w:eastAsia="Times New Roman"/>
                <w:b w:val="0"/>
                <w:i w:val="0"/>
                <w:sz w:val="18"/>
              </w:rPr>
              <w:t>—</w:t>
            </w:r>
          </w:p>
        </w:tc>
        <w:tc>
          <w:tcPr>
            <w:tcW w:type="dxa" w:w="1361"/>
          </w:tcPr>
          <w:p>
            <w:pPr>
              <w:spacing w:after="0" w:before="0" w:line="240" w:lineRule="auto"/>
            </w:pPr>
            <w:r/>
            <w:r>
              <w:rPr>
                <w:rFonts w:ascii="Times New Roman" w:hAnsi="Times New Roman" w:cs="Times New Roman" w:eastAsia="Times New Roman"/>
                <w:b w:val="0"/>
                <w:i w:val="0"/>
                <w:sz w:val="18"/>
              </w:rPr>
              <w:t>—</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4.1</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Registro de rendimiento</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6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No</w:t>
            </w:r>
          </w:p>
        </w:tc>
      </w:tr>
      <w:tr>
        <w:tc>
          <w:tcPr>
            <w:tcW w:type="dxa" w:w="1134"/>
          </w:tcPr>
          <w:p>
            <w:pPr>
              <w:spacing w:after="0" w:before="0" w:line="240" w:lineRule="auto"/>
            </w:pPr>
            <w:r/>
            <w:r>
              <w:rPr>
                <w:rFonts w:ascii="Times New Roman" w:hAnsi="Times New Roman" w:cs="Times New Roman" w:eastAsia="Times New Roman"/>
                <w:b w:val="0"/>
                <w:i w:val="0"/>
                <w:sz w:val="18"/>
              </w:rPr>
              <w:t>4.2</w:t>
            </w:r>
          </w:p>
        </w:tc>
        <w:tc>
          <w:tcPr>
            <w:tcW w:type="dxa" w:w="4649"/>
          </w:tcPr>
          <w:p>
            <w:pPr>
              <w:spacing w:after="0" w:before="0" w:line="240" w:lineRule="auto"/>
            </w:pPr>
            <w:r/>
            <w:r>
              <w:rPr>
                <w:rFonts w:ascii="Times New Roman" w:hAnsi="Times New Roman" w:cs="Times New Roman" w:eastAsia="Times New Roman"/>
                <w:b w:val="0"/>
                <w:i w:val="0"/>
                <w:sz w:val="18"/>
              </w:rPr>
              <w:t>Flujo de tickets</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8 d</w:t>
            </w:r>
          </w:p>
        </w:tc>
        <w:tc>
          <w:tcPr>
            <w:tcW w:type="dxa" w:w="1361"/>
          </w:tcPr>
          <w:p>
            <w:pPr>
              <w:spacing w:after="0" w:before="0" w:line="240" w:lineRule="auto"/>
            </w:pPr>
            <w:r/>
            <w:r>
              <w:rPr>
                <w:rFonts w:ascii="Times New Roman" w:hAnsi="Times New Roman" w:cs="Times New Roman" w:eastAsia="Times New Roman"/>
                <w:b w:val="0"/>
                <w:i w:val="0"/>
                <w:sz w:val="18"/>
              </w:rPr>
              <w:t>Sí</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4.3</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Asignación a soporte local</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5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Sí</w:t>
            </w:r>
          </w:p>
        </w:tc>
      </w:tr>
      <w:tr>
        <w:tc>
          <w:tcPr>
            <w:tcW w:type="dxa" w:w="1134"/>
          </w:tcPr>
          <w:p>
            <w:pPr>
              <w:spacing w:after="0" w:before="0" w:line="240" w:lineRule="auto"/>
            </w:pPr>
            <w:r/>
            <w:r>
              <w:rPr>
                <w:rFonts w:ascii="Times New Roman" w:hAnsi="Times New Roman" w:cs="Times New Roman" w:eastAsia="Times New Roman"/>
                <w:b w:val="0"/>
                <w:i w:val="0"/>
                <w:sz w:val="18"/>
              </w:rPr>
              <w:t>4.4</w:t>
            </w:r>
          </w:p>
        </w:tc>
        <w:tc>
          <w:tcPr>
            <w:tcW w:type="dxa" w:w="4649"/>
          </w:tcPr>
          <w:p>
            <w:pPr>
              <w:spacing w:after="0" w:before="0" w:line="240" w:lineRule="auto"/>
            </w:pPr>
            <w:r/>
            <w:r>
              <w:rPr>
                <w:rFonts w:ascii="Times New Roman" w:hAnsi="Times New Roman" w:cs="Times New Roman" w:eastAsia="Times New Roman"/>
                <w:b w:val="0"/>
                <w:i w:val="0"/>
                <w:sz w:val="18"/>
              </w:rPr>
              <w:t>Prueba en terreno (PERT)</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8 d</w:t>
            </w:r>
          </w:p>
        </w:tc>
        <w:tc>
          <w:tcPr>
            <w:tcW w:type="dxa" w:w="1361"/>
          </w:tcPr>
          <w:p>
            <w:pPr>
              <w:spacing w:after="0" w:before="0" w:line="240" w:lineRule="auto"/>
            </w:pPr>
            <w:r/>
            <w:r>
              <w:rPr>
                <w:rFonts w:ascii="Times New Roman" w:hAnsi="Times New Roman" w:cs="Times New Roman" w:eastAsia="Times New Roman"/>
                <w:b w:val="0"/>
                <w:i w:val="0"/>
                <w:sz w:val="18"/>
              </w:rPr>
              <w:t>Sí</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5</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IMPACTO Y REPORTES A PATROCINADORES</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Cuenta de control</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w:t>
            </w:r>
          </w:p>
        </w:tc>
      </w:tr>
      <w:tr>
        <w:tc>
          <w:tcPr>
            <w:tcW w:type="dxa" w:w="1134"/>
          </w:tcPr>
          <w:p>
            <w:pPr>
              <w:spacing w:after="0" w:before="0" w:line="240" w:lineRule="auto"/>
            </w:pPr>
            <w:r/>
            <w:r>
              <w:rPr>
                <w:rFonts w:ascii="Times New Roman" w:hAnsi="Times New Roman" w:cs="Times New Roman" w:eastAsia="Times New Roman"/>
                <w:b w:val="0"/>
                <w:i w:val="0"/>
                <w:sz w:val="18"/>
              </w:rPr>
              <w:t>5.1</w:t>
            </w:r>
          </w:p>
        </w:tc>
        <w:tc>
          <w:tcPr>
            <w:tcW w:type="dxa" w:w="4649"/>
          </w:tcPr>
          <w:p>
            <w:pPr>
              <w:spacing w:after="0" w:before="0" w:line="240" w:lineRule="auto"/>
            </w:pPr>
            <w:r/>
            <w:r>
              <w:rPr>
                <w:rFonts w:ascii="Times New Roman" w:hAnsi="Times New Roman" w:cs="Times New Roman" w:eastAsia="Times New Roman"/>
                <w:b w:val="0"/>
                <w:i w:val="0"/>
                <w:sz w:val="18"/>
              </w:rPr>
              <w:t>Definición de indicadores de impacto</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4 d</w:t>
            </w:r>
          </w:p>
        </w:tc>
        <w:tc>
          <w:tcPr>
            <w:tcW w:type="dxa" w:w="1361"/>
          </w:tcPr>
          <w:p>
            <w:pPr>
              <w:spacing w:after="0" w:before="0" w:line="240" w:lineRule="auto"/>
            </w:pPr>
            <w:r/>
            <w:r>
              <w:rPr>
                <w:rFonts w:ascii="Times New Roman" w:hAnsi="Times New Roman" w:cs="Times New Roman" w:eastAsia="Times New Roman"/>
                <w:b w:val="0"/>
                <w:i w:val="0"/>
                <w:sz w:val="18"/>
              </w:rPr>
              <w:t>No</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5.2</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Generación de informe periódico</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6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No</w:t>
            </w:r>
          </w:p>
        </w:tc>
      </w:tr>
      <w:tr>
        <w:tc>
          <w:tcPr>
            <w:tcW w:type="dxa" w:w="1134"/>
          </w:tcPr>
          <w:p>
            <w:pPr>
              <w:spacing w:after="0" w:before="0" w:line="240" w:lineRule="auto"/>
            </w:pPr>
            <w:r/>
            <w:r>
              <w:rPr>
                <w:rFonts w:ascii="Times New Roman" w:hAnsi="Times New Roman" w:cs="Times New Roman" w:eastAsia="Times New Roman"/>
                <w:b w:val="0"/>
                <w:i w:val="0"/>
                <w:sz w:val="18"/>
              </w:rPr>
              <w:t>5.3</w:t>
            </w:r>
          </w:p>
        </w:tc>
        <w:tc>
          <w:tcPr>
            <w:tcW w:type="dxa" w:w="4649"/>
          </w:tcPr>
          <w:p>
            <w:pPr>
              <w:spacing w:after="0" w:before="0" w:line="240" w:lineRule="auto"/>
            </w:pPr>
            <w:r/>
            <w:r>
              <w:rPr>
                <w:rFonts w:ascii="Times New Roman" w:hAnsi="Times New Roman" w:cs="Times New Roman" w:eastAsia="Times New Roman"/>
                <w:b w:val="0"/>
                <w:i w:val="0"/>
                <w:sz w:val="18"/>
              </w:rPr>
              <w:t>Exportación para inversores y donantes</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4 d</w:t>
            </w:r>
          </w:p>
        </w:tc>
        <w:tc>
          <w:tcPr>
            <w:tcW w:type="dxa" w:w="1361"/>
          </w:tcPr>
          <w:p>
            <w:pPr>
              <w:spacing w:after="0" w:before="0" w:line="240" w:lineRule="auto"/>
            </w:pPr>
            <w:r/>
            <w:r>
              <w:rPr>
                <w:rFonts w:ascii="Times New Roman" w:hAnsi="Times New Roman" w:cs="Times New Roman" w:eastAsia="Times New Roman"/>
                <w:b w:val="0"/>
                <w:i w:val="0"/>
                <w:sz w:val="18"/>
              </w:rPr>
              <w:t>No</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5.4</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Primera entrega al patrocinador</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3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Sí</w:t>
            </w:r>
          </w:p>
        </w:tc>
      </w:tr>
      <w:tr>
        <w:tc>
          <w:tcPr>
            <w:tcW w:type="dxa" w:w="1134"/>
          </w:tcPr>
          <w:p>
            <w:pPr>
              <w:spacing w:after="0" w:before="0" w:line="240" w:lineRule="auto"/>
            </w:pPr>
            <w:r/>
            <w:r>
              <w:rPr>
                <w:rFonts w:ascii="Times New Roman" w:hAnsi="Times New Roman" w:cs="Times New Roman" w:eastAsia="Times New Roman"/>
                <w:b w:val="0"/>
                <w:i w:val="0"/>
                <w:sz w:val="18"/>
              </w:rPr>
              <w:t>6</w:t>
            </w:r>
          </w:p>
        </w:tc>
        <w:tc>
          <w:tcPr>
            <w:tcW w:type="dxa" w:w="4649"/>
          </w:tcPr>
          <w:p>
            <w:pPr>
              <w:spacing w:after="0" w:before="0" w:line="240" w:lineRule="auto"/>
            </w:pPr>
            <w:r/>
            <w:r>
              <w:rPr>
                <w:rFonts w:ascii="Times New Roman" w:hAnsi="Times New Roman" w:cs="Times New Roman" w:eastAsia="Times New Roman"/>
                <w:b w:val="0"/>
                <w:i w:val="0"/>
                <w:sz w:val="18"/>
              </w:rPr>
              <w:t>PRIVACIDAD, ACCESOS Y DESPLIEGUE</w:t>
            </w:r>
          </w:p>
        </w:tc>
        <w:tc>
          <w:tcPr>
            <w:tcW w:type="dxa" w:w="1928"/>
          </w:tcPr>
          <w:p>
            <w:pPr>
              <w:spacing w:after="0" w:before="0" w:line="240" w:lineRule="auto"/>
            </w:pPr>
            <w:r/>
            <w:r>
              <w:rPr>
                <w:rFonts w:ascii="Times New Roman" w:hAnsi="Times New Roman" w:cs="Times New Roman" w:eastAsia="Times New Roman"/>
                <w:b w:val="0"/>
                <w:i w:val="0"/>
                <w:sz w:val="18"/>
              </w:rPr>
              <w:t>Cuenta de control</w:t>
            </w:r>
          </w:p>
        </w:tc>
        <w:tc>
          <w:tcPr>
            <w:tcW w:type="dxa" w:w="1134"/>
          </w:tcPr>
          <w:p>
            <w:pPr>
              <w:spacing w:after="0" w:before="0" w:line="240" w:lineRule="auto"/>
            </w:pPr>
            <w:r/>
            <w:r>
              <w:rPr>
                <w:rFonts w:ascii="Times New Roman" w:hAnsi="Times New Roman" w:cs="Times New Roman" w:eastAsia="Times New Roman"/>
                <w:b w:val="0"/>
                <w:i w:val="0"/>
                <w:sz w:val="18"/>
              </w:rPr>
              <w:t>—</w:t>
            </w:r>
          </w:p>
        </w:tc>
        <w:tc>
          <w:tcPr>
            <w:tcW w:type="dxa" w:w="1361"/>
          </w:tcPr>
          <w:p>
            <w:pPr>
              <w:spacing w:after="0" w:before="0" w:line="240" w:lineRule="auto"/>
            </w:pPr>
            <w:r/>
            <w:r>
              <w:rPr>
                <w:rFonts w:ascii="Times New Roman" w:hAnsi="Times New Roman" w:cs="Times New Roman" w:eastAsia="Times New Roman"/>
                <w:b w:val="0"/>
                <w:i w:val="0"/>
                <w:sz w:val="18"/>
              </w:rPr>
              <w:t>—</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6.1</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Roles y permisos</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5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No</w:t>
            </w:r>
          </w:p>
        </w:tc>
      </w:tr>
      <w:tr>
        <w:tc>
          <w:tcPr>
            <w:tcW w:type="dxa" w:w="1134"/>
          </w:tcPr>
          <w:p>
            <w:pPr>
              <w:spacing w:after="0" w:before="0" w:line="240" w:lineRule="auto"/>
            </w:pPr>
            <w:r/>
            <w:r>
              <w:rPr>
                <w:rFonts w:ascii="Times New Roman" w:hAnsi="Times New Roman" w:cs="Times New Roman" w:eastAsia="Times New Roman"/>
                <w:b w:val="0"/>
                <w:i w:val="0"/>
                <w:sz w:val="18"/>
              </w:rPr>
              <w:t>6.2</w:t>
            </w:r>
          </w:p>
        </w:tc>
        <w:tc>
          <w:tcPr>
            <w:tcW w:type="dxa" w:w="4649"/>
          </w:tcPr>
          <w:p>
            <w:pPr>
              <w:spacing w:after="0" w:before="0" w:line="240" w:lineRule="auto"/>
            </w:pPr>
            <w:r/>
            <w:r>
              <w:rPr>
                <w:rFonts w:ascii="Times New Roman" w:hAnsi="Times New Roman" w:cs="Times New Roman" w:eastAsia="Times New Roman"/>
                <w:b w:val="0"/>
                <w:i w:val="0"/>
                <w:sz w:val="18"/>
              </w:rPr>
              <w:t>Tratamiento de datos de hogares</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6 d</w:t>
            </w:r>
          </w:p>
        </w:tc>
        <w:tc>
          <w:tcPr>
            <w:tcW w:type="dxa" w:w="1361"/>
          </w:tcPr>
          <w:p>
            <w:pPr>
              <w:spacing w:after="0" w:before="0" w:line="240" w:lineRule="auto"/>
            </w:pPr>
            <w:r/>
            <w:r>
              <w:rPr>
                <w:rFonts w:ascii="Times New Roman" w:hAnsi="Times New Roman" w:cs="Times New Roman" w:eastAsia="Times New Roman"/>
                <w:b w:val="0"/>
                <w:i w:val="0"/>
                <w:sz w:val="18"/>
              </w:rPr>
              <w:t>No</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6.3</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Ambiente de despliegue</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5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No</w:t>
            </w:r>
          </w:p>
        </w:tc>
      </w:tr>
      <w:tr>
        <w:tc>
          <w:tcPr>
            <w:tcW w:type="dxa" w:w="1134"/>
          </w:tcPr>
          <w:p>
            <w:pPr>
              <w:spacing w:after="0" w:before="0" w:line="240" w:lineRule="auto"/>
            </w:pPr>
            <w:r/>
            <w:r>
              <w:rPr>
                <w:rFonts w:ascii="Times New Roman" w:hAnsi="Times New Roman" w:cs="Times New Roman" w:eastAsia="Times New Roman"/>
                <w:b w:val="0"/>
                <w:i w:val="0"/>
                <w:sz w:val="18"/>
              </w:rPr>
              <w:t>6.4</w:t>
            </w:r>
          </w:p>
        </w:tc>
        <w:tc>
          <w:tcPr>
            <w:tcW w:type="dxa" w:w="4649"/>
          </w:tcPr>
          <w:p>
            <w:pPr>
              <w:spacing w:after="0" w:before="0" w:line="240" w:lineRule="auto"/>
            </w:pPr>
            <w:r/>
            <w:r>
              <w:rPr>
                <w:rFonts w:ascii="Times New Roman" w:hAnsi="Times New Roman" w:cs="Times New Roman" w:eastAsia="Times New Roman"/>
                <w:b w:val="0"/>
                <w:i w:val="0"/>
                <w:sz w:val="18"/>
              </w:rPr>
              <w:t>Puesta en marcha del piloto</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4 d</w:t>
            </w:r>
          </w:p>
        </w:tc>
        <w:tc>
          <w:tcPr>
            <w:tcW w:type="dxa" w:w="1361"/>
          </w:tcPr>
          <w:p>
            <w:pPr>
              <w:spacing w:after="0" w:before="0" w:line="240" w:lineRule="auto"/>
            </w:pPr>
            <w:r/>
            <w:r>
              <w:rPr>
                <w:rFonts w:ascii="Times New Roman" w:hAnsi="Times New Roman" w:cs="Times New Roman" w:eastAsia="Times New Roman"/>
                <w:b w:val="0"/>
                <w:i w:val="0"/>
                <w:sz w:val="18"/>
              </w:rPr>
              <w:t>No</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7</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CAPACITACIÓN Y TRANSICIÓN</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Cuenta de control</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w:t>
            </w:r>
          </w:p>
        </w:tc>
      </w:tr>
      <w:tr>
        <w:tc>
          <w:tcPr>
            <w:tcW w:type="dxa" w:w="1134"/>
          </w:tcPr>
          <w:p>
            <w:pPr>
              <w:spacing w:after="0" w:before="0" w:line="240" w:lineRule="auto"/>
            </w:pPr>
            <w:r/>
            <w:r>
              <w:rPr>
                <w:rFonts w:ascii="Times New Roman" w:hAnsi="Times New Roman" w:cs="Times New Roman" w:eastAsia="Times New Roman"/>
                <w:b w:val="0"/>
                <w:i w:val="0"/>
                <w:sz w:val="18"/>
              </w:rPr>
              <w:t>7.1</w:t>
            </w:r>
          </w:p>
        </w:tc>
        <w:tc>
          <w:tcPr>
            <w:tcW w:type="dxa" w:w="4649"/>
          </w:tcPr>
          <w:p>
            <w:pPr>
              <w:spacing w:after="0" w:before="0" w:line="240" w:lineRule="auto"/>
            </w:pPr>
            <w:r/>
            <w:r>
              <w:rPr>
                <w:rFonts w:ascii="Times New Roman" w:hAnsi="Times New Roman" w:cs="Times New Roman" w:eastAsia="Times New Roman"/>
                <w:b w:val="0"/>
                <w:i w:val="0"/>
                <w:sz w:val="18"/>
              </w:rPr>
              <w:t>Material de capacitación</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4 d</w:t>
            </w:r>
          </w:p>
        </w:tc>
        <w:tc>
          <w:tcPr>
            <w:tcW w:type="dxa" w:w="1361"/>
          </w:tcPr>
          <w:p>
            <w:pPr>
              <w:spacing w:after="0" w:before="0" w:line="240" w:lineRule="auto"/>
            </w:pPr>
            <w:r/>
            <w:r>
              <w:rPr>
                <w:rFonts w:ascii="Times New Roman" w:hAnsi="Times New Roman" w:cs="Times New Roman" w:eastAsia="Times New Roman"/>
                <w:b w:val="0"/>
                <w:i w:val="0"/>
                <w:sz w:val="18"/>
              </w:rPr>
              <w:t>No</w:t>
            </w:r>
          </w:p>
        </w:tc>
      </w:tr>
      <w:tr>
        <w:tc>
          <w:tcPr>
            <w:tcW w:type="dxa" w:w="1134"/>
            <w:shd w:fill="F2F2F2" w:val="clear"/>
          </w:tcPr>
          <w:p>
            <w:pPr>
              <w:spacing w:after="0" w:before="0" w:line="240" w:lineRule="auto"/>
            </w:pPr>
            <w:r/>
            <w:r>
              <w:rPr>
                <w:rFonts w:ascii="Times New Roman" w:hAnsi="Times New Roman" w:cs="Times New Roman" w:eastAsia="Times New Roman"/>
                <w:b w:val="0"/>
                <w:i w:val="0"/>
                <w:sz w:val="18"/>
              </w:rPr>
              <w:t>7.2</w:t>
            </w:r>
          </w:p>
        </w:tc>
        <w:tc>
          <w:tcPr>
            <w:tcW w:type="dxa" w:w="4649"/>
            <w:shd w:fill="F2F2F2" w:val="clear"/>
          </w:tcPr>
          <w:p>
            <w:pPr>
              <w:spacing w:after="0" w:before="0" w:line="240" w:lineRule="auto"/>
            </w:pPr>
            <w:r/>
            <w:r>
              <w:rPr>
                <w:rFonts w:ascii="Times New Roman" w:hAnsi="Times New Roman" w:cs="Times New Roman" w:eastAsia="Times New Roman"/>
                <w:b w:val="0"/>
                <w:i w:val="0"/>
                <w:sz w:val="18"/>
              </w:rPr>
              <w:t>Taller al soporte local</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Paquete de trabajo</w:t>
            </w:r>
          </w:p>
        </w:tc>
        <w:tc>
          <w:tcPr>
            <w:tcW w:type="dxa" w:w="1134"/>
            <w:shd w:fill="F2F2F2" w:val="clear"/>
          </w:tcPr>
          <w:p>
            <w:pPr>
              <w:spacing w:after="0" w:before="0" w:line="240" w:lineRule="auto"/>
            </w:pPr>
            <w:r/>
            <w:r>
              <w:rPr>
                <w:rFonts w:ascii="Times New Roman" w:hAnsi="Times New Roman" w:cs="Times New Roman" w:eastAsia="Times New Roman"/>
                <w:b w:val="0"/>
                <w:i w:val="0"/>
                <w:sz w:val="18"/>
              </w:rPr>
              <w:t>3 d</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No</w:t>
            </w:r>
          </w:p>
        </w:tc>
      </w:tr>
      <w:tr>
        <w:tc>
          <w:tcPr>
            <w:tcW w:type="dxa" w:w="1134"/>
          </w:tcPr>
          <w:p>
            <w:pPr>
              <w:spacing w:after="0" w:before="0" w:line="240" w:lineRule="auto"/>
            </w:pPr>
            <w:r/>
            <w:r>
              <w:rPr>
                <w:rFonts w:ascii="Times New Roman" w:hAnsi="Times New Roman" w:cs="Times New Roman" w:eastAsia="Times New Roman"/>
                <w:b w:val="0"/>
                <w:i w:val="0"/>
                <w:sz w:val="18"/>
              </w:rPr>
              <w:t>7.3</w:t>
            </w:r>
          </w:p>
        </w:tc>
        <w:tc>
          <w:tcPr>
            <w:tcW w:type="dxa" w:w="4649"/>
          </w:tcPr>
          <w:p>
            <w:pPr>
              <w:spacing w:after="0" w:before="0" w:line="240" w:lineRule="auto"/>
            </w:pPr>
            <w:r/>
            <w:r>
              <w:rPr>
                <w:rFonts w:ascii="Times New Roman" w:hAnsi="Times New Roman" w:cs="Times New Roman" w:eastAsia="Times New Roman"/>
                <w:b w:val="0"/>
                <w:i w:val="0"/>
                <w:sz w:val="18"/>
              </w:rPr>
              <w:t>Traspaso operativo del piloto</w:t>
            </w:r>
          </w:p>
        </w:tc>
        <w:tc>
          <w:tcPr>
            <w:tcW w:type="dxa" w:w="1928"/>
          </w:tcPr>
          <w:p>
            <w:pPr>
              <w:spacing w:after="0" w:before="0" w:line="240" w:lineRule="auto"/>
            </w:pPr>
            <w:r/>
            <w:r>
              <w:rPr>
                <w:rFonts w:ascii="Times New Roman" w:hAnsi="Times New Roman" w:cs="Times New Roman" w:eastAsia="Times New Roman"/>
                <w:b w:val="0"/>
                <w:i w:val="0"/>
                <w:sz w:val="18"/>
              </w:rPr>
              <w:t>Paquete de trabajo</w:t>
            </w:r>
          </w:p>
        </w:tc>
        <w:tc>
          <w:tcPr>
            <w:tcW w:type="dxa" w:w="1134"/>
          </w:tcPr>
          <w:p>
            <w:pPr>
              <w:spacing w:after="0" w:before="0" w:line="240" w:lineRule="auto"/>
            </w:pPr>
            <w:r/>
            <w:r>
              <w:rPr>
                <w:rFonts w:ascii="Times New Roman" w:hAnsi="Times New Roman" w:cs="Times New Roman" w:eastAsia="Times New Roman"/>
                <w:b w:val="0"/>
                <w:i w:val="0"/>
                <w:sz w:val="18"/>
              </w:rPr>
              <w:t>3 d</w:t>
            </w:r>
          </w:p>
        </w:tc>
        <w:tc>
          <w:tcPr>
            <w:tcW w:type="dxa" w:w="1361"/>
          </w:tcPr>
          <w:p>
            <w:pPr>
              <w:spacing w:after="0" w:before="0" w:line="240" w:lineRule="auto"/>
            </w:pPr>
            <w:r/>
            <w:r>
              <w:rPr>
                <w:rFonts w:ascii="Times New Roman" w:hAnsi="Times New Roman" w:cs="Times New Roman" w:eastAsia="Times New Roman"/>
                <w:b w:val="0"/>
                <w:i w:val="0"/>
                <w:sz w:val="18"/>
              </w:rPr>
              <w:t>Sí</w:t>
            </w:r>
          </w:p>
        </w:tc>
      </w:tr>
    </w:tbl>
    <w:p>
      <w:pPr>
        <w:spacing w:after="80"/>
      </w:pPr>
    </w:p>
    <w:p>
      <w:pPr>
        <w:spacing w:before="40" w:after="160" w:line="240" w:lineRule="auto"/>
        <w:ind w:firstLine="0"/>
        <w:jc w:val="center"/>
      </w:pPr>
      <w:r>
        <w:rPr>
          <w:rFonts w:ascii="Times New Roman" w:hAnsi="Times New Roman" w:cs="Times New Roman" w:eastAsia="Times New Roman"/>
          <w:b w:val="0"/>
          <w:i/>
          <w:color w:val="444444"/>
          <w:sz w:val="18"/>
        </w:rPr>
        <w:t>Tabla. EDT numerada. Las actividades críticas alimentan el XML de Project Libre.</w:t>
      </w:r>
    </w:p>
    <w:p>
      <w:pPr>
        <w:spacing w:line="276" w:lineRule="auto" w:before="200" w:after="80"/>
        <w:ind w:firstLine="0"/>
        <w:jc w:val="left"/>
      </w:pPr>
      <w:r>
        <w:rPr>
          <w:rFonts w:ascii="Times New Roman" w:hAnsi="Times New Roman" w:cs="Times New Roman" w:eastAsia="Times New Roman"/>
          <w:b/>
          <w:i w:val="0"/>
          <w:color w:val="1F4E79"/>
          <w:sz w:val="26"/>
        </w:rPr>
        <w:t>Dependencia que amarra el árbol al calendario</w:t>
      </w:r>
    </w:p>
    <w:p>
      <w:pPr>
        <w:spacing w:line="360" w:lineRule="auto" w:after="120" w:before="0"/>
        <w:ind w:firstLine="425"/>
        <w:jc w:val="both"/>
      </w:pPr>
      <w:r>
        <w:rPr>
          <w:rFonts w:ascii="Times New Roman" w:hAnsi="Times New Roman" w:cs="Times New Roman" w:eastAsia="Times New Roman"/>
          <w:b w:val="0"/>
          <w:i w:val="0"/>
          <w:sz w:val="24"/>
        </w:rPr>
        <w:t>Inventario (2) alimenta tablero (3). Tablero individual (3.2) alimenta tickets (4.2). Tickets en terreno (4.4) alimentan el primer reporte (5.4). Privacidad y despliegue (6) corren en paralelo, pero 6.4 espera la carga 2.3. Capacitación (7) espera software usable. Esa lógica —no un plazo “que se nos ocurrió”— es la ruta crítica 1.1 → 2.1 → 2.2 → 2.3 → 3.1 → 3.2 → 4.2 → 4.3 → 4.4 → 5.4 → 7.3.</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color w:val="555555"/>
        <w:sz w:val="18"/>
      </w:rPr>
      <w:t xml:space="preserve">Página </w:t>
    </w:r>
    <w:r>
      <w:rPr>
        <w:rFonts w:ascii="Times New Roman" w:hAnsi="Times New Roman" w:cs="Times New Roman" w:eastAsia="Times New Roman"/>
        <w:b w:val="0"/>
        <w:i w:val="0"/>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s="Times New Roman" w:eastAsia="Times New Roman"/>
        <w:b w:val="0"/>
        <w:i w:val="0"/>
        <w:color w:val="555555"/>
        <w:sz w:val="18"/>
      </w:rPr>
      <w:t>GPY1102 · Eva 1 · Caso 7 · Alcance, exclusiones y EDT (documento de trabajo)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