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1F4E79"/>
          <w:sz w:val="32"/>
        </w:rPr>
        <w:t>Informe ejecutivo</w:t>
      </w:r>
    </w:p>
    <w:p>
      <w:pPr>
        <w:spacing w:after="40" w:line="276" w:lineRule="auto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Plan preliminar de la plataforma de operación de kits solares — piloto</w:t>
      </w:r>
    </w:p>
    <w:p>
      <w:pPr>
        <w:spacing w:after="16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GPY1102 Gestión de Proyectos de Software · Evaluación Parcial 1 · Caso 7</w:t>
        <w:br/>
        <w:t>Equipo: Ari Araya, Nicolás Barra, Giannina Guerrero, Skarlett Tropan</w:t>
        <w:br/>
        <w:t>Organización: empresa social de energía solar comunitaria (India)</w:t>
      </w:r>
    </w:p>
    <w:p>
      <w:pPr>
        <w:spacing w:line="276" w:lineRule="auto" w:before="200" w:after="8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1F4E79"/>
          <w:sz w:val="26"/>
        </w:rPr>
        <w:t>1. Contexto, necesidad de negocio y autorización</w:t>
      </w:r>
    </w:p>
    <w:p>
      <w:pPr>
        <w:spacing w:line="360" w:lineRule="auto" w:after="12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organización es una empresa social que busca electrificar comunidades desfavorecidas de una región de India con kits solares, financiada por inversores de impacto, subvenciones gubernamentales y un partner tecnológico. El problema de negocio no es “falta de una aplicación”: es que, sin un sistema de operación, un kit instalado deja de ser observable, las fallas no se priorizan y los donantes no reciben evidencia creíble de impacto.</w:t>
      </w:r>
    </w:p>
    <w:p>
      <w:pPr>
        <w:spacing w:line="360" w:lineRule="auto" w:after="12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El valor del proyecto, en el sentido del PMBOK (2021), no es entregar pantallas. El output es la plataforma. El outcome es que cada kit del piloto tenga dueño y estado, que un ticket nazca desde una falla real y que el soporte local actúe. El valor aparece si esa operación reduce kits “fantasma”, acelera la mantención y permite un informe que un inversor pueda usar. Si el software “funciona” y el técnico no lo usa, los interesados pueden ver el piloto como fracaso.</w:t>
      </w:r>
    </w:p>
    <w:p>
      <w:pPr>
        <w:spacing w:line="360" w:lineRule="auto" w:after="12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El acta de constitución autoriza el piloto de software —no la fábrica de paneles— y nombra a Ari Araya como directora del proyecto, con autoridad para usar recursos hasta el techo de US$ 20.700. El proyecto es temporal: inicia el 14 de septiembre de 2026 y cierra el 9 de diciembre de 2026 (63 días hábiles). Interesados principales: dirección de la empresa social (patrocinador), inversores y donantes, comunidad y hogares del piloto, soporte técnico local, equipo de desarrollo y partner tecnológico. Riesgos de alto nivel: conectividad irregular, datos incompletos de hogares y baja adopción del tablero en terreno.</w:t>
      </w:r>
    </w:p>
    <w:p>
      <w:pPr>
        <w:spacing w:line="276" w:lineRule="auto" w:before="200" w:after="8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1F4E79"/>
          <w:sz w:val="26"/>
        </w:rPr>
        <w:t>2. Alcance, EDT, cronograma, recursos y costos</w:t>
      </w:r>
    </w:p>
    <w:p>
      <w:pPr>
        <w:spacing w:line="360" w:lineRule="auto" w:after="12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El enunciado de alcance se construyó con los seis mínimos de la clase. El producto es un sistema web (con carga por lotes u apoyo offline si falla la red) para registrar kits de una comunidad piloto, visualizar su estado, gestionar mantención y generar reportes periódicos. Criterios de aceptación: (1) cada kit tiene hogar dueño y estado activo / en falla / dado de baja; (2) un ticket se abre desde un kit en falla y queda asignable al soporte local; (3) un reporte mensual exportable llega a patrocinadores con indicadores simples de operación e impacto.</w:t>
      </w:r>
    </w:p>
    <w:p>
      <w:pPr>
        <w:spacing w:line="360" w:lineRule="auto" w:after="12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Entregables: módulos de inventario, tablero, tickets y reportes; documento de roles y privacidad; capacitación corta al soporte local; plan preliminar (este informe) y línea base en Project Libre. Restricciones: presupuesto del piloto, equipo académico reducido, conectividad de terreno y fecha de primer reporte a donantes. Supuestos: existe comunidad piloto identificada; hay al menos un técnico local; los inversores aceptan indicadores simples en esta fase; hay conectividad mínima o un procedimiento de carga por lotes. Si un supuesto cae, se trata como riesgo y no como sorpresa.</w:t>
      </w:r>
    </w:p>
    <w:p>
      <w:pPr>
        <w:spacing w:line="360" w:lineRule="auto" w:after="12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Las exclusiones se cierran aquí para no hinchar el alcance: fabricación e instalación de paneles o kits físicos; tendido eléctrico; microfinanzas o cobro de tarifas; expansión a otras regiones; aplicación ciudadana masiva; operación continua posterior al piloto (eso es operación, no proyecto). Lo que no está en la EDT no se hace, o entra por control de cambios.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shd w:fill="1F4E79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8"/>
              </w:rPr>
              <w:t>EDT</w:t>
            </w:r>
          </w:p>
        </w:tc>
        <w:tc>
          <w:tcPr>
            <w:tcW w:type="dxa" w:w="2948"/>
            <w:shd w:fill="1F4E79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8"/>
              </w:rPr>
              <w:t>Cuenta de control</w:t>
            </w:r>
          </w:p>
        </w:tc>
        <w:tc>
          <w:tcPr>
            <w:tcW w:type="dxa" w:w="5272"/>
            <w:shd w:fill="1F4E79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8"/>
              </w:rPr>
              <w:t>Paquetes de trabajo</w:t>
            </w:r>
          </w:p>
        </w:tc>
      </w:tr>
      <w:tr>
        <w:tc>
          <w:tcPr>
            <w:tcW w:type="dxa" w:w="850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2948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Dirección del proyecto</w:t>
            </w:r>
          </w:p>
        </w:tc>
        <w:tc>
          <w:tcPr>
            <w:tcW w:type="dxa" w:w="5272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1.1 Acta e interesados · 1.2 Plan y línea base · 1.3 Riesgos y comunicación</w:t>
            </w:r>
          </w:p>
        </w:tc>
      </w:tr>
      <w:tr>
        <w:tc>
          <w:tcPr>
            <w:tcW w:type="dxa" w:w="850"/>
            <w:shd w:fill="F2F2F2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2948"/>
            <w:shd w:fill="F2F2F2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Inventario de kits y hogares</w:t>
            </w:r>
          </w:p>
        </w:tc>
        <w:tc>
          <w:tcPr>
            <w:tcW w:type="dxa" w:w="5272"/>
            <w:shd w:fill="F2F2F2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2.1 Modelo de datos · 2.2 Estados · 2.3 Carga inicial · 2.4 Validación local</w:t>
            </w:r>
          </w:p>
        </w:tc>
      </w:tr>
      <w:tr>
        <w:tc>
          <w:tcPr>
            <w:tcW w:type="dxa" w:w="850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2948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Tablero operativo</w:t>
            </w:r>
          </w:p>
        </w:tc>
        <w:tc>
          <w:tcPr>
            <w:tcW w:type="dxa" w:w="5272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3.1 Vista general · 3.2 Vista individual · 3.3 Indicadores · 3.4 Ajustes de usabilidad</w:t>
            </w:r>
          </w:p>
        </w:tc>
      </w:tr>
      <w:tr>
        <w:tc>
          <w:tcPr>
            <w:tcW w:type="dxa" w:w="850"/>
            <w:shd w:fill="F2F2F2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2948"/>
            <w:shd w:fill="F2F2F2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Monitoreo, tickets y mantención</w:t>
            </w:r>
          </w:p>
        </w:tc>
        <w:tc>
          <w:tcPr>
            <w:tcW w:type="dxa" w:w="5272"/>
            <w:shd w:fill="F2F2F2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4.1 Rendimiento · 4.2 Flujo de tickets · 4.3 Asignación · 4.4 Prueba en terreno</w:t>
            </w:r>
          </w:p>
        </w:tc>
      </w:tr>
      <w:tr>
        <w:tc>
          <w:tcPr>
            <w:tcW w:type="dxa" w:w="850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2948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Impacto y reportes</w:t>
            </w:r>
          </w:p>
        </w:tc>
        <w:tc>
          <w:tcPr>
            <w:tcW w:type="dxa" w:w="5272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5.1 Indicadores · 5.2 Informe periódico · 5.3 Exportación · 5.4 Primera entrega</w:t>
            </w:r>
          </w:p>
        </w:tc>
      </w:tr>
      <w:tr>
        <w:tc>
          <w:tcPr>
            <w:tcW w:type="dxa" w:w="850"/>
            <w:shd w:fill="F2F2F2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2948"/>
            <w:shd w:fill="F2F2F2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Privacidad, accesos y despliegue</w:t>
            </w:r>
          </w:p>
        </w:tc>
        <w:tc>
          <w:tcPr>
            <w:tcW w:type="dxa" w:w="5272"/>
            <w:shd w:fill="F2F2F2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6.1 Roles · 6.2 Datos de hogares · 6.3 Ambiente · 6.4 Puesta en marcha</w:t>
            </w:r>
          </w:p>
        </w:tc>
      </w:tr>
      <w:tr>
        <w:tc>
          <w:tcPr>
            <w:tcW w:type="dxa" w:w="850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7</w:t>
            </w:r>
          </w:p>
        </w:tc>
        <w:tc>
          <w:tcPr>
            <w:tcW w:type="dxa" w:w="2948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Capacitación y transición</w:t>
            </w:r>
          </w:p>
        </w:tc>
        <w:tc>
          <w:tcPr>
            <w:tcW w:type="dxa" w:w="5272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7.1 Material · 7.2 Taller · 7.3 Traspaso operativo</w:t>
            </w:r>
          </w:p>
        </w:tc>
      </w:tr>
    </w:tbl>
    <w:p>
      <w:pPr>
        <w:spacing w:after="80"/>
      </w:pPr>
    </w:p>
    <w:p>
      <w:pPr>
        <w:spacing w:before="40" w:after="16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444444"/>
          <w:sz w:val="18"/>
        </w:rPr>
        <w:t>Tabla 1. EDT de primer nivel (regla del 100 % del alcance acordado).</w:t>
      </w:r>
    </w:p>
    <w:p>
      <w:pPr>
        <w:spacing w:line="360" w:lineRule="auto" w:after="12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EDT cubre el 100 % del trabajo del piloto. El diccionario traduce cada paquete a criterio, responsable, duración y costo. Extracto de dos paquetes de la ruta crítica: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28"/>
            <w:shd w:fill="1F4E79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3572"/>
            <w:shd w:fill="1F4E79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8"/>
              </w:rPr>
              <w:t>2.3 Carga inicial del piloto</w:t>
            </w:r>
          </w:p>
        </w:tc>
        <w:tc>
          <w:tcPr>
            <w:tcW w:type="dxa" w:w="3572"/>
            <w:shd w:fill="1F4E79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8"/>
              </w:rPr>
              <w:t>3.1 Vista general de la comunidad</w:t>
            </w:r>
          </w:p>
        </w:tc>
      </w:tr>
      <w:tr>
        <w:tc>
          <w:tcPr>
            <w:tcW w:type="dxa" w:w="1928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Cuenta de control</w:t>
            </w:r>
          </w:p>
        </w:tc>
        <w:tc>
          <w:tcPr>
            <w:tcW w:type="dxa" w:w="3572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 Inventario</w:t>
            </w:r>
          </w:p>
        </w:tc>
        <w:tc>
          <w:tcPr>
            <w:tcW w:type="dxa" w:w="3572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 Tablero operativo</w:t>
            </w:r>
          </w:p>
        </w:tc>
      </w:tr>
      <w:tr>
        <w:tc>
          <w:tcPr>
            <w:tcW w:type="dxa" w:w="1928"/>
            <w:shd w:fill="F2F2F2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Responsable</w:t>
            </w:r>
          </w:p>
        </w:tc>
        <w:tc>
          <w:tcPr>
            <w:tcW w:type="dxa" w:w="3572"/>
            <w:shd w:fill="F2F2F2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Nicolás Barra (backend) + soporte local</w:t>
            </w:r>
          </w:p>
        </w:tc>
        <w:tc>
          <w:tcPr>
            <w:tcW w:type="dxa" w:w="3572"/>
            <w:shd w:fill="F2F2F2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Giannina Guerrero (frontend)</w:t>
            </w:r>
          </w:p>
        </w:tc>
      </w:tr>
      <w:tr>
        <w:tc>
          <w:tcPr>
            <w:tcW w:type="dxa" w:w="1928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Criterio de aceptación</w:t>
            </w:r>
          </w:p>
        </w:tc>
        <w:tc>
          <w:tcPr>
            <w:tcW w:type="dxa" w:w="3572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Los kits del piloto están cargados con hogar, comunidad y estado inicial verificable.</w:t>
            </w:r>
          </w:p>
        </w:tc>
        <w:tc>
          <w:tcPr>
            <w:tcW w:type="dxa" w:w="3572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El técnico ve, en una pantalla, recuento de kits por estado y acceso al detalle.</w:t>
            </w:r>
          </w:p>
        </w:tc>
      </w:tr>
      <w:tr>
        <w:tc>
          <w:tcPr>
            <w:tcW w:type="dxa" w:w="1928"/>
            <w:shd w:fill="F2F2F2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Supuesto</w:t>
            </w:r>
          </w:p>
        </w:tc>
        <w:tc>
          <w:tcPr>
            <w:tcW w:type="dxa" w:w="3572"/>
            <w:shd w:fill="F2F2F2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El técnico entrega el listado maestro a tiempo.</w:t>
            </w:r>
          </w:p>
        </w:tc>
        <w:tc>
          <w:tcPr>
            <w:tcW w:type="dxa" w:w="3572"/>
            <w:shd w:fill="F2F2F2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La carga 2.3 ya ocurrió; si no, el tablero es una demo vacía.</w:t>
            </w:r>
          </w:p>
        </w:tc>
      </w:tr>
      <w:tr>
        <w:tc>
          <w:tcPr>
            <w:tcW w:type="dxa" w:w="1928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Duración</w:t>
            </w:r>
          </w:p>
        </w:tc>
        <w:tc>
          <w:tcPr>
            <w:tcW w:type="dxa" w:w="3572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6 días hábiles</w:t>
            </w:r>
          </w:p>
        </w:tc>
        <w:tc>
          <w:tcPr>
            <w:tcW w:type="dxa" w:w="3572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8 días hábiles</w:t>
            </w:r>
          </w:p>
        </w:tc>
      </w:tr>
      <w:tr>
        <w:tc>
          <w:tcPr>
            <w:tcW w:type="dxa" w:w="1928"/>
            <w:shd w:fill="F2F2F2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Hito asociado</w:t>
            </w:r>
          </w:p>
        </w:tc>
        <w:tc>
          <w:tcPr>
            <w:tcW w:type="dxa" w:w="3572"/>
            <w:shd w:fill="F2F2F2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Inventario validado (19 de octubre de 2026)</w:t>
            </w:r>
          </w:p>
        </w:tc>
        <w:tc>
          <w:tcPr>
            <w:tcW w:type="dxa" w:w="3572"/>
            <w:shd w:fill="F2F2F2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Tablero usable (9 de noviembre de 2026)</w:t>
            </w:r>
          </w:p>
        </w:tc>
      </w:tr>
      <w:tr>
        <w:tc>
          <w:tcPr>
            <w:tcW w:type="dxa" w:w="1928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Costo directo est.</w:t>
            </w:r>
          </w:p>
        </w:tc>
        <w:tc>
          <w:tcPr>
            <w:tcW w:type="dxa" w:w="3572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US$ 1.240 (carga + validación parcial)</w:t>
            </w:r>
          </w:p>
        </w:tc>
        <w:tc>
          <w:tcPr>
            <w:tcW w:type="dxa" w:w="3572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US$ 1.360 (frontend del tablero)</w:t>
            </w:r>
          </w:p>
        </w:tc>
      </w:tr>
    </w:tbl>
    <w:p>
      <w:pPr>
        <w:spacing w:after="80"/>
      </w:pPr>
    </w:p>
    <w:p>
      <w:pPr>
        <w:spacing w:before="40" w:after="16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444444"/>
          <w:sz w:val="18"/>
        </w:rPr>
        <w:t>Tabla 2. Extracto del diccionario de la EDT.</w:t>
      </w:r>
    </w:p>
    <w:p>
      <w:pPr>
        <w:spacing w:line="360" w:lineRule="auto" w:after="12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El cronograma se modeló en dos pases: primero duraciones brutas sin limitar recursos; después dependencias finish-to-start y calendario de lunes a viernes (8 h). El criterio técnico es el método de la ruta crítica (CPM): el camino más largo determina la duración mínima. Ese camino es 1.1–2.1–2.2–2.3–3.1–3.2–4.2–4.3–4.4–5.4–7.3. En lenguaje del caso: sin modelo ni carga de inventario no hay tablero con datos reales; sin tablero individual no hay flujo de tickets útil; sin prueba en terreno el reporte a donantes es un infografía vacía. Duración del proyecto: 63 días hábiles (14 de septiembre de 2026 al 9 de diciembre de 2026). Cualquier atraso en esas actividades (holgura 0) mueve el fin.</w:t>
      </w:r>
    </w:p>
    <w:p>
      <w:pPr>
        <w:spacing w:line="360" w:lineRule="auto" w:after="12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Donde hay incertidumbre de terreno se usó PERT. Para la prueba en terreno (4.4): optimista 5 días, más probable 7, pesimista 13. Duración esperada = (5 + 4×7 + 13) / 6 = 8 días; desviación = (13 − 5) / 6 ≈ 1,3 días. A gerencia se muestran hitos; al equipo, el Gantt de Project Libre.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685"/>
            <w:shd w:fill="1F4E79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8"/>
              </w:rPr>
              <w:t>Hito</w:t>
            </w:r>
          </w:p>
        </w:tc>
        <w:tc>
          <w:tcPr>
            <w:tcW w:type="dxa" w:w="2551"/>
            <w:shd w:fill="1F4E79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8"/>
              </w:rPr>
              <w:t>Fecha</w:t>
            </w:r>
          </w:p>
        </w:tc>
        <w:tc>
          <w:tcPr>
            <w:tcW w:type="dxa" w:w="2835"/>
            <w:shd w:fill="1F4E79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8"/>
              </w:rPr>
              <w:t>Para quién</w:t>
            </w:r>
          </w:p>
        </w:tc>
      </w:tr>
      <w:tr>
        <w:tc>
          <w:tcPr>
            <w:tcW w:type="dxa" w:w="3685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Inventario validado</w:t>
            </w:r>
          </w:p>
        </w:tc>
        <w:tc>
          <w:tcPr>
            <w:tcW w:type="dxa" w:w="2551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19 de octubre de 2026</w:t>
            </w:r>
          </w:p>
        </w:tc>
        <w:tc>
          <w:tcPr>
            <w:tcW w:type="dxa" w:w="2835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Equipo y soporte local</w:t>
            </w:r>
          </w:p>
        </w:tc>
      </w:tr>
      <w:tr>
        <w:tc>
          <w:tcPr>
            <w:tcW w:type="dxa" w:w="3685"/>
            <w:shd w:fill="F2F2F2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Tablero usable</w:t>
            </w:r>
          </w:p>
        </w:tc>
        <w:tc>
          <w:tcPr>
            <w:tcW w:type="dxa" w:w="2551"/>
            <w:shd w:fill="F2F2F2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9 de noviembre de 2026</w:t>
            </w:r>
          </w:p>
        </w:tc>
        <w:tc>
          <w:tcPr>
            <w:tcW w:type="dxa" w:w="2835"/>
            <w:shd w:fill="F2F2F2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Técnico local y dirección</w:t>
            </w:r>
          </w:p>
        </w:tc>
      </w:tr>
      <w:tr>
        <w:tc>
          <w:tcPr>
            <w:tcW w:type="dxa" w:w="3685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Tickets en terreno</w:t>
            </w:r>
          </w:p>
        </w:tc>
        <w:tc>
          <w:tcPr>
            <w:tcW w:type="dxa" w:w="2551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 de diciembre de 2026</w:t>
            </w:r>
          </w:p>
        </w:tc>
        <w:tc>
          <w:tcPr>
            <w:tcW w:type="dxa" w:w="2835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Soporte local</w:t>
            </w:r>
          </w:p>
        </w:tc>
      </w:tr>
      <w:tr>
        <w:tc>
          <w:tcPr>
            <w:tcW w:type="dxa" w:w="3685"/>
            <w:shd w:fill="F2F2F2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Primer reporte al patrocinador</w:t>
            </w:r>
          </w:p>
        </w:tc>
        <w:tc>
          <w:tcPr>
            <w:tcW w:type="dxa" w:w="2551"/>
            <w:shd w:fill="F2F2F2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 de diciembre de 2026</w:t>
            </w:r>
          </w:p>
        </w:tc>
        <w:tc>
          <w:tcPr>
            <w:tcW w:type="dxa" w:w="2835"/>
            <w:shd w:fill="F2F2F2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Inversores y donantes</w:t>
            </w:r>
          </w:p>
        </w:tc>
      </w:tr>
      <w:tr>
        <w:tc>
          <w:tcPr>
            <w:tcW w:type="dxa" w:w="3685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Piloto entregado</w:t>
            </w:r>
          </w:p>
        </w:tc>
        <w:tc>
          <w:tcPr>
            <w:tcW w:type="dxa" w:w="2551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9 de diciembre de 2026</w:t>
            </w:r>
          </w:p>
        </w:tc>
        <w:tc>
          <w:tcPr>
            <w:tcW w:type="dxa" w:w="2835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Dirección / cierre de fase</w:t>
            </w:r>
          </w:p>
        </w:tc>
      </w:tr>
    </w:tbl>
    <w:p>
      <w:pPr>
        <w:spacing w:after="80"/>
      </w:pPr>
    </w:p>
    <w:p>
      <w:pPr>
        <w:spacing w:before="40" w:after="16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444444"/>
          <w:sz w:val="18"/>
        </w:rPr>
        <w:t>Tabla 3. Cronograma de hitos (audiencia de dirección).</w:t>
      </w:r>
    </w:p>
    <w:p>
      <w:pPr>
        <w:spacing w:line="360" w:lineRule="auto" w:after="12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Los recursos se desglosaron en una RBS. Personas: directora de proyecto (0,5 FTE), desarrollador backend, desarrollador frontend, analista de impacto/QA (0,6 FTE) y soporte local (0,4 FTE). Tecnología: nube, repositorio, Project Libre, tablero Kanban y un punto de carga en la comunidad. Financieros: aporte de inversores de impacto, subvención y reserva de contingencia. La disponibilidad del técnico local es el recurso más frágil: si no carga datos, la ruta crítica se rompe aunque el código esté listo.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041"/>
            <w:shd w:fill="1F4E79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8"/>
              </w:rPr>
              <w:t>Tipo de costo</w:t>
            </w:r>
          </w:p>
        </w:tc>
        <w:tc>
          <w:tcPr>
            <w:tcW w:type="dxa" w:w="5669"/>
            <w:shd w:fill="1F4E79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8"/>
              </w:rPr>
              <w:t>Ejemplo en el piloto</w:t>
            </w:r>
          </w:p>
        </w:tc>
        <w:tc>
          <w:tcPr>
            <w:tcW w:type="dxa" w:w="1361"/>
            <w:shd w:fill="1F4E79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8"/>
              </w:rPr>
              <w:t>Monto (US$)</w:t>
            </w:r>
          </w:p>
        </w:tc>
      </w:tr>
      <w:tr>
        <w:tc>
          <w:tcPr>
            <w:tcW w:type="dxa" w:w="2041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Fijo</w:t>
            </w:r>
          </w:p>
        </w:tc>
        <w:tc>
          <w:tcPr>
            <w:tcW w:type="dxa" w:w="5669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Remuneración de la directora de proyecto (0,5 FTE × 3 meses)</w:t>
            </w:r>
          </w:p>
        </w:tc>
        <w:tc>
          <w:tcPr>
            <w:tcW w:type="dxa" w:w="1361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2.400</w:t>
            </w:r>
          </w:p>
        </w:tc>
      </w:tr>
      <w:tr>
        <w:tc>
          <w:tcPr>
            <w:tcW w:type="dxa" w:w="2041"/>
            <w:shd w:fill="F2F2F2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Variable</w:t>
            </w:r>
          </w:p>
        </w:tc>
        <w:tc>
          <w:tcPr>
            <w:tcW w:type="dxa" w:w="5669"/>
            <w:shd w:fill="F2F2F2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Horas de soporte local según kits cargados; hosting según uso</w:t>
            </w:r>
          </w:p>
        </w:tc>
        <w:tc>
          <w:tcPr>
            <w:tcW w:type="dxa" w:w="1361"/>
            <w:shd w:fill="F2F2F2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1.240</w:t>
            </w:r>
          </w:p>
        </w:tc>
      </w:tr>
      <w:tr>
        <w:tc>
          <w:tcPr>
            <w:tcW w:type="dxa" w:w="2041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Directo</w:t>
            </w:r>
          </w:p>
        </w:tc>
        <w:tc>
          <w:tcPr>
            <w:tcW w:type="dxa" w:w="5669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Equipo de desarrollo, nube del piloto, taller de capacitación</w:t>
            </w:r>
          </w:p>
        </w:tc>
        <w:tc>
          <w:tcPr>
            <w:tcW w:type="dxa" w:w="1361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14.470</w:t>
            </w:r>
          </w:p>
        </w:tc>
      </w:tr>
      <w:tr>
        <w:tc>
          <w:tcPr>
            <w:tcW w:type="dxa" w:w="2041"/>
            <w:shd w:fill="F2F2F2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Indirecto</w:t>
            </w:r>
          </w:p>
        </w:tc>
        <w:tc>
          <w:tcPr>
            <w:tcW w:type="dxa" w:w="5669"/>
            <w:shd w:fill="F2F2F2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Administración / PMO de la empresa social (cuota del piloto)</w:t>
            </w:r>
          </w:p>
        </w:tc>
        <w:tc>
          <w:tcPr>
            <w:tcW w:type="dxa" w:w="1361"/>
            <w:shd w:fill="F2F2F2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1.380</w:t>
            </w:r>
          </w:p>
        </w:tc>
      </w:tr>
      <w:tr>
        <w:tc>
          <w:tcPr>
            <w:tcW w:type="dxa" w:w="2041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De oportunidad</w:t>
            </w:r>
          </w:p>
        </w:tc>
        <w:tc>
          <w:tcPr>
            <w:tcW w:type="dxa" w:w="5669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El mismo equipo no construye un módulo de cobro (excluido a propósito)</w:t>
            </w:r>
          </w:p>
        </w:tc>
        <w:tc>
          <w:tcPr>
            <w:tcW w:type="dxa" w:w="1361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No caja</w:t>
            </w:r>
          </w:p>
        </w:tc>
      </w:tr>
      <w:tr>
        <w:tc>
          <w:tcPr>
            <w:tcW w:type="dxa" w:w="2041"/>
            <w:shd w:fill="F2F2F2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Hundido</w:t>
            </w:r>
          </w:p>
        </w:tc>
        <w:tc>
          <w:tcPr>
            <w:tcW w:type="dxa" w:w="5669"/>
            <w:shd w:fill="F2F2F2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Estudio de terreno previo ya pagado; no decide continuar o parar</w:t>
            </w:r>
          </w:p>
        </w:tc>
        <w:tc>
          <w:tcPr>
            <w:tcW w:type="dxa" w:w="1361"/>
            <w:shd w:fill="F2F2F2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2.800 (fuera)</w:t>
            </w:r>
          </w:p>
        </w:tc>
      </w:tr>
      <w:tr>
        <w:tc>
          <w:tcPr>
            <w:tcW w:type="dxa" w:w="2041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Contingencia (12 %)</w:t>
            </w:r>
          </w:p>
        </w:tc>
        <w:tc>
          <w:tcPr>
            <w:tcW w:type="dxa" w:w="5669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Reserva sobre costos directos + variables del piloto</w:t>
            </w:r>
          </w:p>
        </w:tc>
        <w:tc>
          <w:tcPr>
            <w:tcW w:type="dxa" w:w="1361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1.890</w:t>
            </w:r>
          </w:p>
        </w:tc>
      </w:tr>
      <w:tr>
        <w:tc>
          <w:tcPr>
            <w:tcW w:type="dxa" w:w="2041"/>
            <w:shd w:fill="F2F2F2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Presupuesto autorizado</w:t>
            </w:r>
          </w:p>
        </w:tc>
        <w:tc>
          <w:tcPr>
            <w:tcW w:type="dxa" w:w="5669"/>
            <w:shd w:fill="F2F2F2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Techo del acta (hundidos excluidos)</w:t>
            </w:r>
          </w:p>
        </w:tc>
        <w:tc>
          <w:tcPr>
            <w:tcW w:type="dxa" w:w="1361"/>
            <w:shd w:fill="F2F2F2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20.700</w:t>
            </w:r>
          </w:p>
        </w:tc>
      </w:tr>
    </w:tbl>
    <w:p>
      <w:pPr>
        <w:spacing w:after="80"/>
      </w:pPr>
    </w:p>
    <w:p>
      <w:pPr>
        <w:spacing w:before="40" w:after="16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444444"/>
          <w:sz w:val="18"/>
        </w:rPr>
        <w:t>Tabla 4. Presupuesto inicial por tipo de costo. Los hundidos no entran a la decisión.</w:t>
      </w:r>
    </w:p>
    <w:p>
      <w:pPr>
        <w:spacing w:line="276" w:lineRule="auto" w:before="200" w:after="8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1F4E79"/>
          <w:sz w:val="26"/>
        </w:rPr>
        <w:t>3. Factores ambientales, estándares e impacto en el caso</w:t>
      </w:r>
    </w:p>
    <w:p>
      <w:pPr>
        <w:spacing w:line="360" w:lineRule="auto" w:after="12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Los factores ambientales de la empresa (EEF) son condiciones que el equipo no controla y que entran a la planificación (Project Management Institute [PMI], 2017). Internos: cultura de transparencia exigida por donantes; estructura matricial débil (empresa social + partner tecnológico + equipo académico); infraestructura de nube aún no institucionalizada; capacidad limitada del equipo. Externos: financiamiento mixto; distancia cultural y geográfica con la comunidad piloto; marco legal de datos de hogares; conectividad física irregular; estándares de la industria. Los OPA (plantillas, lecciones, este plan) sí se pueden usar; el clima, no.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494"/>
            <w:shd w:fill="1F4E79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8"/>
              </w:rPr>
              <w:t>Factor o estándar</w:t>
            </w:r>
          </w:p>
        </w:tc>
        <w:tc>
          <w:tcPr>
            <w:tcW w:type="dxa" w:w="1814"/>
            <w:shd w:fill="1F4E79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4762"/>
            <w:shd w:fill="1F4E79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8"/>
              </w:rPr>
              <w:t>Impacto concreto en el piloto</w:t>
            </w:r>
          </w:p>
        </w:tc>
      </w:tr>
      <w:tr>
        <w:tc>
          <w:tcPr>
            <w:tcW w:type="dxa" w:w="2494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Financiamiento mixto (inversores + subvención)</w:t>
            </w:r>
          </w:p>
        </w:tc>
        <w:tc>
          <w:tcPr>
            <w:tcW w:type="dxa" w:w="1814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EEF externo financiero</w:t>
            </w:r>
          </w:p>
        </w:tc>
        <w:tc>
          <w:tcPr>
            <w:tcW w:type="dxa" w:w="4762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Hitos de reporte 8.4 inamovibles: el cronograma se diseña hacia esa fecha, no al revés.</w:t>
            </w:r>
          </w:p>
        </w:tc>
      </w:tr>
      <w:tr>
        <w:tc>
          <w:tcPr>
            <w:tcW w:type="dxa" w:w="2494"/>
            <w:shd w:fill="F2F2F2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Cultura comunitaria e idioma</w:t>
            </w:r>
          </w:p>
        </w:tc>
        <w:tc>
          <w:tcPr>
            <w:tcW w:type="dxa" w:w="1814"/>
            <w:shd w:fill="F2F2F2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EEF externo social</w:t>
            </w:r>
          </w:p>
        </w:tc>
        <w:tc>
          <w:tcPr>
            <w:tcW w:type="dxa" w:w="4762"/>
            <w:shd w:fill="F2F2F2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UX simple, pocos campos, capacitación 7.x; no se asume onboarding “tipo app urbana”.</w:t>
            </w:r>
          </w:p>
        </w:tc>
      </w:tr>
      <w:tr>
        <w:tc>
          <w:tcPr>
            <w:tcW w:type="dxa" w:w="2494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Conectividad irregular</w:t>
            </w:r>
          </w:p>
        </w:tc>
        <w:tc>
          <w:tcPr>
            <w:tcW w:type="dxa" w:w="1814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EEF físico</w:t>
            </w:r>
          </w:p>
        </w:tc>
        <w:tc>
          <w:tcPr>
            <w:tcW w:type="dxa" w:w="4762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Supuesto de carga por lotes; si cae, el inventario miente y la ruta crítica se rompe.</w:t>
            </w:r>
          </w:p>
        </w:tc>
      </w:tr>
      <w:tr>
        <w:tc>
          <w:tcPr>
            <w:tcW w:type="dxa" w:w="2494"/>
            <w:shd w:fill="F2F2F2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Datos de hogares</w:t>
            </w:r>
          </w:p>
        </w:tc>
        <w:tc>
          <w:tcPr>
            <w:tcW w:type="dxa" w:w="1814"/>
            <w:shd w:fill="F2F2F2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EEF legal</w:t>
            </w:r>
          </w:p>
        </w:tc>
        <w:tc>
          <w:tcPr>
            <w:tcW w:type="dxa" w:w="4762"/>
            <w:shd w:fill="F2F2F2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Minimizar datos, roles 6.1 y tratamiento 6.2; alineación con ISO/IEC 27701.</w:t>
            </w:r>
          </w:p>
        </w:tc>
      </w:tr>
      <w:tr>
        <w:tc>
          <w:tcPr>
            <w:tcW w:type="dxa" w:w="2494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PMBOK 6.ª</w:t>
            </w:r>
          </w:p>
        </w:tc>
        <w:tc>
          <w:tcPr>
            <w:tcW w:type="dxa" w:w="1814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Estándar de dirección</w:t>
            </w:r>
          </w:p>
        </w:tc>
        <w:tc>
          <w:tcPr>
            <w:tcW w:type="dxa" w:w="4762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Acta, EDT, CPM, interesados y línea base. Dirige el proyecto, no la operación diaria.</w:t>
            </w:r>
          </w:p>
        </w:tc>
      </w:tr>
      <w:tr>
        <w:tc>
          <w:tcPr>
            <w:tcW w:type="dxa" w:w="2494"/>
            <w:shd w:fill="F2F2F2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CMMI</w:t>
            </w:r>
          </w:p>
        </w:tc>
        <w:tc>
          <w:tcPr>
            <w:tcW w:type="dxa" w:w="1814"/>
            <w:shd w:fill="F2F2F2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Madurez de procesos</w:t>
            </w:r>
          </w:p>
        </w:tc>
        <w:tc>
          <w:tcPr>
            <w:tcW w:type="dxa" w:w="4762"/>
            <w:shd w:fill="F2F2F2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El piloto apunta a disciplina básica (plan, evidencias), no a un nivel 4 o 5.</w:t>
            </w:r>
          </w:p>
        </w:tc>
      </w:tr>
      <w:tr>
        <w:tc>
          <w:tcPr>
            <w:tcW w:type="dxa" w:w="2494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ITIL 4</w:t>
            </w:r>
          </w:p>
        </w:tc>
        <w:tc>
          <w:tcPr>
            <w:tcW w:type="dxa" w:w="1814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Gestión de servicio</w:t>
            </w:r>
          </w:p>
        </w:tc>
        <w:tc>
          <w:tcPr>
            <w:tcW w:type="dxa" w:w="4762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El módulo de tickets se diseña como incidente/mantención, no como formulario suelto.</w:t>
            </w:r>
          </w:p>
        </w:tc>
      </w:tr>
      <w:tr>
        <w:tc>
          <w:tcPr>
            <w:tcW w:type="dxa" w:w="2494"/>
            <w:shd w:fill="F2F2F2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COBIT</w:t>
            </w:r>
          </w:p>
        </w:tc>
        <w:tc>
          <w:tcPr>
            <w:tcW w:type="dxa" w:w="1814"/>
            <w:shd w:fill="F2F2F2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Gobierno de TI</w:t>
            </w:r>
          </w:p>
        </w:tc>
        <w:tc>
          <w:tcPr>
            <w:tcW w:type="dxa" w:w="4762"/>
            <w:shd w:fill="F2F2F2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Quién aprueba accesos y reportes hacia inversores; evita que “el de sistemas” decida solo.</w:t>
            </w:r>
          </w:p>
        </w:tc>
      </w:tr>
    </w:tbl>
    <w:p>
      <w:pPr>
        <w:spacing w:after="80"/>
      </w:pPr>
    </w:p>
    <w:p>
      <w:pPr>
        <w:spacing w:before="40" w:after="16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444444"/>
          <w:sz w:val="18"/>
        </w:rPr>
        <w:t>Tabla 5. EEF y estándares con impacto en decisiones del plan (no una lista genérica).</w:t>
      </w:r>
    </w:p>
    <w:p>
      <w:pPr>
        <w:spacing w:line="276" w:lineRule="auto" w:before="200" w:after="8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1F4E79"/>
          <w:sz w:val="26"/>
        </w:rPr>
        <w:t>4. Estrategia de planificación e integración a la organización</w:t>
      </w:r>
    </w:p>
    <w:p>
      <w:pPr>
        <w:spacing w:line="360" w:lineRule="auto" w:after="12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Se descarta un enfoque 100 % predictivo: el flujo real del técnico local no está cerrado. Se descarta un enfoque 100 % adaptativo: los estados del kit, la privacidad y el calendario de donantes no pueden “descubrirse” cada semana. La estrategia es híbrida, calzada al terreno de esta organización (Wysocki, 2019; PMI, 2017).</w:t>
      </w:r>
    </w:p>
    <w:p>
      <w:pPr>
        <w:spacing w:line="360" w:lineRule="auto" w:after="12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Capa predictiva (receta): cuentas 2, 6 y 5 en lo que es dato maestro, cumplimiento y reporte. Requisitos estables, control por hitos, Gantt y ruta crítica visibles para patrocinadores. Capa adaptativa (GPS): cuentas 3 y 4 en usabilidad del tablero y en el flujo de tickets, con iteraciones cortas y Kanban, porque el técnico va a corregir el diseño en terreno. La dirección del proyecto (cuenta 1) integra ambas capas: una sola línea base de hitos y un backlog semanal debajo.</w:t>
      </w:r>
    </w:p>
    <w:p>
      <w:pPr>
        <w:spacing w:line="360" w:lineRule="auto" w:after="12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Integración organizacional: el piloto no vive en el vacío del equipo de software. Se inserta en una empresa social que debe ser ágil en terreno y estricta con plata ajena. Por eso el plan incorpora canales de comunicación a inversores (hitos), roles de acceso (COBIT + privacidad), y una transición explícita al soporte local (cuenta 7) para no dejar un software huérfano al cerrar el proyecto. Beneficio: se congela lo regulado y se itera lo que se aprende, sin perder la fecha de reporte ni inventar alcance de paneles.</w:t>
      </w:r>
    </w:p>
    <w:p>
      <w:pPr>
        <w:spacing w:line="276" w:lineRule="auto" w:before="200" w:after="8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1F4E79"/>
          <w:sz w:val="26"/>
        </w:rPr>
        <w:t>5. Herramientas utilizadas y justificación</w:t>
      </w:r>
    </w:p>
    <w:p>
      <w:pPr>
        <w:spacing w:line="360" w:lineRule="auto" w:after="12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herramienta sigue a la estrategia y a lo que esta organización puede usar de verdad, no a la moda del equipo. Para la línea base predictiva se eligió Project Libre: cubre EDT, precedencias, ruta crítica, recursos y Gantt, sin licencia de Microsoft Project, coherente con un piloto de impacto y presupuesto acotado. Office 365 (Word y Excel) sostiene el diccionario de la EDT, el presupuesto por tipo de costo y este informe ejecutivo. Un tablero Kanban (Trello) cubre la capa adaptativa de tablero y tickets. El kraft o pizarra no es la fuente de verdad: es el medio del pitch de 15 minutos.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041"/>
            <w:shd w:fill="1F4E79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8"/>
              </w:rPr>
              <w:t>Herramienta</w:t>
            </w:r>
          </w:p>
        </w:tc>
        <w:tc>
          <w:tcPr>
            <w:tcW w:type="dxa" w:w="3628"/>
            <w:shd w:fill="1F4E79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8"/>
              </w:rPr>
              <w:t>Dónde se usó en este plan</w:t>
            </w:r>
          </w:p>
        </w:tc>
        <w:tc>
          <w:tcPr>
            <w:tcW w:type="dxa" w:w="3402"/>
            <w:shd w:fill="1F4E79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8"/>
              </w:rPr>
              <w:t>Por qué esta organización</w:t>
            </w:r>
          </w:p>
        </w:tc>
      </w:tr>
      <w:tr>
        <w:tc>
          <w:tcPr>
            <w:tcW w:type="dxa" w:w="2041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Project Libre</w:t>
            </w:r>
          </w:p>
        </w:tc>
        <w:tc>
          <w:tcPr>
            <w:tcW w:type="dxa" w:w="3628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Sección 2: cronograma, CPM, recursos, hitos</w:t>
            </w:r>
          </w:p>
        </w:tc>
        <w:tc>
          <w:tcPr>
            <w:tcW w:type="dxa" w:w="3402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Necesitan defender plazo de subsidio; no hay licencia MS Project.</w:t>
            </w:r>
          </w:p>
        </w:tc>
      </w:tr>
      <w:tr>
        <w:tc>
          <w:tcPr>
            <w:tcW w:type="dxa" w:w="2041"/>
            <w:shd w:fill="F2F2F2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Excel / Office 365</w:t>
            </w:r>
          </w:p>
        </w:tc>
        <w:tc>
          <w:tcPr>
            <w:tcW w:type="dxa" w:w="3628"/>
            <w:shd w:fill="F2F2F2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Diccionario EDT, RBS y presupuesto (Tabla 4)</w:t>
            </w:r>
          </w:p>
        </w:tc>
        <w:tc>
          <w:tcPr>
            <w:tcW w:type="dxa" w:w="3402"/>
            <w:shd w:fill="F2F2F2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Formato que dirección y donantes ya leen; no reemplaza la ruta crítica.</w:t>
            </w:r>
          </w:p>
        </w:tc>
      </w:tr>
      <w:tr>
        <w:tc>
          <w:tcPr>
            <w:tcW w:type="dxa" w:w="2041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Trello (Kanban)</w:t>
            </w:r>
          </w:p>
        </w:tc>
        <w:tc>
          <w:tcPr>
            <w:tcW w:type="dxa" w:w="3628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Capa adaptativa de cuentas 3 y 4</w:t>
            </w:r>
          </w:p>
        </w:tc>
        <w:tc>
          <w:tcPr>
            <w:tcW w:type="dxa" w:w="3402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Equipo chico; el flujo de tickets se descubre en terreno.</w:t>
            </w:r>
          </w:p>
        </w:tc>
      </w:tr>
      <w:tr>
        <w:tc>
          <w:tcPr>
            <w:tcW w:type="dxa" w:w="2041"/>
            <w:shd w:fill="F2F2F2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Word (este informe)</w:t>
            </w:r>
          </w:p>
        </w:tc>
        <w:tc>
          <w:tcPr>
            <w:tcW w:type="dxa" w:w="3628"/>
            <w:shd w:fill="F2F2F2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Resumen ejecutivo de 7 planas</w:t>
            </w:r>
          </w:p>
        </w:tc>
        <w:tc>
          <w:tcPr>
            <w:tcW w:type="dxa" w:w="3402"/>
            <w:shd w:fill="F2F2F2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Entregable exigido por la Eva; APA y trazabilidad del plan.</w:t>
            </w:r>
          </w:p>
        </w:tc>
      </w:tr>
      <w:tr>
        <w:tc>
          <w:tcPr>
            <w:tcW w:type="dxa" w:w="2041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Pizarra / kraft</w:t>
            </w:r>
          </w:p>
        </w:tc>
        <w:tc>
          <w:tcPr>
            <w:tcW w:type="dxa" w:w="3628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Pitch oral, no línea base</w:t>
            </w:r>
          </w:p>
        </w:tc>
        <w:tc>
          <w:tcPr>
            <w:tcW w:type="dxa" w:w="3402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Entendimiento común en 15 min; no sustituye Project Libre.</w:t>
            </w:r>
          </w:p>
        </w:tc>
      </w:tr>
    </w:tbl>
    <w:p>
      <w:pPr>
        <w:spacing w:after="80"/>
      </w:pPr>
    </w:p>
    <w:p>
      <w:pPr>
        <w:spacing w:before="40" w:after="16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444444"/>
          <w:sz w:val="18"/>
        </w:rPr>
        <w:t>Tabla 6. Selección de herramientas según necesidad de la organización (IL1.4).</w:t>
      </w:r>
    </w:p>
    <w:p>
      <w:pPr>
        <w:spacing w:line="360" w:lineRule="auto" w:after="12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En síntesis: el piloto de software queda autorizado (acta), limitado (exclusiones), partido (EDT), fechado por el camino más largo (CPM + PERT en terreno), costoso con tipos y contingencia, honesto con el clima (EEF y estándares) y caminado en híbrido con un lápiz que la organización puede pagar. El éxito no será “haber programado”, sino kits observables, fallas atendibles y un reporte que un donante pueda creer.</w:t>
      </w:r>
    </w:p>
    <w:p>
      <w:pPr>
        <w:spacing w:line="276" w:lineRule="auto" w:before="200" w:after="8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1F4E79"/>
          <w:sz w:val="26"/>
        </w:rPr>
        <w:t>Referencias</w:t>
      </w:r>
    </w:p>
    <w:p>
      <w:pPr>
        <w:spacing w:line="360" w:lineRule="auto" w:after="80"/>
        <w:ind w:left="709" w:hanging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Baud, J.-L. (2020). ITIL 4: Entender el enfoque y adoptar las buenas prácticas. Ediciones ENI.</w:t>
      </w:r>
    </w:p>
    <w:p>
      <w:pPr>
        <w:spacing w:line="360" w:lineRule="auto" w:after="80"/>
        <w:ind w:left="709" w:hanging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Project Management Institute. (2017). Guía de los fundamentos para la dirección de proyectos (Guía del PMBOK) (6.ª ed.).</w:t>
      </w:r>
    </w:p>
    <w:p>
      <w:pPr>
        <w:spacing w:line="360" w:lineRule="auto" w:after="80"/>
        <w:ind w:left="709" w:hanging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Project Management Institute. (2021). Guía de los fundamentos para la dirección de proyectos y El estándar para la dirección de proyectos (7.ª ed.).</w:t>
      </w:r>
    </w:p>
    <w:p>
      <w:pPr>
        <w:spacing w:line="360" w:lineRule="auto" w:after="80"/>
        <w:ind w:left="709" w:hanging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SCRUMstudy. (2023). Guía SBOK (4.ª ed.).</w:t>
      </w:r>
    </w:p>
    <w:p>
      <w:pPr>
        <w:spacing w:line="360" w:lineRule="auto" w:after="80"/>
        <w:ind w:left="709" w:hanging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Wysocki, R. K. (2019). Effective project management: Traditional, agile, extreme, hybrid (8th ed.). Wiley.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color w:val="555555"/>
        <w:sz w:val="18"/>
      </w:rPr>
      <w:t xml:space="preserve">Página </w:t>
    </w:r>
    <w:r>
      <w:rPr>
        <w:rFonts w:ascii="Times New Roman" w:hAnsi="Times New Roman" w:cs="Times New Roman" w:eastAsia="Times New Roman"/>
        <w:b w:val="0"/>
        <w:i w:val="0"/>
        <w:color w:val="55555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Times New Roman" w:hAnsi="Times New Roman" w:cs="Times New Roman" w:eastAsia="Times New Roman"/>
        <w:b w:val="0"/>
        <w:i w:val="0"/>
        <w:color w:val="555555"/>
        <w:sz w:val="18"/>
      </w:rPr>
      <w:t>GPY1102 · Evaluación Parcial 1 · Caso 7 · Informe ejecutivo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