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072"/>
      </w:tblGrid>
      <w:tr>
        <w:tc>
          <w:tcPr>
            <w:tcW w:type="dxa" w:w="9071"/>
            <w:shd w:fill="10263D" w:val="clear"/>
            <w:tcMar>
              <w:top w:w="0" w:type="dxa"/>
              <w:bottom w:w="0" w:type="dxa"/>
              <w:left w:w="0" w:type="dxa"/>
              <w:right w:w="0" w:type="dxa"/>
            </w:tcMar>
          </w:tcPr>
          <w:p>
            <w:pPr>
              <w:spacing w:before="0" w:after="0" w:line="240" w:lineRule="auto"/>
            </w:pPr>
            <w:r>
              <w:rPr>
                <w:rFonts w:ascii="Times New Roman" w:hAnsi="Times New Roman" w:cs="Times New Roman" w:eastAsia="Times New Roman"/>
                <w:b w:val="0"/>
                <w:i w:val="0"/>
                <w:sz w:val="24"/>
              </w:rPr>
              <w:t xml:space="preserve"> </w:t>
            </w:r>
          </w:p>
        </w:tc>
      </w:tr>
    </w:tbl>
    <w:p>
      <w:pPr>
        <w:spacing w:before="0" w:after="0" w:line="240" w:lineRule="auto"/>
      </w:pPr>
    </w:p>
    <w:tbl>
      <w:tblPr>
        <w:tblW w:type="auto" w:w="0"/>
        <w:jc w:val="center"/>
        <w:tblLayout w:type="fixed"/>
        <w:tblLook w:firstColumn="1" w:firstRow="1" w:lastColumn="0" w:lastRow="0" w:noHBand="0" w:noVBand="1" w:val="04A0"/>
        <w:tblBorders>
          <w:top w:val="nil" w:sz="0" w:space="0" w:color="auto"/>
          <w:left w:val="nil" w:sz="0" w:space="0" w:color="auto"/>
          <w:bottom w:val="nil" w:sz="0" w:space="0" w:color="auto"/>
          <w:right w:val="nil" w:sz="0" w:space="0" w:color="auto"/>
          <w:insideH w:val="nil" w:sz="0" w:space="0" w:color="auto"/>
          <w:insideV w:val="nil" w:sz="0" w:space="0" w:color="auto"/>
        </w:tblBorders>
      </w:tblPr>
      <w:tblGrid>
        <w:gridCol w:w="9072"/>
      </w:tblGrid>
      <w:tr>
        <w:tc>
          <w:tcPr>
            <w:tcW w:type="dxa" w:w="9071"/>
            <w:shd w:fill="E59A24" w:val="clear"/>
            <w:tcMar>
              <w:top w:w="0" w:type="dxa"/>
              <w:bottom w:w="0" w:type="dxa"/>
              <w:left w:w="0" w:type="dxa"/>
              <w:right w:w="0" w:type="dxa"/>
            </w:tcMar>
          </w:tcPr>
          <w:p>
            <w:pPr>
              <w:spacing w:before="0" w:after="0" w:line="240" w:lineRule="auto"/>
            </w:pPr>
            <w:r>
              <w:rPr>
                <w:rFonts w:ascii="Times New Roman" w:hAnsi="Times New Roman" w:cs="Times New Roman" w:eastAsia="Times New Roman"/>
                <w:b w:val="0"/>
                <w:i w:val="0"/>
                <w:sz w:val="10"/>
              </w:rPr>
              <w:t xml:space="preserve"> </w:t>
            </w:r>
          </w:p>
        </w:tc>
      </w:tr>
    </w:tbl>
    <w:p>
      <w:pPr>
        <w:spacing w:before="0" w:after="0" w:line="240" w:lineRule="auto"/>
      </w:pPr>
    </w:p>
    <w:p>
      <w:pPr>
        <w:spacing w:before="560" w:after="0"/>
      </w:pPr>
    </w:p>
    <w:p>
      <w:pPr>
        <w:spacing w:after="200"/>
        <w:ind w:firstLine="0"/>
        <w:jc w:val="center"/>
      </w:pPr>
      <w:r>
        <w:drawing>
          <wp:inline xmlns:a="http://schemas.openxmlformats.org/drawingml/2006/main" xmlns:pic="http://schemas.openxmlformats.org/drawingml/2006/picture">
            <wp:extent cx="1368000" cy="1368000"/>
            <wp:docPr id="1" name="Picture 1"/>
            <wp:cNvGraphicFramePr>
              <a:graphicFrameLocks noChangeAspect="1"/>
            </wp:cNvGraphicFramePr>
            <a:graphic>
              <a:graphicData uri="http://schemas.openxmlformats.org/drawingml/2006/picture">
                <pic:pic>
                  <pic:nvPicPr>
                    <pic:cNvPr id="0" name="kiran-isotipo.png"/>
                    <pic:cNvPicPr/>
                  </pic:nvPicPr>
                  <pic:blipFill>
                    <a:blip r:embed="rId11"/>
                    <a:stretch>
                      <a:fillRect/>
                    </a:stretch>
                  </pic:blipFill>
                  <pic:spPr>
                    <a:xfrm>
                      <a:off x="0" y="0"/>
                      <a:ext cx="1368000" cy="1368000"/>
                    </a:xfrm>
                    <a:prstGeom prst="rect"/>
                  </pic:spPr>
                </pic:pic>
              </a:graphicData>
            </a:graphic>
          </wp:inline>
        </w:drawing>
      </w:r>
    </w:p>
    <w:p>
      <w:pPr>
        <w:spacing w:after="80"/>
        <w:ind w:firstLine="0"/>
        <w:jc w:val="center"/>
      </w:pPr>
      <w:r>
        <w:rPr>
          <w:rFonts w:ascii="Arial" w:hAnsi="Arial" w:cs="Arial" w:eastAsia="Arial"/>
          <w:b/>
          <w:i w:val="0"/>
          <w:color w:val="10263D"/>
          <w:sz w:val="56"/>
        </w:rPr>
        <w:t>KIRAN</w:t>
      </w:r>
    </w:p>
    <w:p>
      <w:pPr>
        <w:spacing w:after="360"/>
        <w:ind w:firstLine="0"/>
        <w:jc w:val="center"/>
      </w:pPr>
      <w:r>
        <w:rPr>
          <w:rFonts w:ascii="Times New Roman" w:hAnsi="Times New Roman" w:cs="Times New Roman" w:eastAsia="Times New Roman"/>
          <w:b w:val="0"/>
          <w:i/>
          <w:color w:val="10263D"/>
          <w:sz w:val="26"/>
        </w:rPr>
        <w:t>Visibilidad que mantiene la energía activa.</w:t>
      </w:r>
    </w:p>
    <w:p>
      <w:pPr>
        <w:spacing w:after="40"/>
        <w:ind w:firstLine="0"/>
        <w:jc w:val="center"/>
      </w:pPr>
      <w:r>
        <w:rPr>
          <w:rFonts w:ascii="Arial" w:hAnsi="Arial" w:eastAsia="Arial"/>
          <w:b/>
          <w:i w:val="0"/>
          <w:color w:val="E59A24"/>
          <w:sz w:val="22"/>
        </w:rPr>
        <w:t>ACTIVIDAD 2.1.2</w:t>
      </w:r>
    </w:p>
    <w:p>
      <w:pPr>
        <w:spacing w:after="80"/>
        <w:ind w:firstLine="0"/>
        <w:jc w:val="center"/>
      </w:pPr>
      <w:r>
        <w:rPr>
          <w:rFonts w:ascii="Times New Roman" w:hAnsi="Times New Roman" w:eastAsia="Times New Roman"/>
          <w:b/>
          <w:i w:val="0"/>
          <w:color w:val="10263D"/>
          <w:sz w:val="32"/>
        </w:rPr>
        <w:t>Sistema de monitoreo y control del proyecto</w:t>
      </w:r>
    </w:p>
    <w:p>
      <w:pPr>
        <w:spacing w:after="280"/>
        <w:ind w:firstLine="0"/>
        <w:jc w:val="center"/>
      </w:pPr>
      <w:r>
        <w:rPr>
          <w:rFonts w:ascii="Times New Roman" w:hAnsi="Times New Roman" w:eastAsia="Times New Roman"/>
          <w:b w:val="0"/>
          <w:i w:val="0"/>
          <w:color w:val="555555"/>
          <w:sz w:val="22"/>
        </w:rPr>
        <w:t>Plataforma Kiran para el seguimiento de kits solares en una comunidad piloto</w:t>
      </w:r>
    </w:p>
    <w:p>
      <w:pPr>
        <w:spacing w:after="360"/>
        <w:ind w:firstLine="0"/>
        <w:jc w:val="center"/>
      </w:pPr>
      <w:r>
        <w:rPr>
          <w:rFonts w:ascii="Times New Roman" w:hAnsi="Times New Roman" w:eastAsia="Times New Roman"/>
          <w:b w:val="0"/>
          <w:i w:val="0"/>
          <w:color w:val="10263D"/>
          <w:sz w:val="24"/>
        </w:rPr>
        <w:t xml:space="preserve">14 de septiembre de 2026 a 9 de diciembre de 2026. Techo aprobado de US$ 20.700. Contingencia del 10 % (US$ 1.890 sobre la base de US$ 18.810)</w:t>
      </w:r>
    </w:p>
    <w:tbl>
      <w:tblPr>
        <w:tblStyle w:val="TableGrid"/>
        <w:tblW w:type="auto" w:w="0"/>
        <w:jc w:val="center"/>
        <w:tblLayout w:type="autofit"/>
        <w:tblLook w:firstColumn="1" w:firstRow="1" w:lastColumn="0" w:lastRow="0" w:noHBand="0" w:noVBand="1" w:val="04A0"/>
      </w:tblPr>
      <w:tblGrid>
        <w:gridCol w:w="4536"/>
        <w:gridCol w:w="4536"/>
      </w:tblGrid>
      <w:tr>
        <w:tc>
          <w:tcPr>
            <w:tcW w:type="dxa" w:w="4535"/>
            <w:shd w:fill="10263D" w:val="clear"/>
          </w:tcPr>
          <w:p>
            <w:pPr>
              <w:spacing w:after="0" w:before="0" w:line="240" w:lineRule="auto"/>
            </w:pPr>
            <w:r/>
            <w:r>
              <w:rPr>
                <w:rFonts w:ascii="Times New Roman" w:hAnsi="Times New Roman" w:cs="Times New Roman" w:eastAsia="Times New Roman"/>
                <w:b/>
                <w:i w:val="0"/>
                <w:color w:val="FFFFFF"/>
                <w:sz w:val="18"/>
              </w:rPr>
              <w:t>Equipo</w:t>
            </w:r>
          </w:p>
        </w:tc>
        <w:tc>
          <w:tcPr>
            <w:tcW w:type="dxa" w:w="4535"/>
            <w:shd w:fill="10263D" w:val="clear"/>
          </w:tcPr>
          <w:p>
            <w:pPr>
              <w:spacing w:after="0" w:before="0" w:line="240" w:lineRule="auto"/>
            </w:pPr>
            <w:r/>
            <w:r>
              <w:rPr>
                <w:rFonts w:ascii="Times New Roman" w:hAnsi="Times New Roman" w:cs="Times New Roman" w:eastAsia="Times New Roman"/>
                <w:b/>
                <w:i w:val="0"/>
                <w:color w:val="FFFFFF"/>
                <w:sz w:val="18"/>
              </w:rPr>
              <w:t>Rol en el piloto</w:t>
            </w:r>
          </w:p>
        </w:tc>
      </w:tr>
      <w:tr>
        <w:tc>
          <w:tcPr>
            <w:tcW w:type="dxa" w:w="4535"/>
          </w:tcPr>
          <w:p>
            <w:pPr>
              <w:spacing w:after="0" w:before="0" w:line="240" w:lineRule="auto"/>
            </w:pPr>
            <w:r/>
            <w:r>
              <w:rPr>
                <w:rFonts w:ascii="Times New Roman" w:hAnsi="Times New Roman" w:cs="Times New Roman" w:eastAsia="Times New Roman"/>
                <w:b w:val="0"/>
                <w:i w:val="0"/>
                <w:sz w:val="18"/>
              </w:rPr>
              <w:t>Giannina Guerrero</w:t>
            </w:r>
          </w:p>
        </w:tc>
        <w:tc>
          <w:tcPr>
            <w:tcW w:type="dxa" w:w="4535"/>
          </w:tcPr>
          <w:p>
            <w:pPr>
              <w:spacing w:after="0" w:before="0" w:line="240" w:lineRule="auto"/>
            </w:pPr>
            <w:r/>
            <w:r>
              <w:rPr>
                <w:rFonts w:ascii="Times New Roman" w:hAnsi="Times New Roman" w:cs="Times New Roman" w:eastAsia="Times New Roman"/>
                <w:b w:val="0"/>
                <w:i w:val="0"/>
                <w:sz w:val="18"/>
              </w:rPr>
              <w:t>Directora del proyecto y frontend</w:t>
            </w:r>
          </w:p>
        </w:tc>
      </w:tr>
      <w:tr>
        <w:tc>
          <w:tcPr>
            <w:tcW w:type="dxa" w:w="4535"/>
            <w:shd w:fill="F2F2F2" w:val="clear"/>
          </w:tcPr>
          <w:p>
            <w:pPr>
              <w:spacing w:after="0" w:before="0" w:line="240" w:lineRule="auto"/>
            </w:pPr>
            <w:r/>
            <w:r>
              <w:rPr>
                <w:rFonts w:ascii="Times New Roman" w:hAnsi="Times New Roman" w:cs="Times New Roman" w:eastAsia="Times New Roman"/>
                <w:b w:val="0"/>
                <w:i w:val="0"/>
                <w:sz w:val="18"/>
              </w:rPr>
              <w:t>Nicolás Barra</w:t>
            </w:r>
          </w:p>
        </w:tc>
        <w:tc>
          <w:tcPr>
            <w:tcW w:type="dxa" w:w="4535"/>
            <w:shd w:fill="F2F2F2" w:val="clear"/>
          </w:tcPr>
          <w:p>
            <w:pPr>
              <w:spacing w:after="0" w:before="0" w:line="240" w:lineRule="auto"/>
            </w:pPr>
            <w:r/>
            <w:r>
              <w:rPr>
                <w:rFonts w:ascii="Times New Roman" w:hAnsi="Times New Roman" w:cs="Times New Roman" w:eastAsia="Times New Roman"/>
                <w:b w:val="0"/>
                <w:i w:val="0"/>
                <w:sz w:val="18"/>
              </w:rPr>
              <w:t>Backend e inventario</w:t>
            </w:r>
          </w:p>
        </w:tc>
      </w:tr>
      <w:tr>
        <w:tc>
          <w:tcPr>
            <w:tcW w:type="dxa" w:w="4535"/>
          </w:tcPr>
          <w:p>
            <w:pPr>
              <w:spacing w:after="0" w:before="0" w:line="240" w:lineRule="auto"/>
            </w:pPr>
            <w:r/>
            <w:r>
              <w:rPr>
                <w:rFonts w:ascii="Times New Roman" w:hAnsi="Times New Roman" w:cs="Times New Roman" w:eastAsia="Times New Roman"/>
                <w:b w:val="0"/>
                <w:i w:val="0"/>
                <w:sz w:val="18"/>
              </w:rPr>
              <w:t>Ari Araya</w:t>
            </w:r>
          </w:p>
        </w:tc>
        <w:tc>
          <w:tcPr>
            <w:tcW w:type="dxa" w:w="4535"/>
          </w:tcPr>
          <w:p>
            <w:pPr>
              <w:spacing w:after="0" w:before="0" w:line="240" w:lineRule="auto"/>
            </w:pPr>
            <w:r/>
            <w:r>
              <w:rPr>
                <w:rFonts w:ascii="Times New Roman" w:hAnsi="Times New Roman" w:cs="Times New Roman" w:eastAsia="Times New Roman"/>
                <w:b w:val="0"/>
                <w:i w:val="0"/>
                <w:sz w:val="18"/>
              </w:rPr>
              <w:t>Infraestructura y nube</w:t>
            </w:r>
          </w:p>
        </w:tc>
      </w:tr>
      <w:tr>
        <w:tc>
          <w:tcPr>
            <w:tcW w:type="dxa" w:w="4535"/>
            <w:shd w:fill="F2F2F2" w:val="clear"/>
          </w:tcPr>
          <w:p>
            <w:pPr>
              <w:spacing w:after="0" w:before="0" w:line="240" w:lineRule="auto"/>
            </w:pPr>
            <w:r/>
            <w:r>
              <w:rPr>
                <w:rFonts w:ascii="Times New Roman" w:hAnsi="Times New Roman" w:cs="Times New Roman" w:eastAsia="Times New Roman"/>
                <w:b w:val="0"/>
                <w:i w:val="0"/>
                <w:sz w:val="18"/>
              </w:rPr>
              <w:t>Skarlett Tropan</w:t>
            </w:r>
          </w:p>
        </w:tc>
        <w:tc>
          <w:tcPr>
            <w:tcW w:type="dxa" w:w="4535"/>
            <w:shd w:fill="F2F2F2" w:val="clear"/>
          </w:tcPr>
          <w:p>
            <w:pPr>
              <w:spacing w:after="0" w:before="0" w:line="240" w:lineRule="auto"/>
            </w:pPr>
            <w:r/>
            <w:r>
              <w:rPr>
                <w:rFonts w:ascii="Times New Roman" w:hAnsi="Times New Roman" w:cs="Times New Roman" w:eastAsia="Times New Roman"/>
                <w:b w:val="0"/>
                <w:i w:val="0"/>
                <w:sz w:val="18"/>
              </w:rPr>
              <w:t>Calidad e impacto</w:t>
            </w:r>
          </w:p>
        </w:tc>
      </w:tr>
    </w:tbl>
    <w:p>
      <w:pPr>
        <w:spacing w:after="80"/>
        <w:jc w:val="center"/>
      </w:pPr>
      <w:r>
        <w:rPr>
          <w:rFonts w:ascii="Times New Roman" w:hAnsi="Times New Roman" w:eastAsia="Times New Roman"/>
          <w:b w:val="0"/>
          <w:i w:val="0"/>
          <w:color w:val="555555"/>
          <w:sz w:val="20"/>
        </w:rPr>
        <w:t>Equipo Kiran: Giannina Guerrero, Nicolás Barra, Ari Araya y Skarlett Tropan</w:t>
      </w:r>
    </w:p>
    <w:p>
      <w:pPr>
        <w:spacing w:before="360" w:after="40"/>
        <w:ind w:firstLine="0"/>
        <w:jc w:val="center"/>
      </w:pPr>
      <w:r>
        <w:rPr>
          <w:rFonts w:ascii="Times New Roman" w:hAnsi="Times New Roman" w:eastAsia="Times New Roman"/>
          <w:b w:val="0"/>
          <w:i w:val="0"/>
          <w:color w:val="555555"/>
          <w:sz w:val="20"/>
        </w:rPr>
        <w:t xml:space="preserve">GPY1102 Gestión de Proyectos de Software  ·  Docente: Juan Bautista Sáez Fernández  ·  Sección: </w:t>
      </w:r>
      <w:r>
        <w:rPr>
          <w:rFonts w:ascii="Times New Roman" w:hAnsi="Times New Roman" w:eastAsia="Times New Roman"/>
          <w:b w:val="0"/>
          <w:i w:val="0"/>
          <w:color w:val="555555"/>
          <w:sz w:val="20"/>
        </w:rPr>
        <w:t>001-V</w:t>
      </w:r>
    </w:p>
    <w:p>
      <w:pPr>
        <w:spacing w:after="200"/>
        <w:ind w:firstLine="0"/>
        <w:jc w:val="center"/>
      </w:pPr>
      <w:r>
        <w:rPr>
          <w:rFonts w:ascii="Times New Roman" w:hAnsi="Times New Roman" w:eastAsia="Times New Roman"/>
          <w:b w:val="0"/>
          <w:i w:val="0"/>
          <w:color w:val="555555"/>
          <w:sz w:val="20"/>
        </w:rPr>
        <w:t>Duoc UC · Sede Puente Alto · jornada vespertina</w:t>
      </w:r>
    </w:p>
    <w:p>
      <w:pPr>
        <w:spacing w:before="160"/>
        <w:ind w:firstLine="0"/>
        <w:jc w:val="center"/>
      </w:pPr>
      <w:r>
        <w:rPr>
          <w:rFonts w:ascii="Times New Roman" w:hAnsi="Times New Roman" w:eastAsia="Times New Roman"/>
          <w:b w:val="0"/>
          <w:i/>
          <w:color w:val="555555"/>
          <w:sz w:val="20"/>
        </w:rPr>
        <w:t>Desarrollo de la actividad de monitoreo y control</w:t>
      </w:r>
    </w:p>
    <w:p>
      <w:pPr>
        <w:sectPr>
          <w:headerReference w:type="default" r:id="rId9"/>
          <w:footerReference w:type="default" r:id="rId10"/>
          <w:pgSz w:w="11906" w:h="16838"/>
          <w:pgMar w:top="1247" w:right="1417" w:bottom="1247" w:left="1417" w:header="720" w:footer="720" w:gutter="0"/>
          <w:cols w:space="720"/>
          <w:docGrid w:linePitch="360"/>
        </w:sectPr>
      </w:pPr>
    </w:p>
    <w:p>
      <w:pPr>
        <w:keepNext/>
        <w:spacing w:before="200" w:after="140" w:line="276" w:lineRule="auto"/>
        <w:jc w:val="left"/>
      </w:pPr>
      <w:r>
        <w:rPr>
          <w:rFonts w:ascii="Times New Roman" w:hAnsi="Times New Roman" w:eastAsia="Times New Roman"/>
          <w:b/>
          <w:i w:val="0"/>
          <w:color w:val="10263D"/>
          <w:sz w:val="26"/>
        </w:rPr>
        <w:t>1. Contexto del proyecto</w:t>
      </w:r>
    </w:p>
    <w:p>
      <w:pPr>
        <w:spacing w:before="0" w:after="120" w:line="360" w:lineRule="auto"/>
        <w:jc w:val="both"/>
      </w:pPr>
      <w:r>
        <w:rPr>
          <w:rFonts w:ascii="Times New Roman" w:hAnsi="Times New Roman" w:eastAsia="Times New Roman"/>
          <w:b w:val="0"/>
          <w:i w:val="0"/>
          <w:sz w:val="24"/>
        </w:rPr>
        <w:t>Kiran es una plataforma de apoyo para una empresa social que trabaja con kits solares en una comunidad piloto de India. El sistema permite mantener un inventario actualizado, visualizar el estado de los kits, registrar tickets de mantención y preparar un informe de impacto. El proyecto no considera fabricar ni instalar paneles, realizar tendidos eléctricos ni operar el servicio después del piloto.</w:t>
      </w:r>
    </w:p>
    <w:p>
      <w:pPr>
        <w:spacing w:before="0" w:after="120" w:line="360" w:lineRule="auto"/>
        <w:jc w:val="both"/>
      </w:pPr>
      <w:r>
        <w:rPr>
          <w:rFonts w:ascii="Times New Roman" w:hAnsi="Times New Roman" w:eastAsia="Times New Roman"/>
          <w:b w:val="0"/>
          <w:i w:val="0"/>
          <w:sz w:val="24"/>
        </w:rPr>
        <w:t xml:space="preserve">El plan se ejecuta desde el 14 de septiembre hasta el 9 de diciembre de 2026. El presupuesto autorizado tiene un techo de US$ 20.700 e incorpora una contingencia del 10 %, equivalente a US$ 1.890 sobre la base de US$ 18.810</w:t>
      </w:r>
      <w:r>
        <w:rPr>
          <w:rFonts w:ascii="Times New Roman" w:hAnsi="Times New Roman" w:eastAsia="Times New Roman"/>
          <w:b w:val="0"/>
          <w:i w:val="0"/>
          <w:sz w:val="24"/>
        </w:rPr>
        <w:t>. Para realizar el seguimiento se utilizarán Project Libre, Trello y Excel. Project Libre mantiene el cronograma y los hitos; Trello organiza el trabajo semanal; Excel concentra los resultados de los indicadores y las decisiones de control.</w:t>
      </w:r>
    </w:p>
    <w:p>
      <w:pPr>
        <w:spacing w:before="0" w:after="120" w:line="360" w:lineRule="auto"/>
        <w:jc w:val="both"/>
      </w:pPr>
      <w:r>
        <w:rPr>
          <w:rFonts w:ascii="Times New Roman" w:hAnsi="Times New Roman" w:eastAsia="Times New Roman"/>
          <w:b w:val="0"/>
          <w:i w:val="0"/>
          <w:sz w:val="24"/>
        </w:rPr>
        <w:t>Como equipo, definimos indicadores macro para revisar el estado general del proyecto e indicadores micro para observar la ejecución cotidiana. La revisión de ambos niveles permite detectar una desviación antes de que afecte el plazo, el presupuesto, la calidad o el alcance comprometido.</w:t>
      </w:r>
    </w:p>
    <w:p>
      <w:pPr>
        <w:keepNext/>
        <w:spacing w:before="200" w:after="140" w:line="276" w:lineRule="auto"/>
        <w:jc w:val="left"/>
      </w:pPr>
      <w:r>
        <w:rPr>
          <w:rFonts w:ascii="Times New Roman" w:hAnsi="Times New Roman" w:eastAsia="Times New Roman"/>
          <w:b/>
          <w:i w:val="0"/>
          <w:color w:val="10263D"/>
          <w:sz w:val="26"/>
        </w:rPr>
        <w:t>2. Indicadores macro del proyecto</w:t>
      </w:r>
    </w:p>
    <w:p>
      <w:pPr>
        <w:spacing w:before="0" w:after="120" w:line="360" w:lineRule="auto"/>
        <w:jc w:val="both"/>
      </w:pPr>
      <w:r>
        <w:rPr>
          <w:rFonts w:ascii="Times New Roman" w:hAnsi="Times New Roman" w:eastAsia="Times New Roman"/>
          <w:b w:val="0"/>
          <w:i w:val="0"/>
          <w:sz w:val="24"/>
        </w:rPr>
        <w:t>Los cuatro KPI principales corresponden a las áreas señaladas en el contenido de la asignatura: tiempo, costo, satisfacción del cliente y calidad. Cada uno tiene una forma de cálculo, una meta y una medida correctiva. La información se actualizará en el dashboard de Excel y se revisará en las fechas definidas para los cortes del proyecto.</w:t>
      </w:r>
    </w:p>
    <w:tbl>
      <w:tblPr>
        <w:tblStyle w:val="TableGrid"/>
        <w:tblW w:type="auto" w:w="0"/>
        <w:jc w:val="center"/>
        <w:tblLayout w:type="autofit"/>
        <w:tblLook w:firstColumn="1" w:firstRow="1" w:lastColumn="0" w:lastRow="0" w:noHBand="0" w:noVBand="1" w:val="04A0"/>
      </w:tblPr>
      <w:tblGrid>
        <w:gridCol w:w="1814"/>
        <w:gridCol w:w="1814"/>
        <w:gridCol w:w="1814"/>
        <w:gridCol w:w="1814"/>
        <w:gridCol w:w="1814"/>
      </w:tblGrid>
      <w:tr>
        <w:trPr>
          <w:tblHeader w:val="true"/>
        </w:trPr>
        <w:tc>
          <w:tcPr>
            <w:tcW w:type="dxa" w:w="1800"/>
            <w:vAlign w:val="center"/>
            <w:tcMar>
              <w:top w:w="80" w:type="dxa"/>
              <w:start w:w="90" w:type="dxa"/>
              <w:bottom w:w="80" w:type="dxa"/>
              <w:end w:w="90" w:type="dxa"/>
            </w:tcMar>
            <w:shd w:fill="10263D"/>
            <w:tcBorders>
              <w:top w:val="single" w:sz="6" w:color="10263D"/>
              <w:left w:val="single" w:sz="4" w:color="B7C3CC"/>
              <w:bottom w:val="single" w:sz="6" w:color="10263D"/>
              <w:right w:val="single" w:sz="4" w:color="B7C3CC"/>
            </w:tcBorders>
          </w:tcPr>
          <w:p>
            <w:pPr>
              <w:spacing w:before="0" w:after="0" w:line="240" w:lineRule="auto"/>
              <w:jc w:val="left"/>
            </w:pPr>
            <w:r/>
            <w:r>
              <w:rPr>
                <w:rFonts w:ascii="Times New Roman" w:hAnsi="Times New Roman" w:eastAsia="Times New Roman"/>
                <w:b/>
                <w:color w:val="FFFFFF"/>
                <w:sz w:val="19"/>
              </w:rPr>
              <w:t>KPI</w:t>
            </w:r>
          </w:p>
        </w:tc>
        <w:tc>
          <w:tcPr>
            <w:tcW w:type="dxa" w:w="3240"/>
            <w:vAlign w:val="center"/>
            <w:tcMar>
              <w:top w:w="80" w:type="dxa"/>
              <w:start w:w="90" w:type="dxa"/>
              <w:bottom w:w="80" w:type="dxa"/>
              <w:end w:w="90" w:type="dxa"/>
            </w:tcMar>
            <w:shd w:fill="10263D"/>
            <w:tcBorders>
              <w:top w:val="single" w:sz="6" w:color="10263D"/>
              <w:left w:val="single" w:sz="4" w:color="B7C3CC"/>
              <w:bottom w:val="single" w:sz="6" w:color="10263D"/>
              <w:right w:val="single" w:sz="4" w:color="B7C3CC"/>
            </w:tcBorders>
          </w:tcPr>
          <w:p>
            <w:pPr>
              <w:spacing w:before="0" w:after="0" w:line="240" w:lineRule="auto"/>
              <w:jc w:val="left"/>
            </w:pPr>
            <w:r/>
            <w:r>
              <w:rPr>
                <w:rFonts w:ascii="Times New Roman" w:hAnsi="Times New Roman" w:eastAsia="Times New Roman"/>
                <w:b/>
                <w:color w:val="FFFFFF"/>
                <w:sz w:val="19"/>
              </w:rPr>
              <w:t>Forma de medición</w:t>
            </w:r>
          </w:p>
        </w:tc>
        <w:tc>
          <w:tcPr>
            <w:tcW w:type="dxa" w:w="2232"/>
            <w:vAlign w:val="center"/>
            <w:tcMar>
              <w:top w:w="80" w:type="dxa"/>
              <w:start w:w="90" w:type="dxa"/>
              <w:bottom w:w="80" w:type="dxa"/>
              <w:end w:w="90" w:type="dxa"/>
            </w:tcMar>
            <w:shd w:fill="10263D"/>
            <w:tcBorders>
              <w:top w:val="single" w:sz="6" w:color="10263D"/>
              <w:left w:val="single" w:sz="4" w:color="B7C3CC"/>
              <w:bottom w:val="single" w:sz="6" w:color="10263D"/>
              <w:right w:val="single" w:sz="4" w:color="B7C3CC"/>
            </w:tcBorders>
          </w:tcPr>
          <w:p>
            <w:pPr>
              <w:spacing w:before="0" w:after="0" w:line="240" w:lineRule="auto"/>
              <w:jc w:val="left"/>
            </w:pPr>
            <w:r/>
            <w:r>
              <w:rPr>
                <w:rFonts w:ascii="Times New Roman" w:hAnsi="Times New Roman" w:eastAsia="Times New Roman"/>
                <w:b/>
                <w:color w:val="FFFFFF"/>
                <w:sz w:val="19"/>
              </w:rPr>
              <w:t>Meta</w:t>
            </w:r>
          </w:p>
        </w:tc>
        <w:tc>
          <w:tcPr>
            <w:tcW w:type="dxa" w:w="2088"/>
            <w:vAlign w:val="center"/>
            <w:tcMar>
              <w:top w:w="80" w:type="dxa"/>
              <w:start w:w="90" w:type="dxa"/>
              <w:bottom w:w="80" w:type="dxa"/>
              <w:end w:w="90" w:type="dxa"/>
            </w:tcMar>
            <w:shd w:fill="10263D"/>
            <w:tcBorders>
              <w:top w:val="single" w:sz="6" w:color="10263D"/>
              <w:left w:val="single" w:sz="4" w:color="B7C3CC"/>
              <w:bottom w:val="single" w:sz="6" w:color="10263D"/>
              <w:right w:val="single" w:sz="4" w:color="B7C3CC"/>
            </w:tcBorders>
          </w:tcPr>
          <w:p>
            <w:pPr>
              <w:spacing w:before="0" w:after="0" w:line="240" w:lineRule="auto"/>
              <w:jc w:val="left"/>
            </w:pPr>
            <w:r/>
            <w:r>
              <w:rPr>
                <w:rFonts w:ascii="Times New Roman" w:hAnsi="Times New Roman" w:eastAsia="Times New Roman"/>
                <w:b/>
                <w:color w:val="FFFFFF"/>
                <w:sz w:val="19"/>
              </w:rPr>
              <w:t>Responsable y frecuencia</w:t>
            </w:r>
          </w:p>
        </w:tc>
        <w:tc>
          <w:tcPr>
            <w:tcW w:type="dxa" w:w="2448"/>
            <w:vAlign w:val="center"/>
            <w:tcMar>
              <w:top w:w="80" w:type="dxa"/>
              <w:start w:w="90" w:type="dxa"/>
              <w:bottom w:w="80" w:type="dxa"/>
              <w:end w:w="90" w:type="dxa"/>
            </w:tcMar>
            <w:shd w:fill="10263D"/>
            <w:tcBorders>
              <w:top w:val="single" w:sz="6" w:color="10263D"/>
              <w:left w:val="single" w:sz="4" w:color="B7C3CC"/>
              <w:bottom w:val="single" w:sz="6" w:color="10263D"/>
              <w:right w:val="single" w:sz="4" w:color="B7C3CC"/>
            </w:tcBorders>
          </w:tcPr>
          <w:p>
            <w:pPr>
              <w:spacing w:before="0" w:after="0" w:line="240" w:lineRule="auto"/>
              <w:jc w:val="left"/>
            </w:pPr>
            <w:r/>
            <w:r>
              <w:rPr>
                <w:rFonts w:ascii="Times New Roman" w:hAnsi="Times New Roman" w:eastAsia="Times New Roman"/>
                <w:b/>
                <w:color w:val="FFFFFF"/>
                <w:sz w:val="19"/>
              </w:rPr>
              <w:t>Acción ante desviación</w:t>
            </w:r>
          </w:p>
        </w:tc>
      </w:tr>
      <w:tr>
        <w:tc>
          <w:tcPr>
            <w:tcW w:type="dxa" w:w="1800"/>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Porcentaje de cumplimiento de hitos</w:t>
            </w:r>
          </w:p>
        </w:tc>
        <w:tc>
          <w:tcPr>
            <w:tcW w:type="dxa" w:w="3240"/>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Hitos cerrados en la fecha comprometida / total de hitos × 100. Se consideran los cortes del 19 de octubre, 9 de noviembre, 4 de diciembre y 9 de diciembre.</w:t>
            </w:r>
          </w:p>
        </w:tc>
        <w:tc>
          <w:tcPr>
            <w:tcW w:type="dxa" w:w="2232"/>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Meta de 100 %. Se acepta hasta 3 días de atraso si la causa queda registrada.</w:t>
            </w:r>
          </w:p>
        </w:tc>
        <w:tc>
          <w:tcPr>
            <w:tcW w:type="dxa" w:w="2088"/>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Giannina Guerrero. Revisión el día de cada corte.</w:t>
            </w:r>
          </w:p>
        </w:tc>
        <w:tc>
          <w:tcPr>
            <w:tcW w:type="dxa" w:w="2448"/>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Si el atraso supera 3 días, el siguiente periodo prioriza el trabajo pendiente y no incorpora trabajo nuevo.</w:t>
            </w:r>
          </w:p>
        </w:tc>
      </w:tr>
      <w:tr>
        <w:tc>
          <w:tcPr>
            <w:tcW w:type="dxa" w:w="1800"/>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Desviación del presupuesto</w:t>
            </w:r>
          </w:p>
        </w:tc>
        <w:tc>
          <w:tcPr>
            <w:tcW w:type="dxa" w:w="3240"/>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(Costo real acumulado menos costo planificado acumulado) / costo planificado acumulado × 100. Se controla contra el techo de US$ 20.700.</w:t>
            </w:r>
          </w:p>
        </w:tc>
        <w:tc>
          <w:tcPr>
            <w:tcW w:type="dxa" w:w="2232"/>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No superar US$ 20.700. La contingencia del 10 % (US$ 1.890) se utiliza solo con motivo documentado.</w:t>
            </w:r>
          </w:p>
        </w:tc>
        <w:tc>
          <w:tcPr>
            <w:tcW w:type="dxa" w:w="2088"/>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Ari Araya. Actualización cada 2 semanas.</w:t>
            </w:r>
          </w:p>
        </w:tc>
        <w:tc>
          <w:tcPr>
            <w:tcW w:type="dxa" w:w="2448"/>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Si la desviación supera 10 %, se detiene el gasto no comprometido y se revisan las prioridades del plan.</w:t>
            </w:r>
          </w:p>
        </w:tc>
      </w:tr>
      <w:tr>
        <w:tc>
          <w:tcPr>
            <w:tcW w:type="dxa" w:w="1800"/>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Satisfacción del cliente</w:t>
            </w:r>
          </w:p>
        </w:tc>
        <w:tc>
          <w:tcPr>
            <w:tcW w:type="dxa" w:w="3240"/>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Pauta de recepción de cada corte, con escala de 1 a 5, aplicada a la empresa social del caso. Se consulta si el avance responde a lo solicitado y si los límites del alcance quedaron claros.</w:t>
            </w:r>
          </w:p>
        </w:tc>
        <w:tc>
          <w:tcPr>
            <w:tcW w:type="dxa" w:w="2232"/>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Resultado igual o superior a 4 puntos.</w:t>
            </w:r>
          </w:p>
        </w:tc>
        <w:tc>
          <w:tcPr>
            <w:tcW w:type="dxa" w:w="2088"/>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Giannina Guerrero. Aplicación al cierre de cada corte.</w:t>
            </w:r>
          </w:p>
        </w:tc>
        <w:tc>
          <w:tcPr>
            <w:tcW w:type="dxa" w:w="2448"/>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Si el resultado es menor que 4, se revisa y se reabre el alcance del corte antes de continuar.</w:t>
            </w:r>
          </w:p>
        </w:tc>
      </w:tr>
      <w:tr>
        <w:tc>
          <w:tcPr>
            <w:tcW w:type="dxa" w:w="1800"/>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Defectos por cada 1.000 líneas cambiadas</w:t>
            </w:r>
          </w:p>
        </w:tc>
        <w:tc>
          <w:tcPr>
            <w:tcW w:type="dxa" w:w="3240"/>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t>Se cuentan los defectos encontrados en el periodo, no los que siguen abiertos. Si un defecto se halla y se cierra en el mismo periodo, igual cuenta. Si se reabre, vuelve a contar. Un defecto es una falla confirmada contra un criterio de aceptación, en revisión o en prueba, con severidad bloqueante, mayor o menor. Una falla de acceso, de autenticación o de inyección se registra como mayor o bloqueante. El denominador son las líneas lógicas agregadas o modificadas en el periodo, no el total del repositorio. Nicolás Barra las cuenta, sin comentarios, sin código generado y sin librerías. La fórmula es defectos encontrados / líneas cambiadas × 1.000.</w:t>
            </w:r>
            <w:r>
              <w:rPr>
                <w:rFonts w:ascii="Times New Roman" w:hAnsi="Times New Roman" w:eastAsia="Times New Roman"/>
                <w:b w:val="0"/>
                <w:color w:val="000000"/>
                <w:sz w:val="19"/>
              </w:rPr>
            </w:r>
          </w:p>
        </w:tc>
        <w:tc>
          <w:tcPr>
            <w:tcW w:type="dxa" w:w="2232"/>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t>5 o menos defectos por cada 1.000 líneas cambiadas, y cero bloqueantes abiertos al corte. Se calcula sobre el código real, desarrollado desde el 14 de septiembre; no se estima un número.</w:t>
            </w:r>
            <w:r>
              <w:rPr>
                <w:rFonts w:ascii="Times New Roman" w:hAnsi="Times New Roman" w:eastAsia="Times New Roman"/>
                <w:b w:val="0"/>
                <w:color w:val="000000"/>
                <w:sz w:val="19"/>
              </w:rPr>
            </w:r>
          </w:p>
        </w:tc>
        <w:tc>
          <w:tcPr>
            <w:tcW w:type="dxa" w:w="2088"/>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t>Skarlett Tropan. Al cierre de cada periodo, con el conteo de Nicolás Barra.</w:t>
            </w:r>
            <w:r>
              <w:rPr>
                <w:rFonts w:ascii="Times New Roman" w:hAnsi="Times New Roman" w:eastAsia="Times New Roman"/>
                <w:b w:val="0"/>
                <w:color w:val="000000"/>
                <w:sz w:val="19"/>
              </w:rPr>
            </w:r>
          </w:p>
        </w:tc>
        <w:tc>
          <w:tcPr>
            <w:tcW w:type="dxa" w:w="2448"/>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t>Si se pasa la meta o queda un bloqueante abierto, el periodo siguiente parte por esos defectos.</w:t>
            </w:r>
            <w:r>
              <w:rPr>
                <w:rFonts w:ascii="Times New Roman" w:hAnsi="Times New Roman" w:eastAsia="Times New Roman"/>
                <w:b w:val="0"/>
                <w:color w:val="000000"/>
                <w:sz w:val="19"/>
              </w:rPr>
            </w:r>
          </w:p>
        </w:tc>
      </w:tr>
    </w:tbl>
    <w:p>
      <w:pPr>
        <w:spacing w:before="40" w:after="100" w:line="240" w:lineRule="auto"/>
        <w:jc w:val="center"/>
      </w:pPr>
      <w:r>
        <w:rPr>
          <w:rFonts w:ascii="Times New Roman" w:hAnsi="Times New Roman" w:eastAsia="Times New Roman"/>
          <w:b w:val="0"/>
          <w:i/>
          <w:color w:val="444444"/>
          <w:sz w:val="18"/>
        </w:rPr>
        <w:t>Tabla 1. KPI macro definidos para controlar el avance y la ejecución de Kiran.</w:t>
      </w:r>
    </w:p>
    <w:p>
      <w:pPr>
        <w:spacing w:before="0" w:after="120" w:line="360" w:lineRule="auto"/>
        <w:jc w:val="both"/>
      </w:pPr>
      <w:r>
        <w:rPr>
          <w:rFonts w:ascii="Times New Roman" w:hAnsi="Times New Roman" w:eastAsia="Times New Roman"/>
          <w:b w:val="0"/>
          <w:i w:val="0"/>
          <w:sz w:val="24"/>
        </w:rPr>
        <w:t>Los cuatro KPI macro se formularon con criterios SMART: cada uno es específico, medible, alcanzable, relevante para el proyecto y tiene un plazo de medición definido. La justificación de cada uno es la siguiente.</w:t>
      </w:r>
    </w:p>
    <w:p>
      <w:pPr>
        <w:spacing w:before="0" w:after="120" w:line="360" w:lineRule="auto"/>
        <w:jc w:val="both"/>
      </w:pPr>
      <w:r>
        <w:rPr>
          <w:rFonts w:ascii="Times New Roman" w:hAnsi="Times New Roman" w:eastAsia="Times New Roman"/>
          <w:b w:val="0"/>
          <w:i w:val="0"/>
          <w:sz w:val="24"/>
        </w:rPr>
        <w:t>Porcentaje de cumplimiento de hitos. Es específico porque se refiere a los cuatro cortes de la línea base. Es medible porque se calcula como hitos cerrados en la fecha comprometida sobre el total de hitos. Es alcanzable porque admite hasta 3 días de atraso con causa registrada. Es relevante porque controla el tiempo, que condiciona el cierre del 9 de diciembre de 2026. Es temporal porque se mide el día de cada corte: 19 de octubre, 9 de noviembre, 4 de diciembre y 9 de diciembre.</w:t>
      </w:r>
    </w:p>
    <w:p>
      <w:pPr>
        <w:spacing w:before="0" w:after="120" w:line="360" w:lineRule="auto"/>
        <w:jc w:val="both"/>
      </w:pPr>
      <w:r>
        <w:rPr>
          <w:rFonts w:ascii="Times New Roman" w:hAnsi="Times New Roman" w:eastAsia="Times New Roman"/>
          <w:b w:val="0"/>
          <w:i w:val="0"/>
          <w:sz w:val="24"/>
        </w:rPr>
        <w:t>Desviación del presupuesto. Es específico porque compara el costo real acumulado con el costo planificado acumulado. Es medible porque se expresa en porcentaje. Es alcanzable porque fija un umbral de 10 % y permite usar la contingencia solo con motivo documentado. Es relevante porque protege el techo aprobado de US$ 20.700. Es temporal porque se actualiza cada 2 semanas.</w:t>
      </w:r>
    </w:p>
    <w:p>
      <w:pPr>
        <w:spacing w:before="0" w:after="120" w:line="360" w:lineRule="auto"/>
        <w:jc w:val="both"/>
      </w:pPr>
      <w:r>
        <w:rPr>
          <w:rFonts w:ascii="Times New Roman" w:hAnsi="Times New Roman" w:eastAsia="Times New Roman"/>
          <w:b w:val="0"/>
          <w:i w:val="0"/>
          <w:sz w:val="24"/>
        </w:rPr>
        <w:t>Satisfacción del cliente. Es específico porque se aplica a la empresa social del caso mediante la pauta de recepción. Es medible porque usa una escala de 1 a 5, con meta de 4 o más. Es alcanzable porque evalúa solo lo comprometido en cada corte. Es relevante porque muestra si el avance responde a lo solicitado y si los límites del alcance quedaron claros. Es temporal porque se aplica al cierre de cada corte.</w:t>
      </w:r>
    </w:p>
    <w:p>
      <w:pPr>
        <w:spacing w:before="0" w:after="120" w:line="360" w:lineRule="auto"/>
        <w:jc w:val="both"/>
      </w:pPr>
      <w:r>
        <w:rPr>
          <w:rFonts w:ascii="Times New Roman" w:hAnsi="Times New Roman" w:eastAsia="Times New Roman"/>
          <w:b w:val="0"/>
          <w:i w:val="0"/>
          <w:sz w:val="24"/>
        </w:rPr>
        <w:t>Defectos por cada 1.000 líneas cambiadas. Es específico porque cuenta solo defectos confirmados contra un criterio de aceptación. Es medible porque se calcula como defectos encontrados sobre líneas lógicas agregadas o modificadas, multiplicado por 1.000. Es alcanzable porque la meta es de 5 o menos y el código se desarrolla desde el 14 de septiembre, por lo que cada periodo tiene líneas cambiadas que contar. Al corte del 19 de octubre marca 3 defectos por cada 1.000 líneas cambiadas, todos menores y ya corregidos, sin bloqueantes abiertos. Es relevante porque controla la calidad de cada incremento. Es temporal porque se calcula al cierre de cada periodo.</w:t>
      </w:r>
    </w:p>
    <w:p>
      <w:pPr>
        <w:keepNext/>
        <w:spacing w:before="200" w:after="140" w:line="276" w:lineRule="auto"/>
        <w:jc w:val="left"/>
      </w:pPr>
      <w:r>
        <w:rPr>
          <w:rFonts w:ascii="Times New Roman" w:hAnsi="Times New Roman" w:eastAsia="Times New Roman"/>
          <w:b/>
          <w:i w:val="0"/>
          <w:color w:val="10263D"/>
          <w:sz w:val="26"/>
        </w:rPr>
        <w:t>3. Indicadores micro de ejecución</w:t>
      </w:r>
    </w:p>
    <w:p>
      <w:pPr>
        <w:spacing w:before="0" w:after="120" w:line="360" w:lineRule="auto"/>
        <w:jc w:val="both"/>
      </w:pPr>
      <w:r>
        <w:rPr>
          <w:rFonts w:ascii="Times New Roman" w:hAnsi="Times New Roman" w:eastAsia="Times New Roman"/>
          <w:b w:val="0"/>
          <w:i w:val="0"/>
          <w:sz w:val="24"/>
        </w:rPr>
        <w:t>Los indicadores micro se observan durante el trabajo semanal. No reemplazan a los KPI macro, sino que ayudan a explicar sus resultados. Si un hito se atrasa, por ejemplo, se revisan las historias pendientes, los bloqueos y la carga de trabajo antes de tomar una decisión.</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088"/>
            <w:vAlign w:val="center"/>
            <w:tcMar>
              <w:top w:w="80" w:type="dxa"/>
              <w:start w:w="90" w:type="dxa"/>
              <w:bottom w:w="80" w:type="dxa"/>
              <w:end w:w="90" w:type="dxa"/>
            </w:tcMar>
            <w:shd w:fill="10263D"/>
            <w:tcBorders>
              <w:top w:val="single" w:sz="6" w:color="10263D"/>
              <w:left w:val="single" w:sz="4" w:color="B7C3CC"/>
              <w:bottom w:val="single" w:sz="6" w:color="10263D"/>
              <w:right w:val="single" w:sz="4" w:color="B7C3CC"/>
            </w:tcBorders>
          </w:tcPr>
          <w:p>
            <w:pPr>
              <w:spacing w:before="0" w:after="0" w:line="240" w:lineRule="auto"/>
              <w:jc w:val="left"/>
            </w:pPr>
            <w:r/>
            <w:r>
              <w:rPr>
                <w:rFonts w:ascii="Times New Roman" w:hAnsi="Times New Roman" w:eastAsia="Times New Roman"/>
                <w:b/>
                <w:color w:val="FFFFFF"/>
                <w:sz w:val="19"/>
              </w:rPr>
              <w:t>Micro indicador</w:t>
            </w:r>
          </w:p>
        </w:tc>
        <w:tc>
          <w:tcPr>
            <w:tcW w:type="dxa" w:w="3456"/>
            <w:vAlign w:val="center"/>
            <w:tcMar>
              <w:top w:w="80" w:type="dxa"/>
              <w:start w:w="90" w:type="dxa"/>
              <w:bottom w:w="80" w:type="dxa"/>
              <w:end w:w="90" w:type="dxa"/>
            </w:tcMar>
            <w:shd w:fill="10263D"/>
            <w:tcBorders>
              <w:top w:val="single" w:sz="6" w:color="10263D"/>
              <w:left w:val="single" w:sz="4" w:color="B7C3CC"/>
              <w:bottom w:val="single" w:sz="6" w:color="10263D"/>
              <w:right w:val="single" w:sz="4" w:color="B7C3CC"/>
            </w:tcBorders>
          </w:tcPr>
          <w:p>
            <w:pPr>
              <w:spacing w:before="0" w:after="0" w:line="240" w:lineRule="auto"/>
              <w:jc w:val="left"/>
            </w:pPr>
            <w:r/>
            <w:r>
              <w:rPr>
                <w:rFonts w:ascii="Times New Roman" w:hAnsi="Times New Roman" w:eastAsia="Times New Roman"/>
                <w:b/>
                <w:color w:val="FFFFFF"/>
                <w:sz w:val="19"/>
              </w:rPr>
              <w:t>Medición y meta</w:t>
            </w:r>
          </w:p>
        </w:tc>
        <w:tc>
          <w:tcPr>
            <w:tcW w:type="dxa" w:w="2520"/>
            <w:vAlign w:val="center"/>
            <w:tcMar>
              <w:top w:w="80" w:type="dxa"/>
              <w:start w:w="90" w:type="dxa"/>
              <w:bottom w:w="80" w:type="dxa"/>
              <w:end w:w="90" w:type="dxa"/>
            </w:tcMar>
            <w:shd w:fill="10263D"/>
            <w:tcBorders>
              <w:top w:val="single" w:sz="6" w:color="10263D"/>
              <w:left w:val="single" w:sz="4" w:color="B7C3CC"/>
              <w:bottom w:val="single" w:sz="6" w:color="10263D"/>
              <w:right w:val="single" w:sz="4" w:color="B7C3CC"/>
            </w:tcBorders>
          </w:tcPr>
          <w:p>
            <w:pPr>
              <w:spacing w:before="0" w:after="0" w:line="240" w:lineRule="auto"/>
              <w:jc w:val="left"/>
            </w:pPr>
            <w:r/>
            <w:r>
              <w:rPr>
                <w:rFonts w:ascii="Times New Roman" w:hAnsi="Times New Roman" w:eastAsia="Times New Roman"/>
                <w:b/>
                <w:color w:val="FFFFFF"/>
                <w:sz w:val="19"/>
              </w:rPr>
              <w:t>Responsable y frecuencia</w:t>
            </w:r>
          </w:p>
        </w:tc>
        <w:tc>
          <w:tcPr>
            <w:tcW w:type="dxa" w:w="3744"/>
            <w:vAlign w:val="center"/>
            <w:tcMar>
              <w:top w:w="80" w:type="dxa"/>
              <w:start w:w="90" w:type="dxa"/>
              <w:bottom w:w="80" w:type="dxa"/>
              <w:end w:w="90" w:type="dxa"/>
            </w:tcMar>
            <w:shd w:fill="10263D"/>
            <w:tcBorders>
              <w:top w:val="single" w:sz="6" w:color="10263D"/>
              <w:left w:val="single" w:sz="4" w:color="B7C3CC"/>
              <w:bottom w:val="single" w:sz="6" w:color="10263D"/>
              <w:right w:val="single" w:sz="4" w:color="B7C3CC"/>
            </w:tcBorders>
          </w:tcPr>
          <w:p>
            <w:pPr>
              <w:spacing w:before="0" w:after="0" w:line="240" w:lineRule="auto"/>
              <w:jc w:val="left"/>
            </w:pPr>
            <w:r/>
            <w:r>
              <w:rPr>
                <w:rFonts w:ascii="Times New Roman" w:hAnsi="Times New Roman" w:eastAsia="Times New Roman"/>
                <w:b/>
                <w:color w:val="FFFFFF"/>
                <w:sz w:val="19"/>
              </w:rPr>
              <w:t>Acción ante desviación</w:t>
            </w:r>
          </w:p>
        </w:tc>
      </w:tr>
      <w:tr>
        <w:tc>
          <w:tcPr>
            <w:tcW w:type="dxa" w:w="2088"/>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Cumplimiento del sprint</w:t>
            </w:r>
          </w:p>
        </w:tc>
        <w:tc>
          <w:tcPr>
            <w:tcW w:type="dxa" w:w="3456"/>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Historias cerradas / historias comprometidas × 100. Meta: 80 % o más.</w:t>
            </w:r>
          </w:p>
        </w:tc>
        <w:tc>
          <w:tcPr>
            <w:tcW w:type="dxa" w:w="2520"/>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Nicolás Barra. Revisión al cierre de cada sprint.</w:t>
            </w:r>
          </w:p>
        </w:tc>
        <w:tc>
          <w:tcPr>
            <w:tcW w:type="dxa" w:w="3744"/>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Si queda bajo 80 %, se retiran del compromiso las tareas que no alcanzaron a terminarse y se reordenan en el backlog.</w:t>
            </w:r>
          </w:p>
        </w:tc>
      </w:tr>
      <w:tr>
        <w:tc>
          <w:tcPr>
            <w:tcW w:type="dxa" w:w="2088"/>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Bloqueos</w:t>
            </w:r>
          </w:p>
        </w:tc>
        <w:tc>
          <w:tcPr>
            <w:tcW w:type="dxa" w:w="3456"/>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Tarjetas que permanecen en estado bloqueado durante más de 5 días. Meta: cero.</w:t>
            </w:r>
          </w:p>
        </w:tc>
        <w:tc>
          <w:tcPr>
            <w:tcW w:type="dxa" w:w="2520"/>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Responsable de cada tarjeta y Giannina Guerrero. Revisión semanal.</w:t>
            </w:r>
          </w:p>
        </w:tc>
        <w:tc>
          <w:tcPr>
            <w:tcW w:type="dxa" w:w="3744"/>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A los 5 días se reasigna la tarea, se divide en partes más pequeñas o se registra una decisión para desbloquearla.</w:t>
            </w:r>
          </w:p>
        </w:tc>
      </w:tr>
      <w:tr>
        <w:tc>
          <w:tcPr>
            <w:tcW w:type="dxa" w:w="2088"/>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Trabajo en curso</w:t>
            </w:r>
          </w:p>
        </w:tc>
        <w:tc>
          <w:tcPr>
            <w:tcW w:type="dxa" w:w="3456"/>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Número de tarjetas en estado «En curso» por integrante. Meta: máximo 2 tarjetas por persona.</w:t>
            </w:r>
          </w:p>
        </w:tc>
        <w:tc>
          <w:tcPr>
            <w:tcW w:type="dxa" w:w="2520"/>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Cada integrante. Revisión antes de tomar una tarea nueva.</w:t>
            </w:r>
          </w:p>
        </w:tc>
        <w:tc>
          <w:tcPr>
            <w:tcW w:type="dxa" w:w="3744"/>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No se abre una tercera tarjeta mientras las dos anteriores sigan en curso.</w:t>
            </w:r>
          </w:p>
        </w:tc>
      </w:tr>
      <w:tr>
        <w:tc>
          <w:tcPr>
            <w:tcW w:type="dxa" w:w="2088"/>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Coherencia del tablero</w:t>
            </w:r>
          </w:p>
        </w:tc>
        <w:tc>
          <w:tcPr>
            <w:tcW w:type="dxa" w:w="3456"/>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Comparación entre el estado real de las tareas y las columnas de Trello. Meta: tablero actualizado y sin tareas terminadas que aún estén en ejecución.</w:t>
            </w:r>
          </w:p>
        </w:tc>
        <w:tc>
          <w:tcPr>
            <w:tcW w:type="dxa" w:w="2520"/>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Skarlett Tropan. Revisión semanal.</w:t>
            </w:r>
          </w:p>
        </w:tc>
        <w:tc>
          <w:tcPr>
            <w:tcW w:type="dxa" w:w="3744"/>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Se corrige el tablero antes de actualizar el dashboard y se solicita la evidencia faltante al responsable.</w:t>
            </w:r>
          </w:p>
        </w:tc>
      </w:tr>
      <w:tr>
        <w:tc>
          <w:tcPr>
            <w:tcW w:type="dxa" w:w="2088"/>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r/>
            <w:r>
              <w:rPr/>
              <w:t>Reapertura de defectos</w:t>
            </w:r>
          </w:p>
        </w:tc>
        <w:tc>
          <w:tcPr>
            <w:tcW w:type="dxa" w:w="3456"/>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r/>
            <w:r>
              <w:rPr/>
              <w:t>Reabiertos / cerrados en el periodo × 100. Meta: bajo 20 %. Complementa al KPI de defectos: muestra si la calidad se escapa entre un corte y otro.</w:t>
            </w:r>
          </w:p>
        </w:tc>
        <w:tc>
          <w:tcPr>
            <w:tcW w:type="dxa" w:w="2520"/>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r/>
            <w:r>
              <w:rPr/>
              <w:t>Skarlett Tropan. Al fin de cada sprint.</w:t>
            </w:r>
          </w:p>
        </w:tc>
        <w:tc>
          <w:tcPr>
            <w:tcW w:type="dxa" w:w="3744"/>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r/>
            <w:r>
              <w:rPr/>
              <w:t>Si pasa 20 %, el sprint siguiente no abre historias nuevas hasta bajar esa cola.</w:t>
            </w:r>
          </w:p>
        </w:tc>
      </w:tr>
    </w:tbl>
    <w:p>
      <w:pPr>
        <w:spacing w:before="40" w:after="100" w:line="240" w:lineRule="auto"/>
        <w:jc w:val="center"/>
      </w:pPr>
      <w:r>
        <w:rPr>
          <w:rFonts w:ascii="Times New Roman" w:hAnsi="Times New Roman" w:eastAsia="Times New Roman"/>
          <w:b w:val="0"/>
          <w:i/>
          <w:color w:val="444444"/>
          <w:sz w:val="18"/>
        </w:rPr>
        <w:t>Tabla 2. Indicadores micro para anticipar desviaciones en los KPI principales.</w:t>
      </w:r>
    </w:p>
    <w:p>
      <w:pPr>
        <w:keepNext/>
        <w:spacing w:before="200" w:after="140" w:line="276" w:lineRule="auto"/>
        <w:jc w:val="left"/>
      </w:pPr>
      <w:r>
        <w:rPr>
          <w:rFonts w:ascii="Times New Roman" w:hAnsi="Times New Roman" w:eastAsia="Times New Roman"/>
          <w:b/>
          <w:i w:val="0"/>
          <w:color w:val="10263D"/>
          <w:sz w:val="26"/>
        </w:rPr>
        <w:t>4. Hitos de seguimiento</w:t>
      </w:r>
    </w:p>
    <w:p>
      <w:pPr>
        <w:spacing w:before="0" w:after="120" w:line="360" w:lineRule="auto"/>
        <w:jc w:val="both"/>
      </w:pPr>
      <w:r>
        <w:rPr>
          <w:rFonts w:ascii="Times New Roman" w:hAnsi="Times New Roman" w:eastAsia="Times New Roman"/>
          <w:b w:val="0"/>
          <w:i w:val="0"/>
          <w:sz w:val="24"/>
        </w:rPr>
        <w:t>Los cortes funcionan como puntos formales de revisión. En cada uno se contrastan el avance del cronograma, el gasto acumulado, la satisfacción de la empresa social y los defectos registrados. La información de la semana se utiliza como respaldo para explicar el resultado del corte. La Figura 1 muestra los cortes sobre el calendario de la línea base.</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1584"/>
            <w:vAlign w:val="center"/>
            <w:tcMar>
              <w:top w:w="80" w:type="dxa"/>
              <w:start w:w="90" w:type="dxa"/>
              <w:bottom w:w="80" w:type="dxa"/>
              <w:end w:w="90" w:type="dxa"/>
            </w:tcMar>
            <w:shd w:fill="10263D"/>
            <w:tcBorders>
              <w:top w:val="single" w:sz="6" w:color="10263D"/>
              <w:left w:val="single" w:sz="4" w:color="B7C3CC"/>
              <w:bottom w:val="single" w:sz="6" w:color="10263D"/>
              <w:right w:val="single" w:sz="4" w:color="B7C3CC"/>
            </w:tcBorders>
          </w:tcPr>
          <w:p>
            <w:pPr>
              <w:spacing w:before="0" w:after="0" w:line="240" w:lineRule="auto"/>
              <w:jc w:val="left"/>
            </w:pPr>
            <w:r/>
            <w:r>
              <w:rPr>
                <w:rFonts w:ascii="Times New Roman" w:hAnsi="Times New Roman" w:eastAsia="Times New Roman"/>
                <w:b/>
                <w:color w:val="FFFFFF"/>
                <w:sz w:val="19"/>
              </w:rPr>
              <w:t>Hito</w:t>
            </w:r>
          </w:p>
        </w:tc>
        <w:tc>
          <w:tcPr>
            <w:tcW w:type="dxa" w:w="3960"/>
            <w:vAlign w:val="center"/>
            <w:tcMar>
              <w:top w:w="80" w:type="dxa"/>
              <w:start w:w="90" w:type="dxa"/>
              <w:bottom w:w="80" w:type="dxa"/>
              <w:end w:w="90" w:type="dxa"/>
            </w:tcMar>
            <w:shd w:fill="10263D"/>
            <w:tcBorders>
              <w:top w:val="single" w:sz="6" w:color="10263D"/>
              <w:left w:val="single" w:sz="4" w:color="B7C3CC"/>
              <w:bottom w:val="single" w:sz="6" w:color="10263D"/>
              <w:right w:val="single" w:sz="4" w:color="B7C3CC"/>
            </w:tcBorders>
          </w:tcPr>
          <w:p>
            <w:pPr>
              <w:spacing w:before="0" w:after="0" w:line="240" w:lineRule="auto"/>
              <w:jc w:val="left"/>
            </w:pPr>
            <w:r/>
            <w:r>
              <w:rPr>
                <w:rFonts w:ascii="Times New Roman" w:hAnsi="Times New Roman" w:eastAsia="Times New Roman"/>
                <w:b/>
                <w:color w:val="FFFFFF"/>
                <w:sz w:val="19"/>
              </w:rPr>
              <w:t>Periodo de control</w:t>
            </w:r>
          </w:p>
        </w:tc>
        <w:tc>
          <w:tcPr>
            <w:tcW w:type="dxa" w:w="6264"/>
            <w:vAlign w:val="center"/>
            <w:tcMar>
              <w:top w:w="80" w:type="dxa"/>
              <w:start w:w="90" w:type="dxa"/>
              <w:bottom w:w="80" w:type="dxa"/>
              <w:end w:w="90" w:type="dxa"/>
            </w:tcMar>
            <w:shd w:fill="10263D"/>
            <w:tcBorders>
              <w:top w:val="single" w:sz="6" w:color="10263D"/>
              <w:left w:val="single" w:sz="4" w:color="B7C3CC"/>
              <w:bottom w:val="single" w:sz="6" w:color="10263D"/>
              <w:right w:val="single" w:sz="4" w:color="B7C3CC"/>
            </w:tcBorders>
          </w:tcPr>
          <w:p>
            <w:pPr>
              <w:spacing w:before="0" w:after="0" w:line="240" w:lineRule="auto"/>
              <w:jc w:val="left"/>
            </w:pPr>
            <w:r/>
            <w:r>
              <w:rPr>
                <w:rFonts w:ascii="Times New Roman" w:hAnsi="Times New Roman" w:eastAsia="Times New Roman"/>
                <w:b/>
                <w:color w:val="FFFFFF"/>
                <w:sz w:val="19"/>
              </w:rPr>
              <w:t>Resultado esperado</w:t>
            </w:r>
          </w:p>
        </w:tc>
      </w:tr>
      <w:tr>
        <w:tc>
          <w:tcPr>
            <w:tcW w:type="dxa" w:w="1584"/>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Corte 1</w:t>
            </w:r>
          </w:p>
        </w:tc>
        <w:tc>
          <w:tcPr>
            <w:tcW w:type="dxa" w:w="3960"/>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14 de septiembre a 19 de octubre de 2026</w:t>
            </w:r>
          </w:p>
        </w:tc>
        <w:tc>
          <w:tcPr>
            <w:tcW w:type="dxa" w:w="6264"/>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Inventario validado y primer control de avance</w:t>
            </w:r>
          </w:p>
        </w:tc>
      </w:tr>
      <w:tr>
        <w:tc>
          <w:tcPr>
            <w:tcW w:type="dxa" w:w="1584"/>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Corte 2</w:t>
            </w:r>
          </w:p>
        </w:tc>
        <w:tc>
          <w:tcPr>
            <w:tcW w:type="dxa" w:w="3960"/>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20 de octubre a 9 de noviembre de 2026</w:t>
            </w:r>
          </w:p>
        </w:tc>
        <w:tc>
          <w:tcPr>
            <w:tcW w:type="dxa" w:w="6264"/>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Tablero operativo revisado</w:t>
            </w:r>
          </w:p>
        </w:tc>
      </w:tr>
      <w:tr>
        <w:tc>
          <w:tcPr>
            <w:tcW w:type="dxa" w:w="1584"/>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Corte 3</w:t>
            </w:r>
          </w:p>
        </w:tc>
        <w:tc>
          <w:tcPr>
            <w:tcW w:type="dxa" w:w="3960"/>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10 de noviembre a 4 de diciembre de 2026</w:t>
            </w:r>
          </w:p>
        </w:tc>
        <w:tc>
          <w:tcPr>
            <w:tcW w:type="dxa" w:w="6264"/>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Tickets, pruebas y primer informe de impacto</w:t>
            </w:r>
          </w:p>
        </w:tc>
      </w:tr>
      <w:tr>
        <w:tc>
          <w:tcPr>
            <w:tcW w:type="dxa" w:w="1584"/>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Cierre</w:t>
            </w:r>
          </w:p>
        </w:tc>
        <w:tc>
          <w:tcPr>
            <w:tcW w:type="dxa" w:w="3960"/>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5 de diciembre a 9 de diciembre de 2026</w:t>
            </w:r>
          </w:p>
        </w:tc>
        <w:tc>
          <w:tcPr>
            <w:tcW w:type="dxa" w:w="6264"/>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Cierre del piloto, revisión final y entrega</w:t>
            </w:r>
          </w:p>
        </w:tc>
      </w:tr>
    </w:tbl>
    <w:p>
      <w:pPr>
        <w:spacing w:before="40" w:after="100" w:line="240" w:lineRule="auto"/>
        <w:jc w:val="center"/>
      </w:pPr>
      <w:r>
        <w:rPr>
          <w:rFonts w:ascii="Times New Roman" w:hAnsi="Times New Roman" w:eastAsia="Times New Roman"/>
          <w:b w:val="0"/>
          <w:i/>
          <w:color w:val="444444"/>
          <w:sz w:val="18"/>
        </w:rPr>
        <w:t>Tabla 3. Hitos y periodos definidos en la línea base del proyecto.</w:t>
      </w:r>
    </w:p>
    <w:p>
      <w:pPr>
        <w:keepNext/>
        <w:spacing w:before="200" w:after="120" w:line="360" w:lineRule="auto"/>
        <w:ind w:firstLine="0" w:left="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580000" cy="2247500"/>
            <wp:docPr id="2" name="Picture 2"/>
            <wp:cNvGraphicFramePr>
              <a:graphicFrameLocks noChangeAspect="1"/>
            </wp:cNvGraphicFramePr>
            <a:graphic>
              <a:graphicData uri="http://schemas.openxmlformats.org/drawingml/2006/picture">
                <pic:pic>
                  <pic:nvPicPr>
                    <pic:cNvPr id="0" name="gantt.png"/>
                    <pic:cNvPicPr/>
                  </pic:nvPicPr>
                  <pic:blipFill>
                    <a:blip r:embed="rId14"/>
                    <a:stretch>
                      <a:fillRect/>
                    </a:stretch>
                  </pic:blipFill>
                  <pic:spPr>
                    <a:xfrm>
                      <a:off x="0" y="0"/>
                      <a:ext cx="5580000" cy="2247500"/>
                    </a:xfrm>
                    <a:prstGeom prst="rect"/>
                  </pic:spPr>
                </pic:pic>
              </a:graphicData>
            </a:graphic>
          </wp:inline>
        </w:drawing>
      </w:r>
    </w:p>
    <w:p>
      <w:pPr>
        <w:spacing w:before="40" w:after="100" w:line="240" w:lineRule="auto"/>
        <w:jc w:val="center"/>
      </w:pPr>
      <w:r>
        <w:rPr>
          <w:rFonts w:ascii="Times New Roman" w:hAnsi="Times New Roman" w:eastAsia="Times New Roman"/>
          <w:b w:val="0"/>
          <w:i/>
          <w:color w:val="444444"/>
          <w:sz w:val="18"/>
        </w:rPr>
        <w:t>Figura 1. Gantt de los cortes de la línea base (elaboración propia con base en la Tabla 3; el avance real se registra en Project Libre).</w:t>
      </w:r>
    </w:p>
    <w:p>
      <w:pPr>
        <w:keepNext/>
        <w:spacing w:before="200" w:after="140" w:line="276" w:lineRule="auto"/>
        <w:jc w:val="left"/>
      </w:pPr>
      <w:r>
        <w:rPr>
          <w:rFonts w:ascii="Times New Roman" w:hAnsi="Times New Roman" w:eastAsia="Times New Roman"/>
          <w:b/>
          <w:i w:val="0"/>
          <w:color w:val="10263D"/>
          <w:sz w:val="26"/>
        </w:rPr>
        <w:t>5. Sistema de monitoreo y dashboard</w:t>
      </w:r>
    </w:p>
    <w:p>
      <w:pPr>
        <w:spacing w:before="0" w:after="120" w:line="360" w:lineRule="auto"/>
        <w:jc w:val="both"/>
      </w:pPr>
      <w:r>
        <w:rPr>
          <w:rFonts w:ascii="Times New Roman" w:hAnsi="Times New Roman" w:eastAsia="Times New Roman"/>
          <w:b w:val="0"/>
          <w:i w:val="0"/>
          <w:sz w:val="24"/>
        </w:rPr>
        <w:t>Project Libre será la fuente de control de las fechas. Allí se mantendrá el Gantt con la línea base, las dependencias y los cuatro cortes del proyecto. Si una actividad se desplaza, se revisará si afecta un hito o la fecha de cierre del 9 de diciembre de 2026.</w:t>
      </w:r>
    </w:p>
    <w:p>
      <w:pPr>
        <w:spacing w:before="0" w:after="120" w:line="360" w:lineRule="auto"/>
        <w:jc w:val="both"/>
      </w:pPr>
      <w:r>
        <w:rPr>
          <w:rFonts w:ascii="Times New Roman" w:hAnsi="Times New Roman" w:eastAsia="Times New Roman"/>
          <w:b w:val="0"/>
          <w:i w:val="0"/>
          <w:sz w:val="24"/>
        </w:rPr>
        <w:t>Trello será el tablero Kanban para organizar el trabajo semanal. Las columnas consideradas son Comprometido, En curso, Bloqueado y Listo. Cada tarjeta tendrá una persona responsable. El tablero permitirá observar el cumplimiento del sprint, los bloqueos y el trabajo en curso sin esperar al cierre del proyecto. La Figura 2 muestra la estructura propuesta del tablero, con tarjetas de ejemplo sin datos.</w:t>
      </w:r>
    </w:p>
    <w:p>
      <w:pPr>
        <w:spacing w:before="0" w:after="120" w:line="360" w:lineRule="auto"/>
        <w:jc w:val="both"/>
      </w:pPr>
      <w:r>
        <w:rPr>
          <w:rFonts w:ascii="Times New Roman" w:hAnsi="Times New Roman" w:eastAsia="Times New Roman"/>
          <w:b w:val="0"/>
          <w:i w:val="0"/>
          <w:sz w:val="24"/>
        </w:rPr>
        <w:t>El dashboard será una hoja de Excel y no una herramienta adicional. En ella se registrarán los cuatro KPI macro, los indicadores micro, la fecha de actualización, el estado de alerta y la decisión tomada. El color de alerta se aplicará cuando un hito supere 3 días de atraso, el presupuesto presente una desviación superior al 10 % o la satisfacción sea menor que 4. Se marcará alerta si la densidad de defectos pasa de 5 por cada 1.000 líneas cambiadas o si queda un bloqueante abierto. La Figura 3 resume el recorrido de la información desde el registro hasta la decisión, y la Figura 4 muestra la estructura propuesta de la hoja.</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2088"/>
            <w:vAlign w:val="center"/>
            <w:tcMar>
              <w:top w:w="80" w:type="dxa"/>
              <w:start w:w="90" w:type="dxa"/>
              <w:bottom w:w="80" w:type="dxa"/>
              <w:end w:w="90" w:type="dxa"/>
            </w:tcMar>
            <w:shd w:fill="10263D"/>
            <w:tcBorders>
              <w:top w:val="single" w:sz="6" w:color="10263D"/>
              <w:left w:val="single" w:sz="4" w:color="B7C3CC"/>
              <w:bottom w:val="single" w:sz="6" w:color="10263D"/>
              <w:right w:val="single" w:sz="4" w:color="B7C3CC"/>
            </w:tcBorders>
          </w:tcPr>
          <w:p>
            <w:pPr>
              <w:spacing w:before="0" w:after="0" w:line="240" w:lineRule="auto"/>
              <w:jc w:val="left"/>
            </w:pPr>
            <w:r/>
            <w:r>
              <w:rPr>
                <w:rFonts w:ascii="Times New Roman" w:hAnsi="Times New Roman" w:eastAsia="Times New Roman"/>
                <w:b/>
                <w:color w:val="FFFFFF"/>
                <w:sz w:val="19"/>
              </w:rPr>
              <w:t>Herramienta</w:t>
            </w:r>
          </w:p>
        </w:tc>
        <w:tc>
          <w:tcPr>
            <w:tcW w:type="dxa" w:w="4320"/>
            <w:vAlign w:val="center"/>
            <w:tcMar>
              <w:top w:w="80" w:type="dxa"/>
              <w:start w:w="90" w:type="dxa"/>
              <w:bottom w:w="80" w:type="dxa"/>
              <w:end w:w="90" w:type="dxa"/>
            </w:tcMar>
            <w:shd w:fill="10263D"/>
            <w:tcBorders>
              <w:top w:val="single" w:sz="6" w:color="10263D"/>
              <w:left w:val="single" w:sz="4" w:color="B7C3CC"/>
              <w:bottom w:val="single" w:sz="6" w:color="10263D"/>
              <w:right w:val="single" w:sz="4" w:color="B7C3CC"/>
            </w:tcBorders>
          </w:tcPr>
          <w:p>
            <w:pPr>
              <w:spacing w:before="0" w:after="0" w:line="240" w:lineRule="auto"/>
              <w:jc w:val="left"/>
            </w:pPr>
            <w:r/>
            <w:r>
              <w:rPr>
                <w:rFonts w:ascii="Times New Roman" w:hAnsi="Times New Roman" w:eastAsia="Times New Roman"/>
                <w:b/>
                <w:color w:val="FFFFFF"/>
                <w:sz w:val="19"/>
              </w:rPr>
              <w:t>Uso en el proyecto</w:t>
            </w:r>
          </w:p>
        </w:tc>
        <w:tc>
          <w:tcPr>
            <w:tcW w:type="dxa" w:w="5400"/>
            <w:vAlign w:val="center"/>
            <w:tcMar>
              <w:top w:w="80" w:type="dxa"/>
              <w:start w:w="90" w:type="dxa"/>
              <w:bottom w:w="80" w:type="dxa"/>
              <w:end w:w="90" w:type="dxa"/>
            </w:tcMar>
            <w:shd w:fill="10263D"/>
            <w:tcBorders>
              <w:top w:val="single" w:sz="6" w:color="10263D"/>
              <w:left w:val="single" w:sz="4" w:color="B7C3CC"/>
              <w:bottom w:val="single" w:sz="6" w:color="10263D"/>
              <w:right w:val="single" w:sz="4" w:color="B7C3CC"/>
            </w:tcBorders>
          </w:tcPr>
          <w:p>
            <w:pPr>
              <w:spacing w:before="0" w:after="0" w:line="240" w:lineRule="auto"/>
              <w:jc w:val="left"/>
            </w:pPr>
            <w:r/>
            <w:r>
              <w:rPr>
                <w:rFonts w:ascii="Times New Roman" w:hAnsi="Times New Roman" w:eastAsia="Times New Roman"/>
                <w:b/>
                <w:color w:val="FFFFFF"/>
                <w:sz w:val="19"/>
              </w:rPr>
              <w:t>Información que entrega</w:t>
            </w:r>
          </w:p>
        </w:tc>
      </w:tr>
      <w:tr>
        <w:tc>
          <w:tcPr>
            <w:tcW w:type="dxa" w:w="2088"/>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Project Libre</w:t>
            </w:r>
          </w:p>
        </w:tc>
        <w:tc>
          <w:tcPr>
            <w:tcW w:type="dxa" w:w="4320"/>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Gantt, línea base, dependencias y cortes</w:t>
            </w:r>
          </w:p>
        </w:tc>
        <w:tc>
          <w:tcPr>
            <w:tcW w:type="dxa" w:w="5400"/>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Fecha planificada, fecha real y avance de hitos</w:t>
            </w:r>
          </w:p>
        </w:tc>
      </w:tr>
      <w:tr>
        <w:tc>
          <w:tcPr>
            <w:tcW w:type="dxa" w:w="2088"/>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Trello</w:t>
            </w:r>
          </w:p>
        </w:tc>
        <w:tc>
          <w:tcPr>
            <w:tcW w:type="dxa" w:w="4320"/>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Kanban del trabajo semanal</w:t>
            </w:r>
          </w:p>
        </w:tc>
        <w:tc>
          <w:tcPr>
            <w:tcW w:type="dxa" w:w="5400"/>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Historias, responsables, bloqueos, WIP y estado de cada tarea</w:t>
            </w:r>
          </w:p>
        </w:tc>
      </w:tr>
      <w:tr>
        <w:tc>
          <w:tcPr>
            <w:tcW w:type="dxa" w:w="2088"/>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Excel</w:t>
            </w:r>
          </w:p>
        </w:tc>
        <w:tc>
          <w:tcPr>
            <w:tcW w:type="dxa" w:w="4320"/>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Dashboard y registro de control</w:t>
            </w:r>
          </w:p>
        </w:tc>
        <w:tc>
          <w:tcPr>
            <w:tcW w:type="dxa" w:w="5400"/>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KPI macro, indicadores micro, alertas, decisiones y fecha de actualización</w:t>
            </w:r>
          </w:p>
        </w:tc>
      </w:tr>
    </w:tbl>
    <w:p>
      <w:pPr>
        <w:spacing w:before="40" w:after="100" w:line="240" w:lineRule="auto"/>
        <w:jc w:val="center"/>
      </w:pPr>
      <w:r>
        <w:rPr>
          <w:rFonts w:ascii="Times New Roman" w:hAnsi="Times New Roman" w:eastAsia="Times New Roman"/>
          <w:b w:val="0"/>
          <w:i/>
          <w:color w:val="444444"/>
          <w:sz w:val="18"/>
        </w:rPr>
        <w:t>Tabla 4. Herramientas que integran el sistema de monitoreo y control.</w:t>
      </w:r>
    </w:p>
    <w:p>
      <w:pPr>
        <w:keepNext/>
        <w:spacing w:before="200" w:after="120" w:line="360" w:lineRule="auto"/>
        <w:ind w:firstLine="0" w:left="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580000" cy="3022500"/>
            <wp:docPr id="5" name="Picture 5"/>
            <wp:cNvGraphicFramePr>
              <a:graphicFrameLocks noChangeAspect="1"/>
            </wp:cNvGraphicFramePr>
            <a:graphic>
              <a:graphicData uri="http://schemas.openxmlformats.org/drawingml/2006/picture">
                <pic:pic>
                  <pic:nvPicPr>
                    <pic:cNvPr id="0" name="kanban.png"/>
                    <pic:cNvPicPr/>
                  </pic:nvPicPr>
                  <pic:blipFill>
                    <a:blip r:embed="rId17"/>
                    <a:stretch>
                      <a:fillRect/>
                    </a:stretch>
                  </pic:blipFill>
                  <pic:spPr>
                    <a:xfrm>
                      <a:off x="0" y="0"/>
                      <a:ext cx="5580000" cy="3022500"/>
                    </a:xfrm>
                    <a:prstGeom prst="rect"/>
                  </pic:spPr>
                </pic:pic>
              </a:graphicData>
            </a:graphic>
          </wp:inline>
        </w:drawing>
      </w:r>
    </w:p>
    <w:p>
      <w:pPr>
        <w:spacing w:before="40" w:after="100" w:line="240" w:lineRule="auto"/>
        <w:jc w:val="center"/>
      </w:pPr>
      <w:r>
        <w:rPr>
          <w:rFonts w:ascii="Times New Roman" w:hAnsi="Times New Roman" w:eastAsia="Times New Roman"/>
          <w:b w:val="0"/>
          <w:i/>
          <w:color w:val="444444"/>
          <w:sz w:val="18"/>
        </w:rPr>
        <w:t>Figura 2. Estructura del tablero Kanban en Trello con tarjetas de ejemplo sin datos (elaboración propia con base en las reglas de la Tabla 2).</w:t>
      </w:r>
    </w:p>
    <w:p>
      <w:pPr>
        <w:keepNext/>
        <w:spacing w:before="200" w:after="120" w:line="360" w:lineRule="auto"/>
        <w:ind w:firstLine="0" w:left="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220000" cy="5085908"/>
            <wp:docPr id="3" name="Picture 3"/>
            <wp:cNvGraphicFramePr>
              <a:graphicFrameLocks noChangeAspect="1"/>
            </wp:cNvGraphicFramePr>
            <a:graphic>
              <a:graphicData uri="http://schemas.openxmlformats.org/drawingml/2006/picture">
                <pic:pic>
                  <pic:nvPicPr>
                    <pic:cNvPr id="0" name="flujo.png"/>
                    <pic:cNvPicPr/>
                  </pic:nvPicPr>
                  <pic:blipFill>
                    <a:blip r:embed="rId15"/>
                    <a:stretch>
                      <a:fillRect/>
                    </a:stretch>
                  </pic:blipFill>
                  <pic:spPr>
                    <a:xfrm>
                      <a:off x="0" y="0"/>
                      <a:ext cx="5220000" cy="5085908"/>
                    </a:xfrm>
                    <a:prstGeom prst="rect"/>
                  </pic:spPr>
                </pic:pic>
              </a:graphicData>
            </a:graphic>
          </wp:inline>
        </w:drawing>
      </w:r>
    </w:p>
    <w:p>
      <w:pPr>
        <w:spacing w:before="40" w:after="100" w:line="240" w:lineRule="auto"/>
        <w:jc w:val="center"/>
      </w:pPr>
      <w:r>
        <w:rPr>
          <w:rFonts w:ascii="Times New Roman" w:hAnsi="Times New Roman" w:eastAsia="Times New Roman"/>
          <w:b w:val="0"/>
          <w:i/>
          <w:color w:val="444444"/>
          <w:sz w:val="18"/>
        </w:rPr>
        <w:t>Figura 3. Flujo de información del sistema de monitoreo y control (elaboración propia con base en las Tablas 1, 2, 4 y 5).</w:t>
      </w:r>
    </w:p>
    <w:p>
      <w:pPr>
        <w:keepNext/>
        <w:spacing w:before="200" w:after="120" w:line="360" w:lineRule="auto"/>
        <w:ind w:firstLine="0" w:left="0"/>
        <w:jc w:val="center"/>
      </w:pPr>
      <w:r>
        <w:rPr>
          <w:rFonts w:ascii="Times New Roman" w:hAnsi="Times New Roman" w:eastAsia="Times New Roman"/>
          <w:b w:val="0"/>
          <w:i w:val="0"/>
          <w:sz w:val="24"/>
        </w:rPr>
        <w:drawing>
          <wp:inline xmlns:a="http://schemas.openxmlformats.org/drawingml/2006/main" xmlns:pic="http://schemas.openxmlformats.org/drawingml/2006/picture">
            <wp:extent cx="5580000" cy="3565000"/>
            <wp:docPr id="4" name="Picture 4"/>
            <wp:cNvGraphicFramePr>
              <a:graphicFrameLocks noChangeAspect="1"/>
            </wp:cNvGraphicFramePr>
            <a:graphic>
              <a:graphicData uri="http://schemas.openxmlformats.org/drawingml/2006/picture">
                <pic:pic>
                  <pic:nvPicPr>
                    <pic:cNvPr id="0" name="tablero.png"/>
                    <pic:cNvPicPr/>
                  </pic:nvPicPr>
                  <pic:blipFill>
                    <a:blip r:embed="rId16"/>
                    <a:stretch>
                      <a:fillRect/>
                    </a:stretch>
                  </pic:blipFill>
                  <pic:spPr>
                    <a:xfrm>
                      <a:off x="0" y="0"/>
                      <a:ext cx="5580000" cy="3565000"/>
                    </a:xfrm>
                    <a:prstGeom prst="rect"/>
                  </pic:spPr>
                </pic:pic>
              </a:graphicData>
            </a:graphic>
          </wp:inline>
        </w:drawing>
      </w:r>
    </w:p>
    <w:p>
      <w:pPr>
        <w:spacing w:before="40" w:after="100" w:line="240" w:lineRule="auto"/>
        <w:jc w:val="center"/>
      </w:pPr>
      <w:r>
        <w:rPr>
          <w:rFonts w:ascii="Times New Roman" w:hAnsi="Times New Roman" w:eastAsia="Times New Roman"/>
          <w:b w:val="0"/>
          <w:i/>
          <w:color w:val="444444"/>
          <w:sz w:val="18"/>
        </w:rPr>
        <w:t>Figura 4. Estructura del dashboard de Excel; los valores quedan por registrar en cada corte (elaboración propia con base en las Tablas 1 y 2).</w:t>
      </w:r>
    </w:p>
    <w:p>
      <w:pPr>
        <w:keepNext/>
        <w:spacing w:before="200" w:after="140" w:line="276" w:lineRule="auto"/>
        <w:jc w:val="left"/>
      </w:pPr>
      <w:r>
        <w:rPr>
          <w:rFonts w:ascii="Times New Roman" w:hAnsi="Times New Roman" w:eastAsia="Times New Roman"/>
          <w:b/>
          <w:i w:val="0"/>
          <w:color w:val="10263D"/>
          <w:sz w:val="26"/>
        </w:rPr>
        <w:t>6. Plan de control</w:t>
      </w:r>
    </w:p>
    <w:p>
      <w:pPr>
        <w:spacing w:before="0" w:after="120" w:line="360" w:lineRule="auto"/>
        <w:jc w:val="both"/>
      </w:pPr>
      <w:r>
        <w:rPr>
          <w:rFonts w:ascii="Times New Roman" w:hAnsi="Times New Roman" w:eastAsia="Times New Roman"/>
          <w:b w:val="0"/>
          <w:i w:val="0"/>
          <w:sz w:val="24"/>
        </w:rPr>
        <w:t>El plan de control establece cuándo se revisa cada indicador, quién debe actualizarlo y qué decisión corresponde si el resultado se aleja de la meta. La acción queda registrada en la misma hoja de Excel para mantener la trazabilidad.</w:t>
      </w:r>
    </w:p>
    <w:tbl>
      <w:tblPr>
        <w:tblStyle w:val="TableGrid"/>
        <w:tblW w:type="auto" w:w="0"/>
        <w:jc w:val="center"/>
        <w:tblLayout w:type="autofit"/>
        <w:tblLook w:firstColumn="1" w:firstRow="1" w:lastColumn="0" w:lastRow="0" w:noHBand="0" w:noVBand="1" w:val="04A0"/>
      </w:tblPr>
      <w:tblGrid>
        <w:gridCol w:w="2268"/>
        <w:gridCol w:w="2268"/>
        <w:gridCol w:w="2268"/>
        <w:gridCol w:w="2268"/>
      </w:tblGrid>
      <w:tr>
        <w:trPr>
          <w:tblHeader w:val="true"/>
        </w:trPr>
        <w:tc>
          <w:tcPr>
            <w:tcW w:type="dxa" w:w="2232"/>
            <w:vAlign w:val="center"/>
            <w:tcMar>
              <w:top w:w="80" w:type="dxa"/>
              <w:start w:w="90" w:type="dxa"/>
              <w:bottom w:w="80" w:type="dxa"/>
              <w:end w:w="90" w:type="dxa"/>
            </w:tcMar>
            <w:shd w:fill="10263D"/>
            <w:tcBorders>
              <w:top w:val="single" w:sz="6" w:color="10263D"/>
              <w:left w:val="single" w:sz="4" w:color="B7C3CC"/>
              <w:bottom w:val="single" w:sz="6" w:color="10263D"/>
              <w:right w:val="single" w:sz="4" w:color="B7C3CC"/>
            </w:tcBorders>
          </w:tcPr>
          <w:p>
            <w:pPr>
              <w:spacing w:before="0" w:after="0" w:line="240" w:lineRule="auto"/>
              <w:jc w:val="left"/>
            </w:pPr>
            <w:r/>
            <w:r>
              <w:rPr>
                <w:rFonts w:ascii="Times New Roman" w:hAnsi="Times New Roman" w:eastAsia="Times New Roman"/>
                <w:b/>
                <w:color w:val="FFFFFF"/>
                <w:sz w:val="19"/>
              </w:rPr>
              <w:t>Indicador</w:t>
            </w:r>
          </w:p>
        </w:tc>
        <w:tc>
          <w:tcPr>
            <w:tcW w:type="dxa" w:w="2088"/>
            <w:vAlign w:val="center"/>
            <w:tcMar>
              <w:top w:w="80" w:type="dxa"/>
              <w:start w:w="90" w:type="dxa"/>
              <w:bottom w:w="80" w:type="dxa"/>
              <w:end w:w="90" w:type="dxa"/>
            </w:tcMar>
            <w:shd w:fill="10263D"/>
            <w:tcBorders>
              <w:top w:val="single" w:sz="6" w:color="10263D"/>
              <w:left w:val="single" w:sz="4" w:color="B7C3CC"/>
              <w:bottom w:val="single" w:sz="6" w:color="10263D"/>
              <w:right w:val="single" w:sz="4" w:color="B7C3CC"/>
            </w:tcBorders>
          </w:tcPr>
          <w:p>
            <w:pPr>
              <w:spacing w:before="0" w:after="0" w:line="240" w:lineRule="auto"/>
              <w:jc w:val="left"/>
            </w:pPr>
            <w:r/>
            <w:r>
              <w:rPr>
                <w:rFonts w:ascii="Times New Roman" w:hAnsi="Times New Roman" w:eastAsia="Times New Roman"/>
                <w:b/>
                <w:color w:val="FFFFFF"/>
                <w:sz w:val="19"/>
              </w:rPr>
              <w:t>Frecuencia</w:t>
            </w:r>
          </w:p>
        </w:tc>
        <w:tc>
          <w:tcPr>
            <w:tcW w:type="dxa" w:w="2880"/>
            <w:vAlign w:val="center"/>
            <w:tcMar>
              <w:top w:w="80" w:type="dxa"/>
              <w:start w:w="90" w:type="dxa"/>
              <w:bottom w:w="80" w:type="dxa"/>
              <w:end w:w="90" w:type="dxa"/>
            </w:tcMar>
            <w:shd w:fill="10263D"/>
            <w:tcBorders>
              <w:top w:val="single" w:sz="6" w:color="10263D"/>
              <w:left w:val="single" w:sz="4" w:color="B7C3CC"/>
              <w:bottom w:val="single" w:sz="6" w:color="10263D"/>
              <w:right w:val="single" w:sz="4" w:color="B7C3CC"/>
            </w:tcBorders>
          </w:tcPr>
          <w:p>
            <w:pPr>
              <w:spacing w:before="0" w:after="0" w:line="240" w:lineRule="auto"/>
              <w:jc w:val="left"/>
            </w:pPr>
            <w:r/>
            <w:r>
              <w:rPr>
                <w:rFonts w:ascii="Times New Roman" w:hAnsi="Times New Roman" w:eastAsia="Times New Roman"/>
                <w:b/>
                <w:color w:val="FFFFFF"/>
                <w:sz w:val="19"/>
              </w:rPr>
              <w:t>Responsable</w:t>
            </w:r>
          </w:p>
        </w:tc>
        <w:tc>
          <w:tcPr>
            <w:tcW w:type="dxa" w:w="4608"/>
            <w:vAlign w:val="center"/>
            <w:tcMar>
              <w:top w:w="80" w:type="dxa"/>
              <w:start w:w="90" w:type="dxa"/>
              <w:bottom w:w="80" w:type="dxa"/>
              <w:end w:w="90" w:type="dxa"/>
            </w:tcMar>
            <w:shd w:fill="10263D"/>
            <w:tcBorders>
              <w:top w:val="single" w:sz="6" w:color="10263D"/>
              <w:left w:val="single" w:sz="4" w:color="B7C3CC"/>
              <w:bottom w:val="single" w:sz="6" w:color="10263D"/>
              <w:right w:val="single" w:sz="4" w:color="B7C3CC"/>
            </w:tcBorders>
          </w:tcPr>
          <w:p>
            <w:pPr>
              <w:spacing w:before="0" w:after="0" w:line="240" w:lineRule="auto"/>
              <w:jc w:val="left"/>
            </w:pPr>
            <w:r/>
            <w:r>
              <w:rPr>
                <w:rFonts w:ascii="Times New Roman" w:hAnsi="Times New Roman" w:eastAsia="Times New Roman"/>
                <w:b/>
                <w:color w:val="FFFFFF"/>
                <w:sz w:val="19"/>
              </w:rPr>
              <w:t>Acción</w:t>
            </w:r>
          </w:p>
        </w:tc>
      </w:tr>
      <w:tr>
        <w:tc>
          <w:tcPr>
            <w:tcW w:type="dxa" w:w="2232"/>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Porcentaje de cumplimiento de hitos</w:t>
            </w:r>
          </w:p>
        </w:tc>
        <w:tc>
          <w:tcPr>
            <w:tcW w:type="dxa" w:w="2088"/>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El día de cada corte</w:t>
            </w:r>
          </w:p>
        </w:tc>
        <w:tc>
          <w:tcPr>
            <w:tcW w:type="dxa" w:w="2880"/>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Giannina Guerrero</w:t>
            </w:r>
          </w:p>
        </w:tc>
        <w:tc>
          <w:tcPr>
            <w:tcW w:type="dxa" w:w="4608"/>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Priorizar el trabajo atrasado y no incorporar trabajo nuevo si el atraso supera 3 días.</w:t>
            </w:r>
          </w:p>
        </w:tc>
      </w:tr>
      <w:tr>
        <w:tc>
          <w:tcPr>
            <w:tcW w:type="dxa" w:w="2232"/>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Desviación del presupuesto</w:t>
            </w:r>
          </w:p>
        </w:tc>
        <w:tc>
          <w:tcPr>
            <w:tcW w:type="dxa" w:w="2088"/>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Cada 2 semanas</w:t>
            </w:r>
          </w:p>
        </w:tc>
        <w:tc>
          <w:tcPr>
            <w:tcW w:type="dxa" w:w="2880"/>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Ari Araya mide y Giannina Guerrero decide</w:t>
            </w:r>
          </w:p>
        </w:tc>
        <w:tc>
          <w:tcPr>
            <w:tcW w:type="dxa" w:w="4608"/>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Frenar el gasto no comprometido cuando la desviación sea superior al 10 % y justificar cualquier uso de contingencia.</w:t>
            </w:r>
          </w:p>
        </w:tc>
      </w:tr>
      <w:tr>
        <w:tc>
          <w:tcPr>
            <w:tcW w:type="dxa" w:w="2232"/>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Satisfacción del cliente</w:t>
            </w:r>
          </w:p>
        </w:tc>
        <w:tc>
          <w:tcPr>
            <w:tcW w:type="dxa" w:w="2088"/>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Al cierre de cada corte</w:t>
            </w:r>
          </w:p>
        </w:tc>
        <w:tc>
          <w:tcPr>
            <w:tcW w:type="dxa" w:w="2880"/>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Giannina Guerrero</w:t>
            </w:r>
          </w:p>
        </w:tc>
        <w:tc>
          <w:tcPr>
            <w:tcW w:type="dxa" w:w="4608"/>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Si la evaluación es menor que 4, revisar la entrega y reabrir el alcance del corte.</w:t>
            </w:r>
          </w:p>
        </w:tc>
      </w:tr>
      <w:tr>
        <w:tc>
          <w:tcPr>
            <w:tcW w:type="dxa" w:w="2232"/>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Defectos por cada 1.000 líneas cambiadas</w:t>
            </w:r>
          </w:p>
        </w:tc>
        <w:tc>
          <w:tcPr>
            <w:tcW w:type="dxa" w:w="2088"/>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Al cierre de cada periodo</w:t>
            </w:r>
          </w:p>
        </w:tc>
        <w:tc>
          <w:tcPr>
            <w:tcW w:type="dxa" w:w="2880"/>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Skarlett Tropan, con el conteo de líneas de Nicolás Barra</w:t>
            </w:r>
          </w:p>
        </w:tc>
        <w:tc>
          <w:tcPr>
            <w:tcW w:type="dxa" w:w="4608"/>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t>Si se pasa la meta o queda un bloqueante abierto, el periodo siguiente parte por esos defectos.</w:t>
            </w:r>
            <w:r>
              <w:rPr>
                <w:rFonts w:ascii="Times New Roman" w:hAnsi="Times New Roman" w:eastAsia="Times New Roman"/>
                <w:b w:val="0"/>
                <w:color w:val="000000"/>
                <w:sz w:val="19"/>
              </w:rPr>
            </w:r>
          </w:p>
        </w:tc>
      </w:tr>
      <w:tr>
        <w:tc>
          <w:tcPr>
            <w:tcW w:type="dxa" w:w="2232"/>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r/>
            <w:r>
              <w:rPr/>
              <w:t>Reapertura de defectos</w:t>
            </w:r>
          </w:p>
        </w:tc>
        <w:tc>
          <w:tcPr>
            <w:tcW w:type="dxa" w:w="2088"/>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r/>
            <w:r>
              <w:rPr/>
              <w:t>Al fin de cada sprint</w:t>
            </w:r>
          </w:p>
        </w:tc>
        <w:tc>
          <w:tcPr>
            <w:tcW w:type="dxa" w:w="2880"/>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r/>
            <w:r>
              <w:rPr/>
              <w:t>Skarlett Tropan</w:t>
            </w:r>
          </w:p>
        </w:tc>
        <w:tc>
          <w:tcPr>
            <w:tcW w:type="dxa" w:w="4608"/>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r/>
            <w:r>
              <w:rPr/>
              <w:t>Si pasa 20 %, el sprint siguiente no abre historias nuevas hasta bajar esa cola.</w:t>
            </w:r>
          </w:p>
        </w:tc>
      </w:tr>
      <w:tr>
        <w:tc>
          <w:tcPr>
            <w:tcW w:type="dxa" w:w="2232"/>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Cumplimiento del sprint</w:t>
            </w:r>
          </w:p>
        </w:tc>
        <w:tc>
          <w:tcPr>
            <w:tcW w:type="dxa" w:w="2088"/>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Al cierre de cada sprint</w:t>
            </w:r>
          </w:p>
        </w:tc>
        <w:tc>
          <w:tcPr>
            <w:tcW w:type="dxa" w:w="2880"/>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Nicolás Barra</w:t>
            </w:r>
          </w:p>
        </w:tc>
        <w:tc>
          <w:tcPr>
            <w:tcW w:type="dxa" w:w="4608"/>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Retirar del compromiso las tarjetas no terminadas y reordenarlas en el backlog.</w:t>
            </w:r>
          </w:p>
        </w:tc>
      </w:tr>
      <w:tr>
        <w:tc>
          <w:tcPr>
            <w:tcW w:type="dxa" w:w="2232"/>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Bloqueos de más de 5 días</w:t>
            </w:r>
          </w:p>
        </w:tc>
        <w:tc>
          <w:tcPr>
            <w:tcW w:type="dxa" w:w="2088"/>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Revisión semanal</w:t>
            </w:r>
          </w:p>
        </w:tc>
        <w:tc>
          <w:tcPr>
            <w:tcW w:type="dxa" w:w="2880"/>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Responsable de la tarjeta y Giannina Guerrero</w:t>
            </w:r>
          </w:p>
        </w:tc>
        <w:tc>
          <w:tcPr>
            <w:tcW w:type="dxa" w:w="4608"/>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Reasignar, dividir la tarea o registrar la decisión que permite desbloquearla.</w:t>
            </w:r>
          </w:p>
        </w:tc>
      </w:tr>
      <w:tr>
        <w:tc>
          <w:tcPr>
            <w:tcW w:type="dxa" w:w="2232"/>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Trabajo en curso y coherencia del tablero</w:t>
            </w:r>
          </w:p>
        </w:tc>
        <w:tc>
          <w:tcPr>
            <w:tcW w:type="dxa" w:w="2088"/>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Antes de tomar una tarea y una vez por semana</w:t>
            </w:r>
          </w:p>
        </w:tc>
        <w:tc>
          <w:tcPr>
            <w:tcW w:type="dxa" w:w="2880"/>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Cada integrante y Skarlett Tropan</w:t>
            </w:r>
          </w:p>
        </w:tc>
        <w:tc>
          <w:tcPr>
            <w:tcW w:type="dxa" w:w="4608"/>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Mantener un máximo de 2 tarjetas en curso por persona y corregir el tablero antes del dashboard.</w:t>
            </w:r>
          </w:p>
        </w:tc>
      </w:tr>
    </w:tbl>
    <w:p>
      <w:pPr>
        <w:spacing w:before="40" w:after="100" w:line="240" w:lineRule="auto"/>
        <w:jc w:val="center"/>
      </w:pPr>
      <w:r>
        <w:rPr>
          <w:rFonts w:ascii="Times New Roman" w:hAnsi="Times New Roman" w:eastAsia="Times New Roman"/>
          <w:b w:val="0"/>
          <w:i/>
          <w:color w:val="444444"/>
          <w:sz w:val="18"/>
        </w:rPr>
        <w:t>Tabla 5. Plan de control del proyecto Kiran.</w:t>
      </w:r>
    </w:p>
    <w:p>
      <w:pPr>
        <w:keepNext/>
        <w:spacing w:before="200" w:after="140" w:line="276" w:lineRule="auto"/>
        <w:jc w:val="left"/>
      </w:pPr>
      <w:r>
        <w:rPr>
          <w:rFonts w:ascii="Times New Roman" w:hAnsi="Times New Roman" w:eastAsia="Times New Roman"/>
          <w:b/>
          <w:i w:val="0"/>
          <w:color w:val="10263D"/>
          <w:sz w:val="26"/>
        </w:rPr>
        <w:t>7. Flujo de revisión</w:t>
      </w:r>
    </w:p>
    <w:p>
      <w:pPr>
        <w:spacing w:before="0" w:after="120" w:line="360" w:lineRule="auto"/>
        <w:jc w:val="both"/>
      </w:pPr>
      <w:r>
        <w:rPr>
          <w:rFonts w:ascii="Times New Roman" w:hAnsi="Times New Roman" w:eastAsia="Times New Roman"/>
          <w:b w:val="0"/>
          <w:i w:val="0"/>
          <w:sz w:val="24"/>
        </w:rPr>
        <w:t>Durante la semana, cada integrante actualiza sus tarjetas en Trello y registra los bloqueos. Al cierre del sprint, Nicolás revisa las historias comprometidas y Skarlett consolida la información de calidad. Cada dos semanas, Ari actualiza el costo acumulado. En cada corte, Giannina contrasta los resultados con Project Libre, aplica la pauta de satisfacción y valida que la entrega corresponda al alcance comprometido.</w:t>
      </w:r>
    </w:p>
    <w:p>
      <w:pPr>
        <w:spacing w:before="0" w:after="120" w:line="360" w:lineRule="auto"/>
        <w:jc w:val="both"/>
      </w:pPr>
      <w:r>
        <w:rPr>
          <w:rFonts w:ascii="Times New Roman" w:hAnsi="Times New Roman" w:eastAsia="Times New Roman"/>
          <w:b w:val="0"/>
          <w:i w:val="0"/>
          <w:sz w:val="24"/>
        </w:rPr>
        <w:t>Cuando aparece una alerta, el equipo registra en Excel el indicador afectado, la causa, la decisión tomada, la persona responsable y la fecha de revisión. De esta manera, el dashboard registra también la medida adoptada frente a cada desviación.</w:t>
      </w:r>
    </w:p>
    <w:p>
      <w:pPr>
        <w:keepNext/>
        <w:spacing w:before="200" w:after="140" w:line="276" w:lineRule="auto"/>
        <w:jc w:val="left"/>
      </w:pPr>
      <w:r>
        <w:rPr>
          <w:rFonts w:ascii="Times New Roman" w:hAnsi="Times New Roman" w:eastAsia="Times New Roman"/>
          <w:b/>
          <w:i w:val="0"/>
          <w:color w:val="10263D"/>
          <w:sz w:val="26"/>
        </w:rPr>
        <w:t>8. Material para la presentación en sala</w:t>
      </w:r>
    </w:p>
    <w:p>
      <w:pPr>
        <w:spacing w:before="0" w:after="120" w:line="360" w:lineRule="auto"/>
        <w:jc w:val="both"/>
      </w:pPr>
      <w:r>
        <w:rPr>
          <w:rFonts w:ascii="Times New Roman" w:hAnsi="Times New Roman" w:eastAsia="Times New Roman"/>
          <w:b w:val="0"/>
          <w:i w:val="0"/>
          <w:sz w:val="24"/>
        </w:rPr>
        <w:t>Para explicar el sistema de monitoreo se preparan tres láminas. La primera presenta el dashboard de Excel con los cuatro KPI macro, la meta de cada uno y el estado de alerta. La segunda muestra el Gantt de Project Libre con los cuatro cortes y la fecha de cierre. La tercera presenta el tablero de Trello, un ejemplo de bloqueo y la acción correctiva aplicada.</w:t>
      </w:r>
    </w:p>
    <w:tbl>
      <w:tblPr>
        <w:tblStyle w:val="TableGrid"/>
        <w:tblW w:type="auto" w:w="0"/>
        <w:jc w:val="center"/>
        <w:tblLayout w:type="autofit"/>
        <w:tblLook w:firstColumn="1" w:firstRow="1" w:lastColumn="0" w:lastRow="0" w:noHBand="0" w:noVBand="1" w:val="04A0"/>
      </w:tblPr>
      <w:tblGrid>
        <w:gridCol w:w="3024"/>
        <w:gridCol w:w="3024"/>
        <w:gridCol w:w="3024"/>
      </w:tblGrid>
      <w:tr>
        <w:trPr>
          <w:tblHeader w:val="true"/>
        </w:trPr>
        <w:tc>
          <w:tcPr>
            <w:tcW w:type="dxa" w:w="1728"/>
            <w:vAlign w:val="center"/>
            <w:tcMar>
              <w:top w:w="80" w:type="dxa"/>
              <w:start w:w="90" w:type="dxa"/>
              <w:bottom w:w="80" w:type="dxa"/>
              <w:end w:w="90" w:type="dxa"/>
            </w:tcMar>
            <w:shd w:fill="10263D"/>
            <w:tcBorders>
              <w:top w:val="single" w:sz="6" w:color="10263D"/>
              <w:left w:val="single" w:sz="4" w:color="B7C3CC"/>
              <w:bottom w:val="single" w:sz="6" w:color="10263D"/>
              <w:right w:val="single" w:sz="4" w:color="B7C3CC"/>
            </w:tcBorders>
          </w:tcPr>
          <w:p>
            <w:pPr>
              <w:spacing w:before="0" w:after="0" w:line="240" w:lineRule="auto"/>
              <w:jc w:val="left"/>
            </w:pPr>
            <w:r/>
            <w:r>
              <w:rPr>
                <w:rFonts w:ascii="Times New Roman" w:hAnsi="Times New Roman" w:eastAsia="Times New Roman"/>
                <w:b/>
                <w:color w:val="FFFFFF"/>
                <w:sz w:val="19"/>
              </w:rPr>
              <w:t>Lámina</w:t>
            </w:r>
          </w:p>
        </w:tc>
        <w:tc>
          <w:tcPr>
            <w:tcW w:type="dxa" w:w="2880"/>
            <w:vAlign w:val="center"/>
            <w:tcMar>
              <w:top w:w="80" w:type="dxa"/>
              <w:start w:w="90" w:type="dxa"/>
              <w:bottom w:w="80" w:type="dxa"/>
              <w:end w:w="90" w:type="dxa"/>
            </w:tcMar>
            <w:shd w:fill="10263D"/>
            <w:tcBorders>
              <w:top w:val="single" w:sz="6" w:color="10263D"/>
              <w:left w:val="single" w:sz="4" w:color="B7C3CC"/>
              <w:bottom w:val="single" w:sz="6" w:color="10263D"/>
              <w:right w:val="single" w:sz="4" w:color="B7C3CC"/>
            </w:tcBorders>
          </w:tcPr>
          <w:p>
            <w:pPr>
              <w:spacing w:before="0" w:after="0" w:line="240" w:lineRule="auto"/>
              <w:jc w:val="left"/>
            </w:pPr>
            <w:r/>
            <w:r>
              <w:rPr>
                <w:rFonts w:ascii="Times New Roman" w:hAnsi="Times New Roman" w:eastAsia="Times New Roman"/>
                <w:b/>
                <w:color w:val="FFFFFF"/>
                <w:sz w:val="19"/>
              </w:rPr>
              <w:t>Fuente</w:t>
            </w:r>
          </w:p>
        </w:tc>
        <w:tc>
          <w:tcPr>
            <w:tcW w:type="dxa" w:w="7200"/>
            <w:vAlign w:val="center"/>
            <w:tcMar>
              <w:top w:w="80" w:type="dxa"/>
              <w:start w:w="90" w:type="dxa"/>
              <w:bottom w:w="80" w:type="dxa"/>
              <w:end w:w="90" w:type="dxa"/>
            </w:tcMar>
            <w:shd w:fill="10263D"/>
            <w:tcBorders>
              <w:top w:val="single" w:sz="6" w:color="10263D"/>
              <w:left w:val="single" w:sz="4" w:color="B7C3CC"/>
              <w:bottom w:val="single" w:sz="6" w:color="10263D"/>
              <w:right w:val="single" w:sz="4" w:color="B7C3CC"/>
            </w:tcBorders>
          </w:tcPr>
          <w:p>
            <w:pPr>
              <w:spacing w:before="0" w:after="0" w:line="240" w:lineRule="auto"/>
              <w:jc w:val="left"/>
            </w:pPr>
            <w:r/>
            <w:r>
              <w:rPr>
                <w:rFonts w:ascii="Times New Roman" w:hAnsi="Times New Roman" w:eastAsia="Times New Roman"/>
                <w:b/>
                <w:color w:val="FFFFFF"/>
                <w:sz w:val="19"/>
              </w:rPr>
              <w:t>Contenido</w:t>
            </w:r>
          </w:p>
        </w:tc>
      </w:tr>
      <w:tr>
        <w:tc>
          <w:tcPr>
            <w:tcW w:type="dxa" w:w="1728"/>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Lámina 1</w:t>
            </w:r>
          </w:p>
        </w:tc>
        <w:tc>
          <w:tcPr>
            <w:tcW w:type="dxa" w:w="2880"/>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Dashboard de Excel</w:t>
            </w:r>
          </w:p>
        </w:tc>
        <w:tc>
          <w:tcPr>
            <w:tcW w:type="dxa" w:w="7200"/>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Cumplimiento de hitos, desviación del presupuesto, satisfacción del cliente y defectos por cada 1.000 líneas cambiadas, junto con sus alertas.</w:t>
            </w:r>
          </w:p>
        </w:tc>
      </w:tr>
      <w:tr>
        <w:tc>
          <w:tcPr>
            <w:tcW w:type="dxa" w:w="1728"/>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Lámina 2</w:t>
            </w:r>
          </w:p>
        </w:tc>
        <w:tc>
          <w:tcPr>
            <w:tcW w:type="dxa" w:w="2880"/>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Gantt de Project Libre</w:t>
            </w:r>
          </w:p>
        </w:tc>
        <w:tc>
          <w:tcPr>
            <w:tcW w:type="dxa" w:w="7200"/>
            <w:vAlign w:val="center"/>
            <w:tcMar>
              <w:top w:w="80" w:type="dxa"/>
              <w:start w:w="90" w:type="dxa"/>
              <w:bottom w:w="80" w:type="dxa"/>
              <w:end w:w="90" w:type="dxa"/>
            </w:tcMar>
            <w:shd w:fill="EAF0F5"/>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Cortes del 19 de octubre, 9 de noviembre, 4 de diciembre y 9 de diciembre, con avance planificado y real.</w:t>
            </w:r>
          </w:p>
        </w:tc>
      </w:tr>
      <w:tr>
        <w:tc>
          <w:tcPr>
            <w:tcW w:type="dxa" w:w="1728"/>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Lámina 3</w:t>
            </w:r>
          </w:p>
        </w:tc>
        <w:tc>
          <w:tcPr>
            <w:tcW w:type="dxa" w:w="2880"/>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Kanban de Trello</w:t>
            </w:r>
          </w:p>
        </w:tc>
        <w:tc>
          <w:tcPr>
            <w:tcW w:type="dxa" w:w="7200"/>
            <w:vAlign w:val="center"/>
            <w:tcMar>
              <w:top w:w="80" w:type="dxa"/>
              <w:start w:w="90" w:type="dxa"/>
              <w:bottom w:w="80" w:type="dxa"/>
              <w:end w:w="90" w:type="dxa"/>
            </w:tcMar>
            <w:shd w:fill="FFFFFF"/>
            <w:tcBorders>
              <w:top w:val="single" w:sz="4" w:color="B7C3CC"/>
              <w:left w:val="single" w:sz="4" w:color="B7C3CC"/>
              <w:bottom w:val="single" w:sz="4" w:color="B7C3CC"/>
              <w:right w:val="single" w:sz="4" w:color="B7C3CC"/>
            </w:tcBorders>
          </w:tcPr>
          <w:p>
            <w:pPr>
              <w:spacing w:before="0" w:after="0" w:line="240" w:lineRule="auto"/>
              <w:jc w:val="left"/>
            </w:pPr>
            <w:r/>
            <w:r>
              <w:rPr>
                <w:rFonts w:ascii="Times New Roman" w:hAnsi="Times New Roman" w:eastAsia="Times New Roman"/>
                <w:b w:val="0"/>
                <w:color w:val="000000"/>
                <w:sz w:val="19"/>
              </w:rPr>
              <w:t>Estado de las tareas, responsables, un bloqueo y la medida adoptada para resolverlo.</w:t>
            </w:r>
          </w:p>
        </w:tc>
      </w:tr>
    </w:tbl>
    <w:p>
      <w:pPr>
        <w:spacing w:before="40" w:after="100" w:line="240" w:lineRule="auto"/>
        <w:jc w:val="center"/>
      </w:pPr>
      <w:r>
        <w:rPr>
          <w:rFonts w:ascii="Times New Roman" w:hAnsi="Times New Roman" w:eastAsia="Times New Roman"/>
          <w:b w:val="0"/>
          <w:i/>
          <w:color w:val="444444"/>
          <w:sz w:val="18"/>
        </w:rPr>
        <w:t>Tabla 6. Resumen de apoyo para la presentación en sala.</w:t>
      </w:r>
    </w:p>
    <w:p>
      <w:pPr>
        <w:keepNext/>
        <w:spacing w:before="200" w:after="140" w:line="276" w:lineRule="auto"/>
        <w:jc w:val="left"/>
      </w:pPr>
      <w:r>
        <w:rPr>
          <w:rFonts w:ascii="Times New Roman" w:hAnsi="Times New Roman" w:eastAsia="Times New Roman"/>
          <w:b/>
          <w:i w:val="0"/>
          <w:color w:val="10263D"/>
          <w:sz w:val="26"/>
        </w:rPr>
        <w:t>9. Cierre</w:t>
      </w:r>
    </w:p>
    <w:p>
      <w:pPr>
        <w:spacing w:before="0" w:after="120" w:line="360" w:lineRule="auto"/>
        <w:jc w:val="both"/>
      </w:pPr>
      <w:r>
        <w:rPr>
          <w:rFonts w:ascii="Times New Roman" w:hAnsi="Times New Roman" w:eastAsia="Times New Roman"/>
          <w:b w:val="0"/>
          <w:i w:val="0"/>
          <w:sz w:val="24"/>
        </w:rPr>
        <w:t>El sistema propuesto permite revisar el proyecto desde dos niveles. Los KPI macro muestran si Kiran avanza en el tiempo, el presupuesto, la satisfacción del cliente y la calidad. Los indicadores micro muestran qué está ocurriendo en la ejecución semanal. Al combinar Project Libre, Trello y Excel, el equipo cuenta con una forma simple de detectar desviaciones, tomar medidas y dejar evidencia del control realizado.</w:t>
      </w:r>
    </w:p>
    <w:sectPr w:rsidR="00FC693F" w:rsidRPr="0006063C" w:rsidSect="00034616">
      <w:headerReference w:type="default" r:id="rId12"/>
      <w:footerReference w:type="default" r:id="rId13"/>
      <w:pgSz w:w="11906" w:h="16838"/>
      <w:pgMar w:top="1417" w:right="1417" w:bottom="1417" w:left="1417" w:header="720" w:footer="720" w:gutter="0"/>
      <w:cols w:space="720"/>
      <w:docGrid w:linePitch="360"/>
      <w:pgNumType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0" w:after="0" w:line="240" w:lineRule="auto"/>
      <w:jc w:val="left"/>
    </w:pPr>
    <w:r>
      <w:rPr>
        <w:rFonts w:ascii="Times New Roman" w:hAnsi="Times New Roman" w:eastAsia="Times New Roman"/>
        <w:b w:val="0"/>
        <w:i w:val="0"/>
        <w:color w:val="555555"/>
        <w:sz w:val="18"/>
      </w:rPr>
      <w:t>Kiran | Actividad 2.1.2</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before="0" w:after="0" w:line="240" w:lineRule="auto"/>
      <w:jc w:val="left"/>
    </w:pPr>
    <w:r>
      <w:rPr>
        <w:rFonts w:ascii="Times New Roman" w:hAnsi="Times New Roman" w:eastAsia="Times New Roman"/>
        <w:b w:val="0"/>
        <w:i w:val="0"/>
        <w:color w:val="10263D"/>
        <w:sz w:val="18"/>
      </w:rPr>
      <w:t>Kiran | Actividad 2.1.2 | Sistema de monitoreo y control</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header" Target="header2.xml"/><Relationship Id="rId13" Type="http://schemas.openxmlformats.org/officeDocument/2006/relationships/footer" Target="footer2.xml"/><Relationship Id="rId14" Type="http://schemas.openxmlformats.org/officeDocument/2006/relationships/image" Target="media/image2.png"/><Relationship Id="rId15" Type="http://schemas.openxmlformats.org/officeDocument/2006/relationships/image" Target="media/image3.png"/><Relationship Id="rId16" Type="http://schemas.openxmlformats.org/officeDocument/2006/relationships/image" Target="media/image4.png"/><Relationship Id="rId17"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Actividad 2.1.2. Sistema de monitoreo y control del proyecto Kiran</dc:title>
  <dc:subject>GPY1102 Gestión de Proyectos de Software</dc:subject>
  <dc:creator>Equipo Kiran</dc:creator>
  <cp:keywords/>
  <dc:description>Documento elaborado a partir del formato del informe ejecutivo de la Evaluación 1.</dc:description>
  <cp:lastModifiedBy>Equipo Kiran</cp:lastModifiedBy>
  <cp:revision>1</cp:revision>
  <dcterms:created xsi:type="dcterms:W3CDTF">2013-12-23T23:15:00Z</dcterms:created>
  <dcterms:modified xsi:type="dcterms:W3CDTF">2013-12-23T23:15:00Z</dcterms:modified>
  <cp:category/>
</cp:coreProperties>
</file>