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072"/>
      </w:tblGrid>
      <w:tr>
        <w:tc>
          <w:tcPr>
            <w:tcW w:type="dxa" w:w="9071"/>
            <w:shd w:fill="10263D" w:val="clear"/>
            <w:tcMar>
              <w:top w:w="0" w:type="dxa"/>
              <w:bottom w:w="0" w:type="dxa"/>
              <w:left w:w="0" w:type="dxa"/>
              <w:right w:w="0" w:type="dxa"/>
            </w:tcMar>
          </w:tcPr>
          <w:p>
            <w:pPr>
              <w:spacing w:before="0" w:after="0" w:line="240" w:lineRule="auto"/>
            </w:pPr>
            <w:r>
              <w:rPr>
                <w:rFonts w:ascii="Times New Roman" w:hAnsi="Times New Roman" w:cs="Times New Roman" w:eastAsia="Times New Roman"/>
                <w:b w:val="0"/>
                <w:i w:val="0"/>
                <w:sz w:val="24"/>
              </w:rPr>
              <w:t xml:space="preserve"> </w:t>
            </w:r>
          </w:p>
        </w:tc>
      </w:tr>
    </w:tbl>
    <w:p>
      <w:pPr>
        <w:spacing w:before="0" w:after="0" w:line="240" w:lineRule="auto"/>
      </w:pPr>
    </w:p>
    <w:tbl>
      <w:tblPr>
        <w:tblW w:type="auto" w:w="0"/>
        <w:jc w:val="center"/>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072"/>
      </w:tblGrid>
      <w:tr>
        <w:tc>
          <w:tcPr>
            <w:tcW w:type="dxa" w:w="9071"/>
            <w:shd w:fill="E59A24" w:val="clear"/>
            <w:tcMar>
              <w:top w:w="0" w:type="dxa"/>
              <w:bottom w:w="0" w:type="dxa"/>
              <w:left w:w="0" w:type="dxa"/>
              <w:right w:w="0" w:type="dxa"/>
            </w:tcMar>
          </w:tcPr>
          <w:p>
            <w:pPr>
              <w:spacing w:before="0" w:after="0" w:line="240" w:lineRule="auto"/>
            </w:pPr>
            <w:r>
              <w:rPr>
                <w:rFonts w:ascii="Times New Roman" w:hAnsi="Times New Roman" w:cs="Times New Roman" w:eastAsia="Times New Roman"/>
                <w:b w:val="0"/>
                <w:i w:val="0"/>
                <w:sz w:val="10"/>
              </w:rPr>
              <w:t xml:space="preserve"> </w:t>
            </w:r>
          </w:p>
        </w:tc>
      </w:tr>
    </w:tbl>
    <w:p>
      <w:pPr>
        <w:spacing w:before="0" w:after="0" w:line="240" w:lineRule="auto"/>
      </w:pPr>
    </w:p>
    <w:p>
      <w:pPr>
        <w:spacing w:before="560" w:after="0"/>
      </w:pPr>
    </w:p>
    <w:p>
      <w:pPr>
        <w:spacing w:after="200"/>
        <w:ind w:firstLine="0"/>
        <w:jc w:val="center"/>
      </w:pPr>
      <w:r>
        <w:drawing>
          <wp:inline xmlns:a="http://schemas.openxmlformats.org/drawingml/2006/main" xmlns:pic="http://schemas.openxmlformats.org/drawingml/2006/picture">
            <wp:extent cx="1368000" cy="1368000"/>
            <wp:docPr id="1" name="Picture 1"/>
            <wp:cNvGraphicFramePr>
              <a:graphicFrameLocks noChangeAspect="1"/>
            </wp:cNvGraphicFramePr>
            <a:graphic>
              <a:graphicData uri="http://schemas.openxmlformats.org/drawingml/2006/picture">
                <pic:pic>
                  <pic:nvPicPr>
                    <pic:cNvPr id="0" name="kiran-isotipo.png"/>
                    <pic:cNvPicPr/>
                  </pic:nvPicPr>
                  <pic:blipFill>
                    <a:blip r:embed="rId13"/>
                    <a:stretch>
                      <a:fillRect/>
                    </a:stretch>
                  </pic:blipFill>
                  <pic:spPr>
                    <a:xfrm>
                      <a:off x="0" y="0"/>
                      <a:ext cx="1368000" cy="1368000"/>
                    </a:xfrm>
                    <a:prstGeom prst="rect"/>
                  </pic:spPr>
                </pic:pic>
              </a:graphicData>
            </a:graphic>
          </wp:inline>
        </w:drawing>
      </w:r>
    </w:p>
    <w:p>
      <w:pPr>
        <w:spacing w:after="80"/>
        <w:ind w:firstLine="0"/>
        <w:jc w:val="center"/>
      </w:pPr>
      <w:r>
        <w:rPr>
          <w:rFonts w:ascii="Arial" w:hAnsi="Arial" w:cs="Arial" w:eastAsia="Arial"/>
          <w:b/>
          <w:i w:val="0"/>
          <w:color w:val="10263D"/>
          <w:sz w:val="56"/>
        </w:rPr>
        <w:t>KIRAN</w:t>
      </w:r>
    </w:p>
    <w:p>
      <w:pPr>
        <w:spacing w:after="360"/>
        <w:ind w:firstLine="0"/>
        <w:jc w:val="center"/>
      </w:pPr>
      <w:r>
        <w:rPr>
          <w:rFonts w:ascii="Times New Roman" w:hAnsi="Times New Roman" w:cs="Times New Roman" w:eastAsia="Times New Roman"/>
          <w:b w:val="0"/>
          <w:i/>
          <w:color w:val="10263D"/>
          <w:sz w:val="26"/>
        </w:rPr>
        <w:t>Visibilidad que mantiene la energía activa.</w:t>
      </w:r>
    </w:p>
    <w:p>
      <w:pPr>
        <w:spacing w:after="40"/>
        <w:ind w:firstLine="0"/>
        <w:jc w:val="center"/>
      </w:pPr>
      <w:r>
        <w:rPr>
          <w:rFonts w:ascii="Arial" w:hAnsi="Arial" w:cs="Arial" w:eastAsia="Arial"/>
          <w:b/>
          <w:i w:val="0"/>
          <w:color w:val="E59A24"/>
          <w:sz w:val="22"/>
        </w:rPr>
        <w:t>INFORME EJECUTIVO</w:t>
      </w:r>
    </w:p>
    <w:p>
      <w:pPr>
        <w:spacing w:after="80"/>
        <w:ind w:firstLine="0"/>
        <w:jc w:val="center"/>
      </w:pPr>
      <w:r>
        <w:rPr>
          <w:rFonts w:ascii="Times New Roman" w:hAnsi="Times New Roman" w:cs="Times New Roman" w:eastAsia="Times New Roman"/>
          <w:b/>
          <w:i w:val="0"/>
          <w:color w:val="10263D"/>
          <w:sz w:val="32"/>
        </w:rPr>
        <w:t xml:space="preserve">Monitoreo y control del proyecto Kiran</w:t>
      </w:r>
    </w:p>
    <w:p>
      <w:pPr>
        <w:spacing w:after="280"/>
        <w:ind w:firstLine="0"/>
        <w:jc w:val="center"/>
      </w:pPr>
      <w:r>
        <w:rPr>
          <w:rFonts w:ascii="Times New Roman" w:hAnsi="Times New Roman" w:cs="Times New Roman" w:eastAsia="Times New Roman"/>
          <w:b w:val="0"/>
          <w:i w:val="0"/>
          <w:color w:val="555555"/>
          <w:sz w:val="22"/>
        </w:rPr>
        <w:t>Empresa social de energía solar comunitaria. Comunidad piloto, India</w:t>
      </w:r>
    </w:p>
    <w:p>
      <w:pPr>
        <w:spacing w:after="360"/>
        <w:ind w:firstLine="0"/>
        <w:jc w:val="center"/>
      </w:pPr>
      <w:r>
        <w:rPr>
          <w:rFonts w:ascii="Times New Roman" w:hAnsi="Times New Roman" w:cs="Times New Roman" w:eastAsia="Times New Roman"/>
          <w:b w:val="0"/>
          <w:i w:val="0"/>
          <w:color w:val="10263D"/>
          <w:sz w:val="24"/>
        </w:rPr>
        <w:t xml:space="preserve">14 de septiembre de 2026 a 9 de diciembre de 2026. Techo aprobado: US$ 20.700</w:t>
      </w:r>
    </w:p>
    <w:tbl>
      <w:tblPr>
        <w:tblStyle w:val="TableGrid"/>
        <w:tblW w:type="dxa" w:w="9072"/>
        <w:jc w:val="center"/>
        <w:tblLayout w:type="fixed"/>
        <w:tblLook w:firstColumn="1" w:firstRow="1" w:lastColumn="0" w:lastRow="0" w:noHBand="0" w:noVBand="1" w:val="04A0"/>
      </w:tblPr>
      <w:tblGrid>
        <w:gridCol w:w="3912"/>
        <w:gridCol w:w="5159"/>
      </w:tblGrid>
      <w:tr>
        <w:trPr>
          <w:cantSplit/>
          <w:tblHeader/>
        </w:trPr>
        <w:tc>
          <w:tcPr>
            <w:tcW w:type="dxa" w:w="3912"/>
            <w:shd w:fill="10263D" w:val="clear"/>
          </w:tcPr>
          <w:p>
            <w:pPr>
              <w:keepNext/>
              <w:spacing w:after="0" w:before="0" w:line="360" w:lineRule="auto"/>
            </w:pPr>
            <w:r>
              <w:rPr>
                <w:sz w:val="24"/>
              </w:rPr>
            </w:r>
            <w:r>
              <w:rPr>
                <w:rFonts w:ascii="Times New Roman" w:hAnsi="Times New Roman" w:cs="Times New Roman" w:eastAsia="Times New Roman"/>
                <w:b/>
                <w:i w:val="0"/>
                <w:color w:val="FFFFFF"/>
                <w:sz w:val="24"/>
              </w:rPr>
              <w:t>Equipo</w:t>
            </w:r>
          </w:p>
        </w:tc>
        <w:tc>
          <w:tcPr>
            <w:tcW w:type="dxa" w:w="5158"/>
            <w:shd w:fill="10263D" w:val="clear"/>
          </w:tcPr>
          <w:p>
            <w:pPr>
              <w:keepNext/>
              <w:spacing w:after="0" w:before="0" w:line="360" w:lineRule="auto"/>
            </w:pPr>
            <w:r>
              <w:rPr>
                <w:sz w:val="24"/>
              </w:rPr>
            </w:r>
            <w:r>
              <w:rPr>
                <w:rFonts w:ascii="Times New Roman" w:hAnsi="Times New Roman" w:cs="Times New Roman" w:eastAsia="Times New Roman"/>
                <w:b/>
                <w:i w:val="0"/>
                <w:color w:val="FFFFFF"/>
                <w:sz w:val="24"/>
              </w:rPr>
              <w:t>Rol en el piloto</w:t>
            </w:r>
          </w:p>
        </w:tc>
      </w:tr>
      <w:tr>
        <w:trPr>
          <w:cantSplit/>
        </w:trPr>
        <w:tc>
          <w:tcPr>
            <w:tcW w:type="dxa" w:w="3912"/>
          </w:tcPr>
          <w:p>
            <w:pPr>
              <w:spacing w:after="0" w:before="0" w:line="360" w:lineRule="auto"/>
            </w:pPr>
            <w:r>
              <w:rPr>
                <w:sz w:val="24"/>
              </w:rPr>
            </w:r>
            <w:r>
              <w:rPr>
                <w:rFonts w:ascii="Times New Roman" w:hAnsi="Times New Roman" w:cs="Times New Roman" w:eastAsia="Times New Roman"/>
                <w:b w:val="0"/>
                <w:i w:val="0"/>
                <w:sz w:val="24"/>
              </w:rPr>
              <w:t>Giannina Guerrero</w:t>
            </w:r>
          </w:p>
        </w:tc>
        <w:tc>
          <w:tcPr>
            <w:tcW w:type="dxa" w:w="5158"/>
          </w:tcPr>
          <w:p>
            <w:pPr>
              <w:spacing w:after="0" w:before="0" w:line="360" w:lineRule="auto"/>
            </w:pPr>
            <w:r>
              <w:rPr>
                <w:sz w:val="24"/>
              </w:rPr>
            </w:r>
            <w:r>
              <w:rPr>
                <w:rFonts w:ascii="Times New Roman" w:hAnsi="Times New Roman" w:cs="Times New Roman" w:eastAsia="Times New Roman"/>
                <w:b w:val="0"/>
                <w:i w:val="0"/>
                <w:sz w:val="24"/>
              </w:rPr>
              <w:t>Directora del proyecto y frontend</w:t>
            </w:r>
          </w:p>
        </w:tc>
      </w:tr>
      <w:tr>
        <w:trPr>
          <w:cantSplit/>
        </w:trPr>
        <w:tc>
          <w:tcPr>
            <w:tcW w:type="dxa" w:w="3912"/>
            <w:shd w:fill="F2F2F2" w:val="clear"/>
          </w:tcPr>
          <w:p>
            <w:pPr>
              <w:spacing w:after="0" w:before="0" w:line="360" w:lineRule="auto"/>
            </w:pPr>
            <w:r>
              <w:rPr>
                <w:sz w:val="24"/>
              </w:rPr>
            </w:r>
            <w:r>
              <w:rPr>
                <w:rFonts w:ascii="Times New Roman" w:hAnsi="Times New Roman" w:cs="Times New Roman" w:eastAsia="Times New Roman"/>
                <w:b w:val="0"/>
                <w:i w:val="0"/>
                <w:sz w:val="24"/>
              </w:rPr>
              <w:t>Nicolás Barra</w:t>
            </w:r>
          </w:p>
        </w:tc>
        <w:tc>
          <w:tcPr>
            <w:tcW w:type="dxa" w:w="5158"/>
            <w:shd w:fill="F2F2F2" w:val="clear"/>
          </w:tcPr>
          <w:p>
            <w:pPr>
              <w:spacing w:after="0" w:before="0" w:line="360" w:lineRule="auto"/>
            </w:pPr>
            <w:r>
              <w:rPr>
                <w:sz w:val="24"/>
              </w:rPr>
            </w:r>
            <w:r>
              <w:rPr>
                <w:rFonts w:ascii="Times New Roman" w:hAnsi="Times New Roman" w:cs="Times New Roman" w:eastAsia="Times New Roman"/>
                <w:b w:val="0"/>
                <w:i w:val="0"/>
                <w:sz w:val="24"/>
              </w:rPr>
              <w:t>Backend e inventario</w:t>
            </w:r>
          </w:p>
        </w:tc>
      </w:tr>
      <w:tr>
        <w:trPr>
          <w:cantSplit/>
        </w:trPr>
        <w:tc>
          <w:tcPr>
            <w:tcW w:type="dxa" w:w="3912"/>
          </w:tcPr>
          <w:p>
            <w:pPr>
              <w:spacing w:after="0" w:before="0" w:line="360" w:lineRule="auto"/>
            </w:pPr>
            <w:r>
              <w:rPr>
                <w:sz w:val="24"/>
              </w:rPr>
            </w:r>
            <w:r>
              <w:rPr>
                <w:rFonts w:ascii="Times New Roman" w:hAnsi="Times New Roman" w:cs="Times New Roman" w:eastAsia="Times New Roman"/>
                <w:b w:val="0"/>
                <w:i w:val="0"/>
                <w:sz w:val="24"/>
              </w:rPr>
              <w:t>Ari Araya</w:t>
            </w:r>
          </w:p>
        </w:tc>
        <w:tc>
          <w:tcPr>
            <w:tcW w:type="dxa" w:w="5158"/>
          </w:tcPr>
          <w:p>
            <w:pPr>
              <w:spacing w:after="0" w:before="0" w:line="360" w:lineRule="auto"/>
            </w:pPr>
            <w:r>
              <w:rPr>
                <w:sz w:val="24"/>
              </w:rPr>
            </w:r>
            <w:r>
              <w:rPr>
                <w:rFonts w:ascii="Times New Roman" w:hAnsi="Times New Roman" w:cs="Times New Roman" w:eastAsia="Times New Roman"/>
                <w:b w:val="0"/>
                <w:i w:val="0"/>
                <w:sz w:val="24"/>
              </w:rPr>
              <w:t>Infraestructura y nube</w:t>
            </w:r>
          </w:p>
        </w:tc>
      </w:tr>
      <w:tr>
        <w:trPr>
          <w:cantSplit/>
        </w:trPr>
        <w:tc>
          <w:tcPr>
            <w:tcW w:type="dxa" w:w="3912"/>
            <w:shd w:fill="F2F2F2" w:val="clear"/>
          </w:tcPr>
          <w:p>
            <w:pPr>
              <w:spacing w:after="0" w:before="0" w:line="360" w:lineRule="auto"/>
            </w:pPr>
            <w:r>
              <w:rPr>
                <w:sz w:val="24"/>
              </w:rPr>
            </w:r>
            <w:r>
              <w:rPr>
                <w:rFonts w:ascii="Times New Roman" w:hAnsi="Times New Roman" w:cs="Times New Roman" w:eastAsia="Times New Roman"/>
                <w:b w:val="0"/>
                <w:i w:val="0"/>
                <w:sz w:val="24"/>
              </w:rPr>
              <w:t>Skarlett Tropan</w:t>
            </w:r>
          </w:p>
        </w:tc>
        <w:tc>
          <w:tcPr>
            <w:tcW w:type="dxa" w:w="5158"/>
            <w:shd w:fill="F2F2F2" w:val="clear"/>
          </w:tcPr>
          <w:p>
            <w:pPr>
              <w:spacing w:after="0" w:before="0" w:line="360" w:lineRule="auto"/>
            </w:pPr>
            <w:r>
              <w:rPr>
                <w:sz w:val="24"/>
              </w:rPr>
            </w:r>
            <w:r>
              <w:rPr>
                <w:rFonts w:ascii="Times New Roman" w:hAnsi="Times New Roman" w:cs="Times New Roman" w:eastAsia="Times New Roman"/>
                <w:b w:val="0"/>
                <w:i w:val="0"/>
                <w:sz w:val="24"/>
              </w:rPr>
              <w:t>Calidad e impacto</w:t>
            </w:r>
          </w:p>
        </w:tc>
      </w:tr>
    </w:tbl>
    <w:p>
      <w:pPr>
        <w:spacing w:after="80"/>
      </w:pPr>
    </w:p>
    <w:p>
      <w:pPr>
        <w:spacing w:before="360" w:after="40"/>
        <w:ind w:firstLine="0"/>
        <w:jc w:val="center"/>
      </w:pPr>
      <w:r>
        <w:rPr>
          <w:rFonts w:ascii="Times New Roman" w:hAnsi="Times New Roman" w:cs="Times New Roman" w:eastAsia="Times New Roman"/>
          <w:b w:val="0"/>
          <w:i w:val="0"/>
          <w:color w:val="555555"/>
          <w:sz w:val="20"/>
        </w:rPr>
        <w:t>GPY1102 Gestión de Proyectos de Software  ·  Docente: Juan Bautista Sáez Fernández</w:t>
      </w:r>
    </w:p>
    <w:p>
      <w:pPr>
        <w:spacing w:after="200"/>
        <w:ind w:firstLine="0"/>
        <w:jc w:val="center"/>
      </w:pPr>
      <w:r>
        <w:rPr>
          <w:rFonts w:ascii="Times New Roman" w:hAnsi="Times New Roman" w:cs="Times New Roman" w:eastAsia="Times New Roman"/>
          <w:b w:val="0"/>
          <w:i w:val="0"/>
          <w:color w:val="555555"/>
          <w:sz w:val="20"/>
        </w:rPr>
        <w:t xml:space="preserve">Duoc UC · Sede Puente Alto · jornada vespertina · Sección: </w:t>
      </w:r>
      <w:r>
        <w:rPr>
          <w:rFonts w:ascii="Times New Roman" w:hAnsi="Times New Roman" w:cs="Times New Roman" w:eastAsia="Times New Roman"/>
          <w:b w:val="0"/>
          <w:i w:val="0"/>
          <w:color w:val="555555"/>
          <w:sz w:val="20"/>
        </w:rPr>
        <w:t>001-V</w:t>
      </w:r>
    </w:p>
    <w:p>
      <w:pPr>
        <w:spacing w:before="160"/>
        <w:ind w:firstLine="0"/>
        <w:jc w:val="center"/>
      </w:pPr>
      <w:r>
        <w:rPr>
          <w:rFonts w:ascii="Times New Roman" w:hAnsi="Times New Roman" w:cs="Times New Roman" w:eastAsia="Times New Roman"/>
          <w:b w:val="0"/>
          <w:i/>
          <w:color w:val="555555"/>
          <w:sz w:val="20"/>
        </w:rPr>
        <w:t>Informe ejecutivo del Equipo Kiran</w:t>
      </w:r>
    </w:p>
    <w:p>
      <w:pPr>
        <w:sectPr>
          <w:headerReference w:type="default" r:id="rId14"/>
          <w:footerReference w:type="default" r:id="rId15"/>
          <w:pgSz w:w="11906" w:h="16838"/>
          <w:pgMar w:top="1417" w:right="1417" w:bottom="1417" w:left="1417" w:header="720" w:footer="720" w:gutter="0"/>
          <w:cols w:space="720"/>
          <w:docGrid w:linePitch="360"/>
        </w:sectPr>
      </w:pPr>
    </w:p>
    <w:p>
      <w:pPr>
        <w:spacing w:line="276" w:lineRule="auto" w:after="80" w:before="200"/>
        <w:jc w:val="left"/>
        <w:pBdr>
          <w:bottom w:val="single" w:sz="8" w:space="6" w:color="10263D"/>
        </w:pBdr>
      </w:pPr>
      <w:r>
        <w:rPr>
          <w:rFonts w:ascii="Times New Roman" w:hAnsi="Times New Roman" w:eastAsia="Times New Roman" w:cs="Times New Roman"/>
          <w:b/>
          <w:i w:val="0"/>
          <w:color w:val="10263D"/>
          <w:sz w:val="26"/>
        </w:rPr>
        <w:t>Identificación del proyecto</w:t>
      </w:r>
    </w:p>
    <w:tbl>
      <w:tblPr>
        <w:tblStyle w:val="TableGrid"/>
        <w:tblW w:type="dxa" w:w="9072"/>
        <w:tblLook w:firstColumn="1" w:firstRow="1" w:lastColumn="0" w:lastRow="0" w:noHBand="0" w:noVBand="1" w:val="04A0"/>
        <w:tblLayout w:type="fixed"/>
      </w:tblPr>
      <w:tblGrid>
        <w:gridCol w:w="2635"/>
        <w:gridCol w:w="6436"/>
      </w:tblGrid>
      <w:tr>
        <w:trPr>
          <w:cantSplit/>
          <w:tblHeader/>
        </w:trPr>
        <w:tc>
          <w:tcPr>
            <w:tcW w:type="dxa" w:w="2635"/>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Campo</w:t>
            </w:r>
          </w:p>
        </w:tc>
        <w:tc>
          <w:tcPr>
            <w:tcW w:type="dxa" w:w="6435"/>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Contenido</w:t>
            </w:r>
          </w:p>
        </w:tc>
      </w:tr>
      <w:tr>
        <w:trPr>
          <w:cantSplit/>
        </w:trPr>
        <w:tc>
          <w:tcPr>
            <w:tcW w:type="dxa" w:w="26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Docente</w:t>
            </w:r>
          </w:p>
        </w:tc>
        <w:tc>
          <w:tcPr>
            <w:tcW w:type="dxa" w:w="6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Juan Bautista Sáez Fernández</w:t>
            </w:r>
          </w:p>
        </w:tc>
      </w:tr>
      <w:tr>
        <w:trPr>
          <w:cantSplit/>
        </w:trPr>
        <w:tc>
          <w:tcPr>
            <w:tcW w:type="dxa" w:w="26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Sección</w:t>
            </w:r>
          </w:p>
        </w:tc>
        <w:tc>
          <w:tcPr>
            <w:tcW w:type="dxa" w:w="6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001-V</w:t>
            </w:r>
          </w:p>
        </w:tc>
      </w:tr>
      <w:tr>
        <w:trPr>
          <w:cantSplit/>
        </w:trPr>
        <w:tc>
          <w:tcPr>
            <w:tcW w:type="dxa" w:w="26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Sede</w:t>
            </w:r>
          </w:p>
        </w:tc>
        <w:tc>
          <w:tcPr>
            <w:tcW w:type="dxa" w:w="6435"/>
            <w:shd w:val="clear" w:color="auto" w:fill="FFFFFF"/>
          </w:tcPr>
          <w:p>
            <w:pPr>
              <w:spacing w:line="360" w:lineRule="auto" w:after="0" w:before="0"/>
            </w:pPr>
            <w:r>
              <w:rPr>
                <w:rFonts w:ascii="Times New Roman" w:hAnsi="Times New Roman" w:cs="Times New Roman" w:eastAsia="Times New Roman"/>
                <w:sz w:val="24"/>
              </w:rPr>
              <w:t>Puente Alto, jornada vespertina</w:t>
            </w:r>
            <w:r>
              <w:rPr>
                <w:rFonts w:ascii="Times New Roman" w:hAnsi="Times New Roman" w:eastAsia="Times New Roman" w:cs="Times New Roman"/>
                <w:b w:val="0"/>
                <w:i w:val="0"/>
                <w:sz w:val="24"/>
                <w:szCs w:val="24"/>
              </w:rPr>
            </w:r>
          </w:p>
        </w:tc>
      </w:tr>
      <w:tr>
        <w:trPr>
          <w:cantSplit/>
        </w:trPr>
        <w:tc>
          <w:tcPr>
            <w:tcW w:type="dxa" w:w="26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Organización</w:t>
            </w:r>
          </w:p>
        </w:tc>
        <w:tc>
          <w:tcPr>
            <w:tcW w:type="dxa" w:w="6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Emprendimiento social con piloto de kits solares; Kiran es el software de operación (no instala paneles)</w:t>
            </w:r>
          </w:p>
        </w:tc>
      </w:tr>
      <w:tr>
        <w:trPr>
          <w:cantSplit/>
        </w:trPr>
        <w:tc>
          <w:tcPr>
            <w:tcW w:type="dxa" w:w="26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Alcance del producto</w:t>
            </w:r>
          </w:p>
        </w:tc>
        <w:tc>
          <w:tcPr>
            <w:tcW w:type="dxa" w:w="6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Inventario, tablero operativo, tickets de mantención, reportes de impacto, roles y tratamiento de datos</w:t>
            </w:r>
          </w:p>
        </w:tc>
      </w:tr>
      <w:tr>
        <w:trPr>
          <w:cantSplit/>
        </w:trPr>
        <w:tc>
          <w:tcPr>
            <w:tcW w:type="dxa" w:w="26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Equipo</w:t>
            </w:r>
          </w:p>
        </w:tc>
        <w:tc>
          <w:tcPr>
            <w:tcW w:type="dxa" w:w="6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Equipo Kiran: Giannina Guerrero (directora del proyecto y frontend); Nicolás Barra (backend e inventario); Ari Araya (infraestructura y nube); Skarlett Tropan (calidad e impacto)</w:t>
            </w:r>
          </w:p>
        </w:tc>
      </w:tr>
      <w:tr>
        <w:trPr>
          <w:cantSplit/>
        </w:trPr>
        <w:tc>
          <w:tcPr>
            <w:tcW w:type="dxa" w:w="26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Periodo del piloto</w:t>
            </w:r>
          </w:p>
        </w:tc>
        <w:tc>
          <w:tcPr>
            <w:tcW w:type="dxa" w:w="6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14 de septiembre de 2026 – 9 de diciembre de 2026</w:t>
            </w:r>
          </w:p>
        </w:tc>
      </w:tr>
      <w:tr>
        <w:trPr>
          <w:cantSplit/>
        </w:trPr>
        <w:tc>
          <w:tcPr>
            <w:tcW w:type="dxa" w:w="26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Presupuesto de referencia</w:t>
            </w:r>
          </w:p>
        </w:tc>
        <w:tc>
          <w:tcPr>
            <w:tcW w:type="dxa" w:w="6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US$ 20.700 (techo aprobado, línea base); US$ 21.040 (techo solicitado para el módulo de asistencia con IA, sujeto a aprobación de dirección)</w:t>
            </w:r>
          </w:p>
        </w:tc>
      </w:tr>
      <w:tr>
        <w:trPr>
          <w:cantSplit/>
        </w:trPr>
        <w:tc>
          <w:tcPr>
            <w:tcW w:type="dxa" w:w="26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Restricciones</w:t>
            </w:r>
          </w:p>
        </w:tc>
        <w:tc>
          <w:tcPr>
            <w:tcW w:type="dxa" w:w="6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Cuatro integrantes del equipo de desarrollo; técnico local de 0,4 FTE; conectividad irregular; techo y cortes fijos</w:t>
            </w:r>
          </w:p>
        </w:tc>
      </w:tr>
      <w:tr>
        <w:trPr>
          <w:cantSplit/>
        </w:trPr>
        <w:tc>
          <w:tcPr>
            <w:tcW w:type="dxa" w:w="26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Objeto del informe</w:t>
            </w:r>
          </w:p>
        </w:tc>
        <w:tc>
          <w:tcPr>
            <w:tcW w:type="dxa" w:w="6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Monitoreo y control; gestión de cambios; asignación de recursos; estado para partes interesadas</w:t>
            </w:r>
          </w:p>
        </w:tc>
      </w:tr>
    </w:tbl>
    <w:p>
      <w:pPr>
        <w:spacing w:before="40" w:after="160" w:line="240" w:lineRule="auto"/>
        <w:ind w:firstLine="0"/>
        <w:jc w:val="center"/>
      </w:pPr>
      <w:r>
        <w:rPr>
          <w:rFonts w:ascii="Times New Roman" w:hAnsi="Times New Roman" w:cs="Times New Roman" w:eastAsia="Times New Roman"/>
          <w:b w:val="0"/>
          <w:i/>
          <w:color w:val="444444"/>
          <w:sz w:val="18"/>
        </w:rPr>
        <w:t>Tabla 1. Identificación del proyecto.</w:t>
      </w:r>
    </w:p>
    <w:p/>
    <w:p>
      <w:pPr>
        <w:spacing w:line="360" w:lineRule="auto" w:after="120" w:before="0"/>
        <w:jc w:val="both"/>
      </w:pPr>
      <w:r>
        <w:rPr>
          <w:rFonts w:ascii="Times New Roman" w:hAnsi="Times New Roman" w:eastAsia="Times New Roman" w:cs="Times New Roman"/>
          <w:b w:val="0"/>
          <w:i w:val="0"/>
          <w:sz w:val="24"/>
        </w:rPr>
        <w:t>En este informe revisamos el estado del proyecto Kiran en cuatro partes: (1) el sistema de monitoreo y control, con sus flujos e hitos; (2) la gestión de los cambios e imprevistos y su efecto sobre el plan; (3) la asignación de recursos que sostiene el piloto, y (4) el estado del proyecto y las cifras que necesitan las partes interesadas para decidir.</w:t>
      </w:r>
    </w:p>
    <w:p>
      <w:pPr>
        <w:spacing w:line="276" w:lineRule="auto" w:after="80" w:before="200"/>
        <w:jc w:val="left"/>
        <w:keepNext/>
        <w:pBdr>
          <w:bottom w:val="single" w:sz="8" w:space="6" w:color="10263D"/>
        </w:pBdr>
      </w:pPr>
      <w:r>
        <w:rPr>
          <w:rFonts w:ascii="Times New Roman" w:hAnsi="Times New Roman" w:eastAsia="Times New Roman" w:cs="Times New Roman"/>
          <w:b/>
          <w:i w:val="0"/>
          <w:color w:val="10263D"/>
          <w:sz w:val="26"/>
        </w:rPr>
        <w:t>1. Sistema de monitoreo y control</w:t>
      </w:r>
    </w:p>
    <w:p>
      <w:pPr>
        <w:keepNext/>
        <w:spacing w:line="360" w:lineRule="auto" w:after="60" w:before="160"/>
      </w:pPr>
      <w:r>
        <w:rPr>
          <w:rFonts w:ascii="Times New Roman" w:hAnsi="Times New Roman" w:eastAsia="Times New Roman" w:cs="Times New Roman"/>
          <w:b/>
          <w:i w:val="0"/>
          <w:color w:val="10263D"/>
          <w:sz w:val="24"/>
        </w:rPr>
        <w:t>1.1 Propósito</w:t>
      </w:r>
    </w:p>
    <w:p>
      <w:pPr>
        <w:spacing w:line="360" w:lineRule="auto" w:after="120" w:before="0"/>
        <w:jc w:val="both"/>
      </w:pPr>
      <w:r>
        <w:rPr>
          <w:rFonts w:ascii="Times New Roman" w:hAnsi="Times New Roman" w:eastAsia="Times New Roman" w:cs="Times New Roman"/>
          <w:b w:val="0"/>
          <w:i w:val="0"/>
          <w:sz w:val="24"/>
        </w:rPr>
        <w:t>El sistema de monitoreo y control tiene por objeto resguardar la planificación e integración del piloto: verificar el avance respecto de los hitos, detectar desvíos de alcance, tiempo, costo y calidad, y entregar información única a dirección y contraparte. Sus resultados sirven de base para decidir si el trabajo continúa según lo planificado, si se replanifica o si se detiene un gasto no autorizado.</w:t>
      </w:r>
    </w:p>
    <w:p>
      <w:pPr>
        <w:keepNext/>
        <w:spacing w:line="360" w:lineRule="auto" w:after="60" w:before="160"/>
      </w:pPr>
      <w:r>
        <w:rPr>
          <w:rFonts w:ascii="Times New Roman" w:hAnsi="Times New Roman" w:eastAsia="Times New Roman" w:cs="Times New Roman"/>
          <w:b/>
          <w:i w:val="0"/>
          <w:color w:val="10263D"/>
          <w:sz w:val="24"/>
        </w:rPr>
        <w:t>1.2 Componentes e interacción</w:t>
      </w:r>
    </w:p>
    <w:tbl>
      <w:tblPr>
        <w:tblStyle w:val="TableGrid"/>
        <w:tblW w:type="dxa" w:w="9072"/>
        <w:tblLook w:firstColumn="1" w:firstRow="1" w:lastColumn="0" w:lastRow="0" w:noHBand="0" w:noVBand="1" w:val="04A0"/>
        <w:tblLayout w:type="fixed"/>
      </w:tblPr>
      <w:tblGrid>
        <w:gridCol w:w="2116"/>
        <w:gridCol w:w="2801"/>
        <w:gridCol w:w="2381"/>
        <w:gridCol w:w="1771"/>
      </w:tblGrid>
      <w:tr>
        <w:trPr>
          <w:cantSplit/>
          <w:tblHeader/>
        </w:trPr>
        <w:tc>
          <w:tcPr>
            <w:tcW w:type="dxa" w:w="211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Componente</w:t>
            </w:r>
          </w:p>
        </w:tc>
        <w:tc>
          <w:tcPr>
            <w:tcW w:type="dxa" w:w="2801"/>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Función</w:t>
            </w:r>
          </w:p>
        </w:tc>
        <w:tc>
          <w:tcPr>
            <w:tcW w:type="dxa" w:w="2381"/>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Responsable</w:t>
            </w:r>
          </w:p>
        </w:tc>
        <w:tc>
          <w:tcPr>
            <w:tcW w:type="dxa" w:w="1772"/>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Periodicidad</w:t>
            </w:r>
          </w:p>
        </w:tc>
      </w:tr>
      <w:tr>
        <w:trPr>
          <w:cantSplit/>
        </w:trPr>
        <w:tc>
          <w:tcPr>
            <w:tcW w:type="dxa" w:w="211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Project Libre</w:t>
            </w:r>
          </w:p>
        </w:tc>
        <w:tc>
          <w:tcPr>
            <w:tcW w:type="dxa" w:w="280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Fechas, ruta crítica, desvíos de hito</w:t>
            </w:r>
          </w:p>
        </w:tc>
        <w:tc>
          <w:tcPr>
            <w:tcW w:type="dxa" w:w="238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Dirección del proyecto; backend e inventario</w:t>
            </w:r>
          </w:p>
        </w:tc>
        <w:tc>
          <w:tcPr>
            <w:tcW w:type="dxa" w:w="1772"/>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Por sprint y en cada hito</w:t>
            </w:r>
          </w:p>
        </w:tc>
      </w:tr>
      <w:tr>
        <w:trPr>
          <w:cantSplit/>
        </w:trPr>
        <w:tc>
          <w:tcPr>
            <w:tcW w:type="dxa" w:w="211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Trello</w:t>
            </w:r>
          </w:p>
        </w:tc>
        <w:tc>
          <w:tcPr>
            <w:tcW w:type="dxa" w:w="280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Compromiso de sprint, trabajo en curso, bloqueos</w:t>
            </w:r>
          </w:p>
        </w:tc>
        <w:tc>
          <w:tcPr>
            <w:tcW w:type="dxa" w:w="238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Equipo; dirección en reasignaciones</w:t>
            </w:r>
          </w:p>
        </w:tc>
        <w:tc>
          <w:tcPr>
            <w:tcW w:type="dxa" w:w="1772"/>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Continuo</w:t>
            </w:r>
          </w:p>
        </w:tc>
      </w:tr>
      <w:tr>
        <w:trPr>
          <w:cantSplit/>
        </w:trPr>
        <w:tc>
          <w:tcPr>
            <w:tcW w:type="dxa" w:w="211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Excel financiero y consola de nube</w:t>
            </w:r>
          </w:p>
        </w:tc>
        <w:tc>
          <w:tcPr>
            <w:tcW w:type="dxa" w:w="280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Gasto acumulado, alertas, topes de API</w:t>
            </w:r>
          </w:p>
        </w:tc>
        <w:tc>
          <w:tcPr>
            <w:tcW w:type="dxa" w:w="238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Infraestructura y nube</w:t>
            </w:r>
          </w:p>
        </w:tc>
        <w:tc>
          <w:tcPr>
            <w:tcW w:type="dxa" w:w="1772"/>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Quincenal</w:t>
            </w:r>
          </w:p>
        </w:tc>
      </w:tr>
      <w:tr>
        <w:trPr>
          <w:cantSplit/>
        </w:trPr>
        <w:tc>
          <w:tcPr>
            <w:tcW w:type="dxa" w:w="211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Indicadores estratégicos</w:t>
            </w:r>
          </w:p>
        </w:tc>
        <w:tc>
          <w:tcPr>
            <w:tcW w:type="dxa" w:w="280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Lectura consolidada para dirección</w:t>
            </w:r>
          </w:p>
        </w:tc>
        <w:tc>
          <w:tcPr>
            <w:tcW w:type="dxa" w:w="238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Dirección</w:t>
            </w:r>
          </w:p>
        </w:tc>
        <w:tc>
          <w:tcPr>
            <w:tcW w:type="dxa" w:w="1772"/>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En cada hito</w:t>
            </w:r>
          </w:p>
        </w:tc>
      </w:tr>
      <w:tr>
        <w:trPr>
          <w:cantSplit/>
        </w:trPr>
        <w:tc>
          <w:tcPr>
            <w:tcW w:type="dxa" w:w="211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Indicadores operativos</w:t>
            </w:r>
          </w:p>
        </w:tc>
        <w:tc>
          <w:tcPr>
            <w:tcW w:type="dxa" w:w="280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Detección temprana de calidad, capacidad y operación</w:t>
            </w:r>
          </w:p>
        </w:tc>
        <w:tc>
          <w:tcPr>
            <w:tcW w:type="dxa" w:w="238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Calidad e impacto; backend e inventario; dirección del proyecto</w:t>
            </w:r>
          </w:p>
        </w:tc>
        <w:tc>
          <w:tcPr>
            <w:tcW w:type="dxa" w:w="1772"/>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Semanal o quincenal</w:t>
            </w:r>
          </w:p>
        </w:tc>
      </w:tr>
      <w:tr>
        <w:trPr>
          <w:cantSplit/>
        </w:trPr>
        <w:tc>
          <w:tcPr>
            <w:tcW w:type="dxa" w:w="211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Evaluación de hito por contraparte</w:t>
            </w:r>
          </w:p>
        </w:tc>
        <w:tc>
          <w:tcPr>
            <w:tcW w:type="dxa" w:w="280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Puntaje de aceptación del entregable</w:t>
            </w:r>
          </w:p>
        </w:tc>
        <w:tc>
          <w:tcPr>
            <w:tcW w:type="dxa" w:w="238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Dirección y contraparte</w:t>
            </w:r>
          </w:p>
        </w:tc>
        <w:tc>
          <w:tcPr>
            <w:tcW w:type="dxa" w:w="1772"/>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En cada hito</w:t>
            </w:r>
          </w:p>
        </w:tc>
      </w:tr>
      <w:tr>
        <w:trPr>
          <w:cantSplit/>
        </w:trPr>
        <w:tc>
          <w:tcPr>
            <w:tcW w:type="dxa" w:w="211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Registro formal de cambios</w:t>
            </w:r>
          </w:p>
        </w:tc>
        <w:tc>
          <w:tcPr>
            <w:tcW w:type="dxa" w:w="280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Trazabilidad de solicitudes que alteran línea base</w:t>
            </w:r>
          </w:p>
        </w:tc>
        <w:tc>
          <w:tcPr>
            <w:tcW w:type="dxa" w:w="238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Dirección</w:t>
            </w:r>
          </w:p>
        </w:tc>
        <w:tc>
          <w:tcPr>
            <w:tcW w:type="dxa" w:w="1772"/>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Ante cada solicitud</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2. Componentes del sistema de monitoreo y control y su interacción.</w:t>
      </w:r>
    </w:p>
    <w:p/>
    <w:p>
      <w:pPr>
        <w:spacing w:line="360" w:lineRule="auto" w:after="120" w:before="0"/>
        <w:jc w:val="both"/>
      </w:pPr>
      <w:r>
        <w:rPr>
          <w:rFonts w:ascii="Times New Roman" w:hAnsi="Times New Roman" w:eastAsia="Times New Roman" w:cs="Times New Roman"/>
          <w:b w:val="0"/>
          <w:i w:val="0"/>
          <w:sz w:val="24"/>
        </w:rPr>
        <w:t>Los componentes deben actualizarse de manera coordinada. Si el avance registrado en Trello no se traslada a Project Libre, el plan y la ejecución dejan de coincidir. Si el reporte financiero no se contrasta con el trabajo realizado, la lectura del costo pierde validez. Si un incremento se construye fuera del registro de cambios, el plan inicial deja de representar el compromiso vigente. La Figura 1 resume este flujo de información.</w:t>
      </w:r>
    </w:p>
    <w:p>
      <w:pPr>
        <w:keepNext/>
        <w:spacing w:line="360" w:lineRule="auto" w:after="60" w:before="160"/>
      </w:pPr>
      <w:r>
        <w:rPr>
          <w:rFonts w:ascii="Times New Roman" w:hAnsi="Times New Roman" w:eastAsia="Times New Roman" w:cs="Times New Roman"/>
          <w:b/>
          <w:i w:val="0"/>
          <w:color w:val="10263D"/>
          <w:sz w:val="24"/>
        </w:rPr>
        <w:t>1.3 Representación del flujo de información</w:t>
      </w:r>
    </w:p>
    <w:tbl>
      <w:tblPr>
        <w:tblStyle w:val="TableGrid"/>
        <w:tblW w:type="dxa" w:w="9072"/>
        <w:tblLook w:firstColumn="1" w:firstRow="1" w:lastColumn="0" w:lastRow="0" w:noHBand="0" w:noVBand="1" w:val="04A0"/>
        <w:tblLayout w:type="fixed"/>
      </w:tblPr>
      <w:tblGrid>
        <w:gridCol w:w="1587"/>
        <w:gridCol w:w="2258"/>
        <w:gridCol w:w="2691"/>
        <w:gridCol w:w="2534"/>
      </w:tblGrid>
      <w:tr>
        <w:trPr>
          <w:cantSplit/>
          <w:tblHeader/>
        </w:trPr>
        <w:tc>
          <w:tcPr>
            <w:tcW w:type="dxa" w:w="158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Etapa</w:t>
            </w:r>
          </w:p>
        </w:tc>
        <w:tc>
          <w:tcPr>
            <w:tcW w:type="dxa" w:w="2259"/>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Origen</w:t>
            </w:r>
          </w:p>
        </w:tc>
        <w:tc>
          <w:tcPr>
            <w:tcW w:type="dxa" w:w="2691"/>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Salida</w:t>
            </w:r>
          </w:p>
        </w:tc>
        <w:tc>
          <w:tcPr>
            <w:tcW w:type="dxa" w:w="2534"/>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Destino de control</w:t>
            </w:r>
          </w:p>
        </w:tc>
      </w:tr>
      <w:tr>
        <w:trPr>
          <w:cantSplit/>
        </w:trPr>
        <w:tc>
          <w:tcPr>
            <w:tcW w:type="dxa" w:w="158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1</w:t>
            </w:r>
          </w:p>
        </w:tc>
        <w:tc>
          <w:tcPr>
            <w:tcW w:type="dxa" w:w="225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Terreno y aplicación Kiran</w:t>
            </w:r>
          </w:p>
        </w:tc>
        <w:tc>
          <w:tcPr>
            <w:tcW w:type="dxa" w:w="269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Estados de kit, tickets, sincronización por lote</w:t>
            </w:r>
          </w:p>
        </w:tc>
        <w:tc>
          <w:tcPr>
            <w:tcW w:type="dxa" w:w="2534"/>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Base del aplicativo</w:t>
            </w:r>
          </w:p>
        </w:tc>
      </w:tr>
      <w:tr>
        <w:trPr>
          <w:cantSplit/>
        </w:trPr>
        <w:tc>
          <w:tcPr>
            <w:tcW w:type="dxa" w:w="158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2</w:t>
            </w:r>
          </w:p>
        </w:tc>
        <w:tc>
          <w:tcPr>
            <w:tcW w:type="dxa" w:w="2259"/>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Desarrollo</w:t>
            </w:r>
          </w:p>
        </w:tc>
        <w:tc>
          <w:tcPr>
            <w:tcW w:type="dxa" w:w="269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Incremento según Definition of Done</w:t>
            </w:r>
          </w:p>
        </w:tc>
        <w:tc>
          <w:tcPr>
            <w:tcW w:type="dxa" w:w="2534"/>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Ambiente y tablero de flujo</w:t>
            </w:r>
          </w:p>
        </w:tc>
      </w:tr>
      <w:tr>
        <w:trPr>
          <w:cantSplit/>
        </w:trPr>
        <w:tc>
          <w:tcPr>
            <w:tcW w:type="dxa" w:w="158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3</w:t>
            </w:r>
          </w:p>
        </w:tc>
        <w:tc>
          <w:tcPr>
            <w:tcW w:type="dxa" w:w="225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Tablero de flujo</w:t>
            </w:r>
          </w:p>
        </w:tc>
        <w:tc>
          <w:tcPr>
            <w:tcW w:type="dxa" w:w="269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Capacidad, bloqueos, cumplimiento de sprint</w:t>
            </w:r>
          </w:p>
        </w:tc>
        <w:tc>
          <w:tcPr>
            <w:tcW w:type="dxa" w:w="2534"/>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Indicadores operativos</w:t>
            </w:r>
          </w:p>
        </w:tc>
      </w:tr>
      <w:tr>
        <w:trPr>
          <w:cantSplit/>
        </w:trPr>
        <w:tc>
          <w:tcPr>
            <w:tcW w:type="dxa" w:w="158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4</w:t>
            </w:r>
          </w:p>
        </w:tc>
        <w:tc>
          <w:tcPr>
            <w:tcW w:type="dxa" w:w="2259"/>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Project Libre</w:t>
            </w:r>
          </w:p>
        </w:tc>
        <w:tc>
          <w:tcPr>
            <w:tcW w:type="dxa" w:w="269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Cumplimiento de hitos y ruta crítica</w:t>
            </w:r>
          </w:p>
        </w:tc>
        <w:tc>
          <w:tcPr>
            <w:tcW w:type="dxa" w:w="2534"/>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Indicadores estratégicos de tiempo</w:t>
            </w:r>
          </w:p>
        </w:tc>
      </w:tr>
      <w:tr>
        <w:trPr>
          <w:cantSplit/>
        </w:trPr>
        <w:tc>
          <w:tcPr>
            <w:tcW w:type="dxa" w:w="158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5</w:t>
            </w:r>
          </w:p>
        </w:tc>
        <w:tc>
          <w:tcPr>
            <w:tcW w:type="dxa" w:w="225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Excel y factura de nube</w:t>
            </w:r>
          </w:p>
        </w:tc>
        <w:tc>
          <w:tcPr>
            <w:tcW w:type="dxa" w:w="269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Desviación presupuestaria</w:t>
            </w:r>
          </w:p>
        </w:tc>
        <w:tc>
          <w:tcPr>
            <w:tcW w:type="dxa" w:w="2534"/>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Indicador de techo; detención de gasto</w:t>
            </w:r>
          </w:p>
        </w:tc>
      </w:tr>
      <w:tr>
        <w:trPr>
          <w:cantSplit/>
        </w:trPr>
        <w:tc>
          <w:tcPr>
            <w:tcW w:type="dxa" w:w="158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6</w:t>
            </w:r>
          </w:p>
        </w:tc>
        <w:tc>
          <w:tcPr>
            <w:tcW w:type="dxa" w:w="2259"/>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Bitácora de soporte / canal asistido</w:t>
            </w:r>
          </w:p>
        </w:tc>
        <w:tc>
          <w:tcPr>
            <w:tcW w:type="dxa" w:w="269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Carga de consultas y escalamiento</w:t>
            </w:r>
          </w:p>
        </w:tc>
        <w:tc>
          <w:tcPr>
            <w:tcW w:type="dxa" w:w="2534"/>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Indicadores de atención</w:t>
            </w:r>
          </w:p>
        </w:tc>
      </w:tr>
      <w:tr>
        <w:trPr>
          <w:cantSplit/>
        </w:trPr>
        <w:tc>
          <w:tcPr>
            <w:tcW w:type="dxa" w:w="158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7</w:t>
            </w:r>
          </w:p>
        </w:tc>
        <w:tc>
          <w:tcPr>
            <w:tcW w:type="dxa" w:w="225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Consolidado de indicadores y puntaje</w:t>
            </w:r>
          </w:p>
        </w:tc>
        <w:tc>
          <w:tcPr>
            <w:tcW w:type="dxa" w:w="269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Lectura única</w:t>
            </w:r>
          </w:p>
        </w:tc>
        <w:tc>
          <w:tcPr>
            <w:tcW w:type="dxa" w:w="2534"/>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Dirección y partes interesadas</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3. Etapas del flujo de información.</w:t>
      </w:r>
    </w:p>
    <w:p>
      <w:pPr>
        <w:keepNext/>
        <w:spacing w:line="360" w:lineRule="auto" w:after="120" w:before="0"/>
        <w:ind w:firstLine="0" w:left="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220000" cy="5085908"/>
            <wp:docPr id="1" name="Picture 1"/>
            <wp:cNvGraphicFramePr>
              <a:graphicFrameLocks noChangeAspect="1"/>
            </wp:cNvGraphicFramePr>
            <a:graphic>
              <a:graphicData uri="http://schemas.openxmlformats.org/drawingml/2006/picture">
                <pic:pic>
                  <pic:nvPicPr>
                    <pic:cNvPr id="0" name="flujo.png"/>
                    <pic:cNvPicPr/>
                  </pic:nvPicPr>
                  <pic:blipFill>
                    <a:blip r:embed="rId11"/>
                    <a:stretch>
                      <a:fillRect/>
                    </a:stretch>
                  </pic:blipFill>
                  <pic:spPr>
                    <a:xfrm>
                      <a:off x="0" y="0"/>
                      <a:ext cx="5220000" cy="5085908"/>
                    </a:xfrm>
                    <a:prstGeom prst="rect"/>
                  </pic:spPr>
                </pic:pic>
              </a:graphicData>
            </a:graphic>
          </wp:inline>
        </w:drawing>
      </w:r>
    </w:p>
    <w:p>
      <w:pPr>
        <w:spacing w:before="40" w:after="160" w:line="240" w:lineRule="auto"/>
        <w:ind w:firstLine="0"/>
        <w:jc w:val="center"/>
      </w:pPr>
      <w:r>
        <w:rPr>
          <w:rFonts w:ascii="Times New Roman" w:hAnsi="Times New Roman" w:cs="Times New Roman" w:eastAsia="Times New Roman"/>
          <w:b w:val="0"/>
          <w:i/>
          <w:color w:val="444444"/>
          <w:sz w:val="18"/>
        </w:rPr>
        <w:t xml:space="preserve">Figura 1. Flujo de información del sistema de monitoreo y control del proyecto Kiran.</w:t>
      </w:r>
    </w:p>
    <w:p>
      <w:pPr>
        <w:spacing w:line="240" w:lineRule="auto" w:after="160" w:before="0"/>
        <w:ind w:firstLine="0"/>
      </w:pPr>
      <w:r>
        <w:rPr>
          <w:rFonts w:ascii="Times New Roman" w:hAnsi="Times New Roman" w:eastAsia="Times New Roman" w:cs="Times New Roman"/>
          <w:b w:val="0"/>
          <w:i/>
          <w:color w:val="444444"/>
          <w:sz w:val="18"/>
        </w:rPr>
        <w:t xml:space="preserve">Nota. </w:t>
      </w:r>
      <w:r>
        <w:rPr>
          <w:rFonts w:ascii="Times New Roman" w:hAnsi="Times New Roman" w:cs="Times New Roman" w:eastAsia="Times New Roman"/>
          <w:i w:val="0"/>
          <w:color w:val="444444"/>
          <w:sz w:val="18"/>
        </w:rPr>
        <w:t>Elaboración propia con base en los componentes, umbrales y responsables definidos en las secciones 1.2 a 1.6 de este informe.</w:t>
      </w:r>
    </w:p>
    <w:p/>
    <w:p>
      <w:pPr>
        <w:keepNext/>
        <w:spacing w:line="360" w:lineRule="auto" w:after="60" w:before="160"/>
      </w:pPr>
      <w:r>
        <w:rPr>
          <w:rFonts w:ascii="Times New Roman" w:hAnsi="Times New Roman" w:eastAsia="Times New Roman" w:cs="Times New Roman"/>
          <w:b/>
          <w:i w:val="0"/>
          <w:color w:val="10263D"/>
          <w:sz w:val="24"/>
        </w:rPr>
        <w:t>1.4 Hitos clave</w:t>
      </w:r>
    </w:p>
    <w:tbl>
      <w:tblPr>
        <w:tblStyle w:val="TableGrid"/>
        <w:tblW w:type="dxa" w:w="9072"/>
        <w:tblLook w:firstColumn="1" w:firstRow="1" w:lastColumn="0" w:lastRow="0" w:noHBand="0" w:noVBand="1" w:val="04A0"/>
        <w:tblLayout w:type="fixed"/>
      </w:tblPr>
      <w:tblGrid>
        <w:gridCol w:w="1986"/>
        <w:gridCol w:w="1949"/>
        <w:gridCol w:w="2267"/>
        <w:gridCol w:w="2868"/>
      </w:tblGrid>
      <w:tr>
        <w:trPr>
          <w:cantSplit/>
          <w:tblHeader/>
        </w:trPr>
        <w:tc>
          <w:tcPr>
            <w:tcW w:type="dxa" w:w="198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Hito</w:t>
            </w:r>
          </w:p>
        </w:tc>
        <w:tc>
          <w:tcPr>
            <w:tcW w:type="dxa" w:w="1949"/>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Fecha</w:t>
            </w:r>
          </w:p>
        </w:tc>
        <w:tc>
          <w:tcPr>
            <w:tcW w:type="dxa" w:w="226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Entregable de control</w:t>
            </w:r>
          </w:p>
        </w:tc>
        <w:tc>
          <w:tcPr>
            <w:tcW w:type="dxa" w:w="2869"/>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Criterio de cierre</w:t>
            </w:r>
          </w:p>
        </w:tc>
      </w:tr>
      <w:tr>
        <w:trPr>
          <w:cantSplit/>
        </w:trPr>
        <w:tc>
          <w:tcPr>
            <w:tcW w:type="dxa" w:w="198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Inventario validado</w:t>
            </w:r>
          </w:p>
        </w:tc>
        <w:tc>
          <w:tcPr>
            <w:tcW w:type="dxa" w:w="194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19 de octubre de 2026</w:t>
            </w:r>
          </w:p>
        </w:tc>
        <w:tc>
          <w:tcPr>
            <w:tcW w:type="dxa" w:w="226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Un inventario confiable</w:t>
            </w:r>
          </w:p>
        </w:tc>
        <w:tc>
          <w:tcPr>
            <w:tcW w:type="dxa" w:w="286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Aceptación; sin segundo punto de acopio en esta ventana</w:t>
            </w:r>
          </w:p>
        </w:tc>
      </w:tr>
      <w:tr>
        <w:trPr>
          <w:cantSplit/>
        </w:trPr>
        <w:tc>
          <w:tcPr>
            <w:tcW w:type="dxa" w:w="198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Tablero operativo</w:t>
            </w:r>
          </w:p>
        </w:tc>
        <w:tc>
          <w:tcPr>
            <w:tcW w:type="dxa" w:w="1949"/>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9 de noviembre de 2026</w:t>
            </w:r>
          </w:p>
        </w:tc>
        <w:tc>
          <w:tcPr>
            <w:tcW w:type="dxa" w:w="226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Visibilidad sobre el inventario</w:t>
            </w:r>
          </w:p>
        </w:tc>
        <w:tc>
          <w:tcPr>
            <w:tcW w:type="dxa" w:w="2869"/>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Tablero usable; priorización visual condicionada a capacidad</w:t>
            </w:r>
          </w:p>
        </w:tc>
      </w:tr>
      <w:tr>
        <w:trPr>
          <w:cantSplit/>
        </w:trPr>
        <w:tc>
          <w:tcPr>
            <w:tcW w:type="dxa" w:w="198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Tickets, pruebas y primer informe de impacto</w:t>
            </w:r>
          </w:p>
        </w:tc>
        <w:tc>
          <w:tcPr>
            <w:tcW w:type="dxa" w:w="194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4 de diciembre de 2026</w:t>
            </w:r>
          </w:p>
        </w:tc>
        <w:tc>
          <w:tcPr>
            <w:tcW w:type="dxa" w:w="226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Tickets, pruebas y primer informe de impacto</w:t>
            </w:r>
          </w:p>
        </w:tc>
        <w:tc>
          <w:tcPr>
            <w:tcW w:type="dxa" w:w="2869"/>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Sin desplazar el cierre a la semana de entrega</w:t>
            </w:r>
          </w:p>
        </w:tc>
      </w:tr>
      <w:tr>
        <w:trPr>
          <w:cantSplit/>
        </w:trPr>
        <w:tc>
          <w:tcPr>
            <w:tcW w:type="dxa" w:w="198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Cierre y traspaso</w:t>
            </w:r>
          </w:p>
        </w:tc>
        <w:tc>
          <w:tcPr>
            <w:tcW w:type="dxa" w:w="1949"/>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5 al 9 de diciembre de 2026</w:t>
            </w:r>
          </w:p>
        </w:tc>
        <w:tc>
          <w:tcPr>
            <w:tcW w:type="dxa" w:w="226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Entrega formal</w:t>
            </w:r>
          </w:p>
        </w:tc>
        <w:tc>
          <w:tcPr>
            <w:tcW w:type="dxa" w:w="2869"/>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Sin construcción de alcance pendiente</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4. Hitos clave.</w:t>
      </w:r>
    </w:p>
    <w:p/>
    <w:p>
      <w:pPr>
        <w:spacing w:line="360" w:lineRule="auto" w:after="120" w:before="0"/>
        <w:jc w:val="both"/>
      </w:pPr>
      <w:r>
        <w:rPr>
          <w:rFonts w:ascii="Times New Roman" w:hAnsi="Times New Roman" w:eastAsia="Times New Roman" w:cs="Times New Roman"/>
          <w:b w:val="0"/>
          <w:i w:val="0"/>
          <w:sz w:val="24"/>
        </w:rPr>
        <w:t>Un atraso de hasta tres días hábiles en un hito se acepta si la causa queda registrada. Si el atraso es mayor, la semana siguiente se destina a completar lo pendiente y no se incorpora trabajo nuevo.</w:t>
      </w:r>
    </w:p>
    <w:p>
      <w:pPr>
        <w:keepNext/>
        <w:spacing w:line="360" w:lineRule="auto" w:after="60" w:before="160"/>
      </w:pPr>
      <w:r>
        <w:rPr>
          <w:rFonts w:ascii="Times New Roman" w:hAnsi="Times New Roman" w:eastAsia="Times New Roman" w:cs="Times New Roman"/>
          <w:b/>
          <w:i w:val="0"/>
          <w:color w:val="10263D"/>
          <w:sz w:val="24"/>
        </w:rPr>
        <w:t>1.5 Indicadores estratégicos</w:t>
      </w:r>
    </w:p>
    <w:tbl>
      <w:tblPr>
        <w:tblStyle w:val="TableGrid"/>
        <w:tblW w:type="dxa" w:w="9072"/>
        <w:tblLook w:firstColumn="1" w:firstRow="1" w:lastColumn="0" w:lastRow="0" w:noHBand="0" w:noVBand="1" w:val="04A0"/>
        <w:tblLayout w:type="fixed"/>
      </w:tblPr>
      <w:tblGrid>
        <w:gridCol w:w="2283"/>
        <w:gridCol w:w="3275"/>
        <w:gridCol w:w="3512"/>
      </w:tblGrid>
      <w:tr>
        <w:trPr>
          <w:cantSplit/>
          <w:tblHeader/>
        </w:trPr>
        <w:tc>
          <w:tcPr>
            <w:tcW w:type="dxa" w:w="228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Indicador</w:t>
            </w:r>
          </w:p>
        </w:tc>
        <w:tc>
          <w:tcPr>
            <w:tcW w:type="dxa" w:w="3276"/>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Definición operativa</w:t>
            </w:r>
          </w:p>
        </w:tc>
        <w:tc>
          <w:tcPr>
            <w:tcW w:type="dxa" w:w="3512"/>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Umbral / acción</w:t>
            </w:r>
          </w:p>
        </w:tc>
      </w:tr>
      <w:tr>
        <w:trPr>
          <w:cantSplit/>
        </w:trPr>
        <w:tc>
          <w:tcPr>
            <w:tcW w:type="dxa" w:w="228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Cumplimiento de hitos</w:t>
            </w:r>
          </w:p>
        </w:tc>
        <w:tc>
          <w:tcPr>
            <w:tcW w:type="dxa" w:w="3276"/>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Entrega de los cuatro cortes con criterio del acta</w:t>
            </w:r>
          </w:p>
        </w:tc>
        <w:tc>
          <w:tcPr>
            <w:tcW w:type="dxa" w:w="3512"/>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4/4 o causa si atraso ≤ 3 días</w:t>
            </w:r>
          </w:p>
        </w:tc>
      </w:tr>
      <w:tr>
        <w:trPr>
          <w:cantSplit/>
        </w:trPr>
        <w:tc>
          <w:tcPr>
            <w:tcW w:type="dxa" w:w="228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Integridad plan–ejecución</w:t>
            </w:r>
          </w:p>
        </w:tc>
        <w:tc>
          <w:tcPr>
            <w:tcW w:type="dxa" w:w="3276"/>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Ruta crítica sin desvío no registrado</w:t>
            </w:r>
          </w:p>
        </w:tc>
        <w:tc>
          <w:tcPr>
            <w:tcW w:type="dxa" w:w="3512"/>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100 % en hitos; ante un desvío se replanifica en Project Libre y no solo en Trello</w:t>
            </w:r>
          </w:p>
        </w:tc>
      </w:tr>
      <w:tr>
        <w:trPr>
          <w:cantSplit/>
        </w:trPr>
        <w:tc>
          <w:tcPr>
            <w:tcW w:type="dxa" w:w="228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Alcance verificable</w:t>
            </w:r>
          </w:p>
        </w:tc>
        <w:tc>
          <w:tcPr>
            <w:tcW w:type="dxa" w:w="3276"/>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Paquetes con evidencia de aceptación</w:t>
            </w:r>
          </w:p>
        </w:tc>
        <w:tc>
          <w:tcPr>
            <w:tcW w:type="dxa" w:w="3512"/>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No cerrar hito sin evidencia; reapertura si puntaje &lt; 4</w:t>
            </w:r>
          </w:p>
        </w:tc>
      </w:tr>
      <w:tr>
        <w:trPr>
          <w:cantSplit/>
        </w:trPr>
        <w:tc>
          <w:tcPr>
            <w:tcW w:type="dxa" w:w="228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Techo presupuestario</w:t>
            </w:r>
          </w:p>
        </w:tc>
        <w:tc>
          <w:tcPr>
            <w:tcW w:type="dxa" w:w="3276"/>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Desviación acumulada vs techo vigente</w:t>
            </w:r>
          </w:p>
        </w:tc>
        <w:tc>
          <w:tcPr>
            <w:tcW w:type="dxa" w:w="3512"/>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Detener gasto no comprometido si desviación &gt; 10 %</w:t>
            </w:r>
          </w:p>
        </w:tc>
      </w:tr>
      <w:tr>
        <w:trPr>
          <w:cantSplit/>
        </w:trPr>
        <w:tc>
          <w:tcPr>
            <w:tcW w:type="dxa" w:w="228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Cambios bajo control</w:t>
            </w:r>
          </w:p>
        </w:tc>
        <w:tc>
          <w:tcPr>
            <w:tcW w:type="dxa" w:w="3276"/>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Cambios constructivos con plan actualizado antes de construir</w:t>
            </w:r>
          </w:p>
        </w:tc>
        <w:tc>
          <w:tcPr>
            <w:tcW w:type="dxa" w:w="3512"/>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Ningún cambio se construye sin registro previo</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5. Indicadores estratégicos.</w:t>
      </w:r>
    </w:p>
    <w:p>
      <w:pPr>
        <w:spacing w:line="360" w:lineRule="auto" w:after="120" w:before="0"/>
        <w:jc w:val="both"/>
      </w:pPr>
      <w:r>
        <w:rPr>
          <w:rFonts w:ascii="Times New Roman" w:hAnsi="Times New Roman" w:eastAsia="Times New Roman" w:cs="Times New Roman"/>
          <w:b w:val="0"/>
          <w:i w:val="0"/>
          <w:sz w:val="24"/>
        </w:rPr>
        <w:t>La Figura 2 presenta el tablero de indicadores en Excel, que reúne los indicadores de esta sección y la densidad de defectos de la sección 1.6. El corte del 19 de octubre ya tiene sus valores reales y sus semáforos; los cortes del 9 de noviembre, 4 de diciembre y 9 de diciembre muestran el valor planificado y se completan en su fecha.</w:t>
      </w:r>
    </w:p>
    <w:p>
      <w:pPr>
        <w:keepNext/>
        <w:spacing w:line="360" w:lineRule="auto" w:after="120" w:before="0"/>
        <w:ind w:firstLine="0" w:left="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580000" cy="3702546"/>
            <wp:docPr id="2" name="Picture 2"/>
            <wp:cNvGraphicFramePr>
              <a:graphicFrameLocks noChangeAspect="1"/>
            </wp:cNvGraphicFramePr>
            <a:graphic>
              <a:graphicData uri="http://schemas.openxmlformats.org/drawingml/2006/picture">
                <pic:pic>
                  <pic:nvPicPr>
                    <pic:cNvPr id="0" name="tablero.png"/>
                    <pic:cNvPicPr/>
                  </pic:nvPicPr>
                  <pic:blipFill>
                    <a:blip r:embed="rId12"/>
                    <a:stretch>
                      <a:fillRect/>
                    </a:stretch>
                  </pic:blipFill>
                  <pic:spPr>
                    <a:xfrm>
                      <a:off x="0" y="0"/>
                      <a:ext cx="5580000" cy="3702546"/>
                    </a:xfrm>
                    <a:prstGeom prst="rect"/>
                  </pic:spPr>
                </pic:pic>
              </a:graphicData>
            </a:graphic>
          </wp:inline>
        </w:drawing>
      </w:r>
    </w:p>
    <w:p>
      <w:pPr>
        <w:spacing w:before="40" w:after="160" w:line="240" w:lineRule="auto"/>
        <w:ind w:firstLine="0"/>
        <w:jc w:val="center"/>
      </w:pPr>
      <w:r>
        <w:rPr>
          <w:rFonts w:ascii="Times New Roman" w:hAnsi="Times New Roman" w:cs="Times New Roman" w:eastAsia="Times New Roman"/>
          <w:b w:val="0"/>
          <w:i/>
          <w:color w:val="444444"/>
          <w:sz w:val="18"/>
        </w:rPr>
        <w:t>Figura 2. Tablero de indicadores del proyecto Kiran al corte del 19 de octubre de 2026.</w:t>
      </w:r>
    </w:p>
    <w:p>
      <w:pPr>
        <w:spacing w:line="240" w:lineRule="auto" w:after="160" w:before="0"/>
        <w:ind w:firstLine="0"/>
      </w:pPr>
      <w:r>
        <w:rPr>
          <w:rFonts w:ascii="Times New Roman" w:hAnsi="Times New Roman" w:eastAsia="Times New Roman" w:cs="Times New Roman"/>
          <w:b w:val="0"/>
          <w:i/>
          <w:color w:val="444444"/>
          <w:sz w:val="18"/>
        </w:rPr>
        <w:t>Nota. Elaboración propia con base en los indicadores estratégicos y operativos de las secciones 1.5 y 1.6. Se muestran el resumen y los indicadores por corte del tablero; el presupuesto y la solicitud C-05 se detallan en las secciones 2.5 y 3.3.</w:t>
      </w:r>
      <w:r>
        <w:rPr>
          <w:rFonts w:ascii="Times New Roman" w:hAnsi="Times New Roman" w:cs="Times New Roman" w:eastAsia="Times New Roman"/>
          <w:i w:val="0"/>
          <w:color w:val="444444"/>
          <w:sz w:val="18"/>
        </w:rPr>
      </w:r>
    </w:p>
    <w:p/>
    <w:p>
      <w:pPr>
        <w:keepNext/>
        <w:spacing w:line="360" w:lineRule="auto" w:after="60" w:before="160"/>
      </w:pPr>
      <w:r>
        <w:rPr>
          <w:rFonts w:ascii="Times New Roman" w:hAnsi="Times New Roman" w:eastAsia="Times New Roman" w:cs="Times New Roman"/>
          <w:b/>
          <w:i w:val="0"/>
          <w:color w:val="10263D"/>
          <w:sz w:val="24"/>
        </w:rPr>
        <w:t>1.6 Indicadores operativos</w:t>
      </w:r>
    </w:p>
    <w:tbl>
      <w:tblPr>
        <w:tblStyle w:val="TableGrid"/>
        <w:tblW w:type="dxa" w:w="9072"/>
        <w:tblLook w:firstColumn="1" w:firstRow="1" w:lastColumn="0" w:lastRow="0" w:noHBand="0" w:noVBand="1" w:val="04A0"/>
        <w:tblLayout w:type="fixed"/>
      </w:tblPr>
      <w:tblGrid>
        <w:gridCol w:w="2434"/>
        <w:gridCol w:w="3443"/>
        <w:gridCol w:w="3193"/>
      </w:tblGrid>
      <w:tr>
        <w:trPr>
          <w:cantSplit/>
          <w:tblHeader/>
        </w:trPr>
        <w:tc>
          <w:tcPr>
            <w:tcW w:type="dxa" w:w="2435"/>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Indicador</w:t>
            </w:r>
          </w:p>
        </w:tc>
        <w:tc>
          <w:tcPr>
            <w:tcW w:type="dxa" w:w="344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Definición operativa</w:t>
            </w:r>
          </w:p>
        </w:tc>
        <w:tc>
          <w:tcPr>
            <w:tcW w:type="dxa" w:w="319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Umbral / acción</w:t>
            </w:r>
          </w:p>
        </w:tc>
      </w:tr>
      <w:tr>
        <w:trPr>
          <w:cantSplit/>
        </w:trPr>
        <w:tc>
          <w:tcPr>
            <w:tcW w:type="dxa" w:w="2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Densidad de defectos</w:t>
            </w:r>
          </w:p>
        </w:tc>
        <w:tc>
          <w:tcPr>
            <w:tcW w:type="dxa" w:w="344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Defectos encontrados en el periodo / líneas lógicas agregadas o modificadas × 1.000</w:t>
            </w:r>
          </w:p>
        </w:tc>
        <w:tc>
          <w:tcPr>
            <w:tcW w:type="dxa" w:w="319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 5 defectos por cada 1.000 líneas cambiadas; cero defectos bloqueantes abiertos al corte</w:t>
            </w:r>
          </w:p>
        </w:tc>
      </w:tr>
      <w:tr>
        <w:trPr>
          <w:cantSplit/>
        </w:trPr>
        <w:tc>
          <w:tcPr>
            <w:tcW w:type="dxa" w:w="2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Tasa de reapertura (desarrollo)</w:t>
            </w:r>
          </w:p>
        </w:tc>
        <w:tc>
          <w:tcPr>
            <w:tcW w:type="dxa" w:w="344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Ítems reabiertos / cerrados del sprint</w:t>
            </w:r>
          </w:p>
        </w:tc>
        <w:tc>
          <w:tcPr>
            <w:tcW w:type="dxa" w:w="319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&lt; 20 %</w:t>
            </w:r>
          </w:p>
        </w:tc>
      </w:tr>
      <w:tr>
        <w:trPr>
          <w:cantSplit/>
        </w:trPr>
        <w:tc>
          <w:tcPr>
            <w:tcW w:type="dxa" w:w="2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Cumplimiento de sprint</w:t>
            </w:r>
          </w:p>
        </w:tc>
        <w:tc>
          <w:tcPr>
            <w:tcW w:type="dxa" w:w="344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Historias comprometidas completadas</w:t>
            </w:r>
          </w:p>
        </w:tc>
        <w:tc>
          <w:tcPr>
            <w:tcW w:type="dxa" w:w="319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 80 %</w:t>
            </w:r>
          </w:p>
        </w:tc>
      </w:tr>
      <w:tr>
        <w:trPr>
          <w:cantSplit/>
        </w:trPr>
        <w:tc>
          <w:tcPr>
            <w:tcW w:type="dxa" w:w="2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Trabajo en curso y bloqueos</w:t>
            </w:r>
          </w:p>
        </w:tc>
        <w:tc>
          <w:tcPr>
            <w:tcW w:type="dxa" w:w="344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Tarjetas abiertas por persona; días en bloqueado</w:t>
            </w:r>
          </w:p>
        </w:tc>
        <w:tc>
          <w:tcPr>
            <w:tcW w:type="dxa" w:w="319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Máx. 2/persona; &gt; 5 días → reasignación formal</w:t>
            </w:r>
          </w:p>
        </w:tc>
      </w:tr>
      <w:tr>
        <w:trPr>
          <w:cantSplit/>
        </w:trPr>
        <w:tc>
          <w:tcPr>
            <w:tcW w:type="dxa" w:w="2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Integridad de estados de kit</w:t>
            </w:r>
          </w:p>
        </w:tc>
        <w:tc>
          <w:tcPr>
            <w:tcW w:type="dxa" w:w="344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Kits con hogar, responsable y estado coherente</w:t>
            </w:r>
          </w:p>
        </w:tc>
        <w:tc>
          <w:tcPr>
            <w:tcW w:type="dxa" w:w="319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Sin cierre de hito si falla</w:t>
            </w:r>
          </w:p>
        </w:tc>
      </w:tr>
      <w:tr>
        <w:trPr>
          <w:cantSplit/>
        </w:trPr>
        <w:tc>
          <w:tcPr>
            <w:tcW w:type="dxa" w:w="243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Atención de fallas y soporte</w:t>
            </w:r>
          </w:p>
        </w:tc>
        <w:tc>
          <w:tcPr>
            <w:tcW w:type="dxa" w:w="344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Tiempos de respuesta; consultas fuera del sistema; consultas resueltas por el canal</w:t>
            </w:r>
          </w:p>
        </w:tc>
        <w:tc>
          <w:tcPr>
            <w:tcW w:type="dxa" w:w="319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Debe mejorar una vez que el tablero esté en uso; si el canal resuelve pocas consultas, no se amplía</w:t>
            </w:r>
          </w:p>
        </w:tc>
      </w:tr>
      <w:tr>
        <w:trPr>
          <w:cantSplit/>
        </w:trPr>
        <w:tc>
          <w:tcPr>
            <w:tcW w:type="dxa" w:w="243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Coordinación y datos en terreno</w:t>
            </w:r>
          </w:p>
        </w:tc>
        <w:tc>
          <w:tcPr>
            <w:tcW w:type="dxa" w:w="344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Puntaje de contraparte; sincronización por lote</w:t>
            </w:r>
          </w:p>
        </w:tc>
        <w:tc>
          <w:tcPr>
            <w:tcW w:type="dxa" w:w="319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Puntaje ≥ 4; sin ampliar alcance sin control de cambios</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6. Indicadores operativos.</w:t>
      </w:r>
    </w:p>
    <w:p/>
    <w:p>
      <w:pPr>
        <w:spacing w:line="276" w:lineRule="auto" w:after="80" w:before="200"/>
        <w:jc w:val="left"/>
        <w:keepNext/>
        <w:pBdr>
          <w:bottom w:val="single" w:sz="8" w:space="6" w:color="10263D"/>
        </w:pBdr>
      </w:pPr>
      <w:r>
        <w:rPr>
          <w:rFonts w:ascii="Times New Roman" w:hAnsi="Times New Roman" w:eastAsia="Times New Roman" w:cs="Times New Roman"/>
          <w:b/>
          <w:i w:val="0"/>
          <w:color w:val="10263D"/>
          <w:sz w:val="26"/>
        </w:rPr>
        <w:t>2. Gestión del cambio e imprevistos</w:t>
      </w:r>
    </w:p>
    <w:p>
      <w:pPr>
        <w:keepNext/>
        <w:spacing w:line="360" w:lineRule="auto" w:after="60" w:before="160"/>
      </w:pPr>
      <w:r>
        <w:rPr>
          <w:rFonts w:ascii="Times New Roman" w:hAnsi="Times New Roman" w:eastAsia="Times New Roman" w:cs="Times New Roman"/>
          <w:b/>
          <w:i w:val="0"/>
          <w:color w:val="10263D"/>
          <w:sz w:val="24"/>
        </w:rPr>
        <w:t>2.1 Enfoque</w:t>
      </w:r>
    </w:p>
    <w:p>
      <w:pPr>
        <w:spacing w:line="360" w:lineRule="auto" w:after="120" w:before="0"/>
        <w:jc w:val="both"/>
      </w:pPr>
      <w:r>
        <w:rPr>
          <w:rFonts w:ascii="Times New Roman" w:hAnsi="Times New Roman" w:eastAsia="Times New Roman" w:cs="Times New Roman"/>
          <w:b w:val="0"/>
          <w:i w:val="0"/>
          <w:sz w:val="24"/>
        </w:rPr>
        <w:t>La gestión del cambio asegura que las modificaciones a alcance, plazo, costo o capacidad no alteren de facto el plan inicial. Toda solicitud relevante se identifica, evalúa (impacto, costo, tiempo, factibilidad y riesgo), decide y, si se aprueba, actualiza los instrumentos del plan antes de construirse (Project Management Institute [PMI], 2017). La prioridad de cada solicitud se asigna según su efecto sobre los hitos y el techo presupuestario.</w:t>
      </w:r>
    </w:p>
    <w:p>
      <w:pPr>
        <w:keepNext/>
        <w:spacing w:line="360" w:lineRule="auto" w:after="60" w:before="160"/>
      </w:pPr>
      <w:r>
        <w:rPr>
          <w:rFonts w:ascii="Times New Roman" w:hAnsi="Times New Roman" w:eastAsia="Times New Roman" w:cs="Times New Roman"/>
          <w:b/>
          <w:i w:val="0"/>
          <w:color w:val="10263D"/>
          <w:sz w:val="24"/>
        </w:rPr>
        <w:t>2.2 Línea base previa a la ampliación de soporte asistido</w:t>
      </w:r>
    </w:p>
    <w:p>
      <w:pPr>
        <w:spacing w:line="360" w:lineRule="auto" w:after="120" w:before="0"/>
        <w:jc w:val="both"/>
      </w:pPr>
      <w:r>
        <w:rPr>
          <w:rFonts w:ascii="Times New Roman" w:hAnsi="Times New Roman" w:eastAsia="Times New Roman" w:cs="Times New Roman"/>
          <w:b w:val="0"/>
          <w:i w:val="0"/>
          <w:sz w:val="24"/>
        </w:rPr>
        <w:t xml:space="preserve">La línea base del piloto contempla inventario, tablero, tickets y primer informe de impacto; soporte predominantemente humano; techo aprobado de US$ 20.700, que incluye una contingencia del 10 % equivalente a US$ 1.890 sobre la base de US$ 18.810</w:t>
      </w:r>
      <w:r>
        <w:rPr>
          <w:rFonts w:ascii="Times New Roman" w:hAnsi="Times New Roman" w:eastAsia="Times New Roman" w:cs="Times New Roman"/>
          <w:b w:val="0"/>
          <w:i w:val="0"/>
          <w:sz w:val="24"/>
        </w:rPr>
        <w:t>; equipo de cuatro roles; límite de dos trabajos en curso por persona. Como corrección registrada de la línea base, se precisa que la Tabla 9 de la Evaluación 1 rotulaba la contingencia como 12 %, aunque US$ 1.890 corresponde al 10 % de la base de US$ 18.810; los montos no cambian. La ampliación relevante a nivel de proyecto es la incorporación condicionada de priorización visual en el tablero, un canal de asistencia con preguntas frecuentes (fase 1) y un depósito mínimo de información operativa, con redimensionamiento presupuestario asociado.</w:t>
      </w:r>
    </w:p>
    <w:p>
      <w:pPr>
        <w:keepNext/>
        <w:spacing w:line="360" w:lineRule="auto" w:after="60" w:before="160"/>
      </w:pPr>
      <w:r>
        <w:rPr>
          <w:rFonts w:ascii="Times New Roman" w:hAnsi="Times New Roman" w:eastAsia="Times New Roman" w:cs="Times New Roman"/>
          <w:b/>
          <w:i w:val="0"/>
          <w:color w:val="10263D"/>
          <w:sz w:val="24"/>
        </w:rPr>
        <w:t>2.3 Eventualidades, estrategias y justificación</w:t>
      </w:r>
    </w:p>
    <w:p>
      <w:pPr>
        <w:spacing w:line="360" w:lineRule="auto" w:after="120" w:before="0"/>
        <w:jc w:val="both"/>
      </w:pPr>
      <w:r>
        <w:rPr>
          <w:rFonts w:ascii="Times New Roman" w:hAnsi="Times New Roman" w:eastAsia="Times New Roman" w:cs="Times New Roman"/>
          <w:b w:val="0"/>
          <w:i w:val="0"/>
          <w:sz w:val="24"/>
        </w:rPr>
        <w:t>La tabla siguiente registra las situaciones de cambio que afectan al proyecto, la estrategia adoptada y su justificación respecto del plan inicial.</w:t>
      </w:r>
    </w:p>
    <w:tbl>
      <w:tblPr>
        <w:tblStyle w:val="TableGrid"/>
        <w:tblW w:type="dxa" w:w="9072"/>
        <w:tblLook w:firstColumn="1" w:firstRow="1" w:lastColumn="0" w:lastRow="0" w:noHBand="0" w:noVBand="1" w:val="04A0"/>
        <w:tblLayout w:type="fixed"/>
      </w:tblPr>
      <w:tblGrid>
        <w:gridCol w:w="2560"/>
        <w:gridCol w:w="3180"/>
        <w:gridCol w:w="3331"/>
      </w:tblGrid>
      <w:tr>
        <w:trPr>
          <w:cantSplit/>
          <w:tblHeader/>
        </w:trPr>
        <w:tc>
          <w:tcPr>
            <w:tcW w:type="dxa" w:w="2560"/>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Eventualidad</w:t>
            </w:r>
          </w:p>
        </w:tc>
        <w:tc>
          <w:tcPr>
            <w:tcW w:type="dxa" w:w="3180"/>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Estrategia adoptada</w:t>
            </w:r>
          </w:p>
        </w:tc>
        <w:tc>
          <w:tcPr>
            <w:tcW w:type="dxa" w:w="3331"/>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Justificación respecto del plan inicial</w:t>
            </w:r>
          </w:p>
        </w:tc>
      </w:tr>
      <w:tr>
        <w:trPr>
          <w:cantSplit/>
        </w:trPr>
        <w:tc>
          <w:tcPr>
            <w:tcW w:type="dxa" w:w="256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Evidencia fotográfica en cada ticket</w:t>
            </w:r>
          </w:p>
        </w:tc>
        <w:tc>
          <w:tcPr>
            <w:tcW w:type="dxa" w:w="318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Rechazo de la formulación con archivo; aceptación condicionada de prioridad y nota textual</w:t>
            </w:r>
          </w:p>
        </w:tc>
        <w:tc>
          <w:tcPr>
            <w:tcW w:type="dxa" w:w="333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La fotografía implica almacenamiento y esfuerzo que desplazan las pruebas o el primer informe de impacto; la prioridad textual mejora la operación sin gasto nuevo</w:t>
            </w:r>
          </w:p>
        </w:tc>
      </w:tr>
      <w:tr>
        <w:trPr>
          <w:cantSplit/>
        </w:trPr>
        <w:tc>
          <w:tcPr>
            <w:tcW w:type="dxa" w:w="256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Segundo punto de acopio en la fecha del primer corte</w:t>
            </w:r>
          </w:p>
        </w:tc>
        <w:tc>
          <w:tcPr>
            <w:tcW w:type="dxa" w:w="318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No implementación en la ventana del piloto</w:t>
            </w:r>
          </w:p>
        </w:tc>
        <w:tc>
          <w:tcPr>
            <w:tcW w:type="dxa" w:w="333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El hito del 19 de octubre compromete un inventario validado; duplicar el punto altera alcance y arrastra el tablero</w:t>
            </w:r>
          </w:p>
        </w:tc>
      </w:tr>
      <w:tr>
        <w:trPr>
          <w:cantSplit/>
        </w:trPr>
        <w:tc>
          <w:tcPr>
            <w:tcW w:type="dxa" w:w="256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Servicio externo de pago para el informe de impacto</w:t>
            </w:r>
          </w:p>
        </w:tc>
        <w:tc>
          <w:tcPr>
            <w:tcW w:type="dxa" w:w="318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Rechazo; el informe se elabora con medios del equipo</w:t>
            </w:r>
          </w:p>
        </w:tc>
        <w:tc>
          <w:tcPr>
            <w:tcW w:type="dxa" w:w="333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Gasto no comprometido y dependencia en semana de cierre</w:t>
            </w:r>
          </w:p>
        </w:tc>
      </w:tr>
      <w:tr>
        <w:trPr>
          <w:cantSplit/>
        </w:trPr>
        <w:tc>
          <w:tcPr>
            <w:tcW w:type="dxa" w:w="256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Reasignación informal ante bloqueos prolongados</w:t>
            </w:r>
          </w:p>
        </w:tc>
        <w:tc>
          <w:tcPr>
            <w:tcW w:type="dxa" w:w="318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Regla formal: bloqueo &gt; 5 días se resuelve o se reasigna entre los cuatro roles, actualizando el plan</w:t>
            </w:r>
          </w:p>
        </w:tc>
        <w:tc>
          <w:tcPr>
            <w:tcW w:type="dxa" w:w="333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Evita divergencia entre flujo operativo y Project Libre/Excel</w:t>
            </w:r>
          </w:p>
        </w:tc>
      </w:tr>
      <w:tr>
        <w:trPr>
          <w:cantSplit/>
        </w:trPr>
        <w:tc>
          <w:tcPr>
            <w:tcW w:type="dxa" w:w="256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Priorización visual en el tablero</w:t>
            </w:r>
          </w:p>
        </w:tc>
        <w:tc>
          <w:tcPr>
            <w:tcW w:type="dxa" w:w="318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Aprobación condicionada a capacidad; sin alterar estados del kit</w:t>
            </w:r>
          </w:p>
        </w:tc>
        <w:tc>
          <w:tcPr>
            <w:tcW w:type="dxa" w:w="333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Reduce consultas informales; prerrequisito de un canal que escale a persona</w:t>
            </w:r>
          </w:p>
        </w:tc>
      </w:tr>
      <w:tr>
        <w:trPr>
          <w:cantSplit/>
        </w:trPr>
        <w:tc>
          <w:tcPr>
            <w:tcW w:type="dxa" w:w="256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Asistencia automatizada (FAQ y canal con escalamiento humano)</w:t>
            </w:r>
          </w:p>
        </w:tc>
        <w:tc>
          <w:tcPr>
            <w:tcW w:type="dxa" w:w="318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Solo fase 1: condicionada a tablero usable, priorización visual, tope de API y corpus curado; no cierra tickets ni cambia estados sola</w:t>
            </w:r>
          </w:p>
        </w:tc>
        <w:tc>
          <w:tcPr>
            <w:tcW w:type="dxa" w:w="333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Atiende presión de soporte sin app ciudadana ni reemplazo total del técnico</w:t>
            </w:r>
          </w:p>
        </w:tc>
      </w:tr>
      <w:tr>
        <w:trPr>
          <w:cantSplit/>
        </w:trPr>
        <w:tc>
          <w:tcPr>
            <w:tcW w:type="dxa" w:w="256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App ciudadana, monitoreo de flota con IA, modelo propio, lago de datos completo</w:t>
            </w:r>
          </w:p>
        </w:tc>
        <w:tc>
          <w:tcPr>
            <w:tcW w:type="dxa" w:w="318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Identificación futura; rechazo en sep–dic 2026</w:t>
            </w:r>
          </w:p>
        </w:tc>
        <w:tc>
          <w:tcPr>
            <w:tcW w:type="dxa" w:w="333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Exceden la EDT del piloto y el techo</w:t>
            </w:r>
          </w:p>
        </w:tc>
      </w:tr>
      <w:tr>
        <w:trPr>
          <w:cantSplit/>
        </w:trPr>
        <w:tc>
          <w:tcPr>
            <w:tcW w:type="dxa" w:w="256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Depósito mínimo de información operativa</w:t>
            </w:r>
          </w:p>
        </w:tc>
        <w:tc>
          <w:tcPr>
            <w:tcW w:type="dxa" w:w="318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Condicionado a minimización, roles e ISO/IEC 27701; sin PII innecesaria en modelos externos</w:t>
            </w:r>
          </w:p>
        </w:tc>
        <w:tc>
          <w:tcPr>
            <w:tcW w:type="dxa" w:w="333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Sostiene el canal y el informe de impacto sin autorizar un lago de datos empresarial</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7. Eventualidades, estrategias y justificación.</w:t>
      </w:r>
    </w:p>
    <w:p/>
    <w:p>
      <w:pPr>
        <w:keepNext/>
        <w:spacing w:line="360" w:lineRule="auto" w:after="60" w:before="160"/>
      </w:pPr>
      <w:r>
        <w:rPr>
          <w:rFonts w:ascii="Times New Roman" w:hAnsi="Times New Roman" w:eastAsia="Times New Roman" w:cs="Times New Roman"/>
          <w:b/>
          <w:i w:val="0"/>
          <w:color w:val="10263D"/>
          <w:sz w:val="24"/>
        </w:rPr>
        <w:t>2.4 Orden de adopción de cambios constructivos</w:t>
      </w:r>
    </w:p>
    <w:p>
      <w:pPr>
        <w:spacing w:line="360" w:lineRule="auto" w:after="120" w:before="0"/>
      </w:pPr>
      <w:r>
        <w:rPr>
          <w:rFonts w:ascii="Times New Roman" w:hAnsi="Times New Roman" w:eastAsia="Times New Roman" w:cs="Times New Roman"/>
          <w:b w:val="0"/>
          <w:i w:val="0"/>
          <w:sz w:val="24"/>
        </w:rPr>
        <w:t>1. Regla de capacidad y registro (permanente).</w:t>
      </w:r>
    </w:p>
    <w:p>
      <w:pPr>
        <w:spacing w:line="360" w:lineRule="auto" w:after="120" w:before="0"/>
      </w:pPr>
      <w:r>
        <w:rPr>
          <w:rFonts w:ascii="Times New Roman" w:hAnsi="Times New Roman" w:eastAsia="Times New Roman" w:cs="Times New Roman"/>
          <w:b w:val="0"/>
          <w:i w:val="0"/>
          <w:sz w:val="24"/>
        </w:rPr>
        <w:t>2. Priorización visual en el tablero (hacia el hito de noviembre).</w:t>
      </w:r>
    </w:p>
    <w:p>
      <w:pPr>
        <w:spacing w:line="360" w:lineRule="auto" w:after="120" w:before="0"/>
        <w:jc w:val="both"/>
      </w:pPr>
      <w:r>
        <w:rPr>
          <w:rFonts w:ascii="Times New Roman" w:hAnsi="Times New Roman" w:eastAsia="Times New Roman" w:cs="Times New Roman"/>
          <w:b w:val="0"/>
          <w:i w:val="0"/>
          <w:sz w:val="24"/>
        </w:rPr>
        <w:t>3. Canal de asistencia fase 1 y depósito mínimo (tras tablero usable; no en semana de cierre).</w:t>
      </w:r>
    </w:p>
    <w:p>
      <w:pPr>
        <w:spacing w:line="360" w:lineRule="auto" w:after="120" w:before="0"/>
        <w:jc w:val="both"/>
      </w:pPr>
      <w:r>
        <w:rPr>
          <w:rFonts w:ascii="Times New Roman" w:hAnsi="Times New Roman" w:eastAsia="Times New Roman" w:cs="Times New Roman"/>
          <w:b w:val="0"/>
          <w:i w:val="0"/>
          <w:sz w:val="24"/>
        </w:rPr>
        <w:t>4. Prioridad y nota en el ticket, solo si existe capacidad en el sprint del hito de diciembre.</w:t>
      </w:r>
    </w:p>
    <w:p>
      <w:pPr>
        <w:spacing w:line="360" w:lineRule="auto" w:after="120" w:before="0"/>
        <w:jc w:val="both"/>
      </w:pPr>
      <w:r>
        <w:rPr>
          <w:rFonts w:ascii="Times New Roman" w:hAnsi="Times New Roman" w:eastAsia="Times New Roman" w:cs="Times New Roman"/>
          <w:b w:val="0"/>
          <w:i w:val="0"/>
          <w:sz w:val="24"/>
        </w:rPr>
        <w:t>5. Fuera de ventana: segundo punto de inventario, servicio externo para el informe de impacto, fotografía en ticket, app ciudadana, lago de datos completo y monitoreo de flota con IA.</w:t>
      </w:r>
    </w:p>
    <w:p>
      <w:pPr>
        <w:keepNext/>
        <w:spacing w:line="360" w:lineRule="auto" w:after="60" w:before="160"/>
      </w:pPr>
      <w:r>
        <w:rPr>
          <w:rFonts w:ascii="Times New Roman" w:hAnsi="Times New Roman" w:eastAsia="Times New Roman" w:cs="Times New Roman"/>
          <w:b/>
          <w:i w:val="0"/>
          <w:color w:val="10263D"/>
          <w:sz w:val="24"/>
        </w:rPr>
        <w:t>2.5 Efecto conjunto sobre costo, tiempo y esfuerzo</w:t>
      </w:r>
    </w:p>
    <w:tbl>
      <w:tblPr>
        <w:tblStyle w:val="TableGrid"/>
        <w:tblW w:type="dxa" w:w="9072"/>
        <w:tblLook w:firstColumn="1" w:firstRow="1" w:lastColumn="0" w:lastRow="0" w:noHBand="0" w:noVBand="1" w:val="04A0"/>
        <w:tblLayout w:type="fixed"/>
      </w:tblPr>
      <w:tblGrid>
        <w:gridCol w:w="1814"/>
        <w:gridCol w:w="2633"/>
        <w:gridCol w:w="4624"/>
      </w:tblGrid>
      <w:tr>
        <w:trPr>
          <w:cantSplit/>
          <w:tblHeader/>
        </w:trPr>
        <w:tc>
          <w:tcPr>
            <w:tcW w:type="dxa" w:w="1814"/>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Dimensión</w:t>
            </w:r>
          </w:p>
        </w:tc>
        <w:tc>
          <w:tcPr>
            <w:tcW w:type="dxa" w:w="263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Línea base</w:t>
            </w:r>
          </w:p>
        </w:tc>
        <w:tc>
          <w:tcPr>
            <w:tcW w:type="dxa" w:w="462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Con paquete de cambios aprobado</w:t>
            </w:r>
          </w:p>
        </w:tc>
      </w:tr>
      <w:tr>
        <w:trPr>
          <w:cantSplit/>
        </w:trPr>
        <w:tc>
          <w:tcPr>
            <w:tcW w:type="dxa" w:w="1814"/>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Presupuesto techo</w:t>
            </w:r>
          </w:p>
        </w:tc>
        <w:tc>
          <w:tcPr>
            <w:tcW w:type="dxa" w:w="26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US$ 20.700</w:t>
            </w:r>
          </w:p>
        </w:tc>
        <w:tc>
          <w:tcPr>
            <w:tcW w:type="dxa" w:w="462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US$ 21.040 (techo solicitado; pendiente de aprobación)</w:t>
            </w:r>
          </w:p>
        </w:tc>
      </w:tr>
      <w:tr>
        <w:trPr>
          <w:cantSplit/>
        </w:trPr>
        <w:tc>
          <w:tcPr>
            <w:tcW w:type="dxa" w:w="1814"/>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Partidas nuevas</w:t>
            </w:r>
          </w:p>
        </w:tc>
        <w:tc>
          <w:tcPr>
            <w:tcW w:type="dxa" w:w="26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Sin API de modelo ni módulo de chat en el desglose inicial</w:t>
            </w:r>
          </w:p>
        </w:tc>
        <w:tc>
          <w:tcPr>
            <w:tcW w:type="dxa" w:w="462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US$ 200–340 (API y nube), estimación interna del equipo a partir de precios públicos: API 60–120, nube 60–100 y margen por sobrecosto 80–120; no corresponde a una cotización</w:t>
            </w:r>
          </w:p>
        </w:tc>
      </w:tr>
      <w:tr>
        <w:trPr>
          <w:cantSplit/>
        </w:trPr>
        <w:tc>
          <w:tcPr>
            <w:tcW w:type="dxa" w:w="1814"/>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Fechas de hito</w:t>
            </w:r>
          </w:p>
        </w:tc>
        <w:tc>
          <w:tcPr>
            <w:tcW w:type="dxa" w:w="26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19 oct / 9 nov / 4 dic / cierre</w:t>
            </w:r>
          </w:p>
        </w:tc>
        <w:tc>
          <w:tcPr>
            <w:tcW w:type="dxa" w:w="462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Sin modificación de calendario</w:t>
            </w:r>
          </w:p>
        </w:tc>
      </w:tr>
      <w:tr>
        <w:trPr>
          <w:cantSplit/>
        </w:trPr>
        <w:tc>
          <w:tcPr>
            <w:tcW w:type="dxa" w:w="1814"/>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Esfuerzo</w:t>
            </w:r>
          </w:p>
        </w:tc>
        <w:tc>
          <w:tcPr>
            <w:tcW w:type="dxa" w:w="26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Cuatro roles; sin módulo de asistencia</w:t>
            </w:r>
          </w:p>
        </w:tc>
        <w:tc>
          <w:tcPr>
            <w:tcW w:type="dxa" w:w="462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13 a 22 días-persona adicionales, estimación interna del equipo (priorización visual 4–7; canal, preguntas frecuentes e integración 9–15); se cubren reordenando el backlog, sin ampliar la dotación</w:t>
            </w:r>
          </w:p>
        </w:tc>
      </w:tr>
      <w:tr>
        <w:trPr>
          <w:cantSplit/>
        </w:trPr>
        <w:tc>
          <w:tcPr>
            <w:tcW w:type="dxa" w:w="1814"/>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Soporte</w:t>
            </w:r>
          </w:p>
        </w:tc>
        <w:tc>
          <w:tcPr>
            <w:tcW w:type="dxa" w:w="26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Predominio de atención humana e informal</w:t>
            </w:r>
          </w:p>
        </w:tc>
        <w:tc>
          <w:tcPr>
            <w:tcW w:type="dxa" w:w="462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Parte de las consultas se resuelve con preguntas frecuentes; el escalamiento a una persona es obligatorio</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8. Efecto conjunto sobre costo, tiempo y esfuerzo.</w:t>
      </w:r>
    </w:p>
    <w:p/>
    <w:p>
      <w:pPr>
        <w:spacing w:line="360" w:lineRule="auto" w:after="120" w:before="0"/>
        <w:jc w:val="both"/>
      </w:pPr>
      <w:r>
        <w:rPr>
          <w:rFonts w:ascii="Times New Roman" w:hAnsi="Times New Roman" w:eastAsia="Times New Roman" w:cs="Times New Roman"/>
          <w:b w:val="0"/>
          <w:i w:val="0"/>
          <w:sz w:val="24"/>
        </w:rPr>
        <w:t>Decisión presupuestaria: la asistencia automatizada no cabe en el techo aprobado de US$ 20.700 sin una decisión explícita. El equipo solicita elevar el techo a US$ 21.040. La diferencia de US$ 340 corresponde al máximo de caja estimado: US$ 60–120 para la API del modelo, US$ 60–100 para Google Cloud y US$ 80–120 de colchón para cuotas e integración. El esfuerzo adicional de 13–22 días-persona no tiene costo en caja, porque se cubre con sustitución de alcance. La alternativa es usar parte de la contingencia de US$ 1.890 mediante acta</w:t>
      </w:r>
      <w:r>
        <w:rPr>
          <w:rFonts w:ascii="Times New Roman" w:hAnsi="Times New Roman" w:eastAsia="Times New Roman" w:cs="Times New Roman"/>
          <w:b w:val="0"/>
          <w:i w:val="0"/>
          <w:sz w:val="24"/>
        </w:rPr>
        <w:t>. Recortar el soporte humano en la zona compleja no se considera como primera opción. Mientras no exista autorización, el módulo de asistencia no se construye.</w:t>
      </w:r>
    </w:p>
    <w:p>
      <w:pPr>
        <w:spacing w:line="276" w:lineRule="auto" w:after="80" w:before="200"/>
        <w:jc w:val="left"/>
        <w:keepNext/>
        <w:pBdr>
          <w:bottom w:val="single" w:sz="8" w:space="6" w:color="10263D"/>
        </w:pBdr>
      </w:pPr>
      <w:r>
        <w:rPr>
          <w:rFonts w:ascii="Times New Roman" w:hAnsi="Times New Roman" w:eastAsia="Times New Roman" w:cs="Times New Roman"/>
          <w:b/>
          <w:i w:val="0"/>
          <w:color w:val="10263D"/>
          <w:sz w:val="26"/>
        </w:rPr>
        <w:t>3. Asignación y planificación de recursos</w:t>
      </w:r>
    </w:p>
    <w:p>
      <w:pPr>
        <w:keepNext/>
        <w:spacing w:line="360" w:lineRule="auto" w:after="60" w:before="160"/>
      </w:pPr>
      <w:r>
        <w:rPr>
          <w:rFonts w:ascii="Times New Roman" w:hAnsi="Times New Roman" w:eastAsia="Times New Roman" w:cs="Times New Roman"/>
          <w:b/>
          <w:i w:val="0"/>
          <w:color w:val="10263D"/>
          <w:sz w:val="24"/>
        </w:rPr>
        <w:t>3.1 Criterio general</w:t>
      </w:r>
    </w:p>
    <w:p>
      <w:pPr>
        <w:spacing w:line="360" w:lineRule="auto" w:after="120" w:before="0"/>
        <w:jc w:val="both"/>
      </w:pPr>
      <w:r>
        <w:rPr>
          <w:rFonts w:ascii="Times New Roman" w:hAnsi="Times New Roman" w:eastAsia="Times New Roman" w:cs="Times New Roman"/>
          <w:b w:val="0"/>
          <w:i w:val="0"/>
          <w:sz w:val="24"/>
        </w:rPr>
        <w:t>La asignación de recursos identifica tipo, cantidad y disponibilidad de personas, presupuesto e infraestructura necesarios para ejecutar el plan y controlar su uso (PMI, 2017). El recurso crítico no exclusivo del equipo de software es el técnico local: su disponibilidad condiciona la veracidad del inventario y de los tickets.</w:t>
      </w:r>
    </w:p>
    <w:p>
      <w:pPr>
        <w:keepNext/>
        <w:spacing w:line="360" w:lineRule="auto" w:after="60" w:before="160"/>
      </w:pPr>
      <w:r>
        <w:rPr>
          <w:rFonts w:ascii="Times New Roman" w:hAnsi="Times New Roman" w:eastAsia="Times New Roman" w:cs="Times New Roman"/>
          <w:b/>
          <w:i w:val="0"/>
          <w:color w:val="10263D"/>
          <w:sz w:val="24"/>
        </w:rPr>
        <w:t>3.2 Recursos humanos</w:t>
      </w:r>
    </w:p>
    <w:tbl>
      <w:tblPr>
        <w:tblStyle w:val="TableGrid"/>
        <w:tblW w:type="dxa" w:w="9072"/>
        <w:tblLook w:firstColumn="1" w:firstRow="1" w:lastColumn="0" w:lastRow="0" w:noHBand="0" w:noVBand="1" w:val="04A0"/>
        <w:tblLayout w:type="fixed"/>
      </w:tblPr>
      <w:tblGrid>
        <w:gridCol w:w="1800"/>
        <w:gridCol w:w="2246"/>
        <w:gridCol w:w="2457"/>
        <w:gridCol w:w="2567"/>
      </w:tblGrid>
      <w:tr>
        <w:trPr>
          <w:cantSplit/>
          <w:tblHeader/>
        </w:trPr>
        <w:tc>
          <w:tcPr>
            <w:tcW w:type="dxa" w:w="1800"/>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Rol</w:t>
            </w:r>
          </w:p>
        </w:tc>
        <w:tc>
          <w:tcPr>
            <w:tcW w:type="dxa" w:w="2246"/>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Responsabilidad principal</w:t>
            </w:r>
          </w:p>
        </w:tc>
        <w:tc>
          <w:tcPr>
            <w:tcW w:type="dxa" w:w="245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Efecto del paquete de cambios</w:t>
            </w:r>
          </w:p>
        </w:tc>
        <w:tc>
          <w:tcPr>
            <w:tcW w:type="dxa" w:w="256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Mecanismo de control</w:t>
            </w:r>
          </w:p>
        </w:tc>
      </w:tr>
      <w:tr>
        <w:trPr>
          <w:cantSplit/>
        </w:trPr>
        <w:tc>
          <w:tcPr>
            <w:tcW w:type="dxa" w:w="180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Directora del proyecto y frontend</w:t>
            </w:r>
          </w:p>
        </w:tc>
        <w:tc>
          <w:tcPr>
            <w:tcW w:type="dxa" w:w="2246"/>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Alcance, control de cambios, interfaz</w:t>
            </w:r>
          </w:p>
        </w:tc>
        <w:tc>
          <w:tcPr>
            <w:tcW w:type="dxa" w:w="245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Priorización visual e interfaz del canal</w:t>
            </w:r>
          </w:p>
        </w:tc>
        <w:tc>
          <w:tcPr>
            <w:tcW w:type="dxa" w:w="256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Máx. 2 trabajos en curso; reasignación formal</w:t>
            </w:r>
          </w:p>
        </w:tc>
      </w:tr>
      <w:tr>
        <w:trPr>
          <w:cantSplit/>
        </w:trPr>
        <w:tc>
          <w:tcPr>
            <w:tcW w:type="dxa" w:w="180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Backend e inventario</w:t>
            </w:r>
          </w:p>
        </w:tc>
        <w:tc>
          <w:tcPr>
            <w:tcW w:type="dxa" w:w="2246"/>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Inventario, tickets, integraciones</w:t>
            </w:r>
          </w:p>
        </w:tc>
        <w:tc>
          <w:tcPr>
            <w:tcW w:type="dxa" w:w="245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Integración del canal y depósito mínimo</w:t>
            </w:r>
          </w:p>
        </w:tc>
        <w:tc>
          <w:tcPr>
            <w:tcW w:type="dxa" w:w="256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Definition of Done; defectos y reapertura</w:t>
            </w:r>
          </w:p>
        </w:tc>
      </w:tr>
      <w:tr>
        <w:trPr>
          <w:cantSplit/>
        </w:trPr>
        <w:tc>
          <w:tcPr>
            <w:tcW w:type="dxa" w:w="180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Infraestructura y nube</w:t>
            </w:r>
          </w:p>
        </w:tc>
        <w:tc>
          <w:tcPr>
            <w:tcW w:type="dxa" w:w="2246"/>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Ambientes, accesos, gasto</w:t>
            </w:r>
          </w:p>
        </w:tc>
        <w:tc>
          <w:tcPr>
            <w:tcW w:type="dxa" w:w="245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Topes de API y lectura de consumo</w:t>
            </w:r>
          </w:p>
        </w:tc>
        <w:tc>
          <w:tcPr>
            <w:tcW w:type="dxa" w:w="256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Control quincenal; freno si desviación &gt; 10 %</w:t>
            </w:r>
          </w:p>
        </w:tc>
      </w:tr>
      <w:tr>
        <w:trPr>
          <w:cantSplit/>
        </w:trPr>
        <w:tc>
          <w:tcPr>
            <w:tcW w:type="dxa" w:w="180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Calidad e impacto</w:t>
            </w:r>
          </w:p>
        </w:tc>
        <w:tc>
          <w:tcPr>
            <w:tcW w:type="dxa" w:w="2246"/>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Pruebas, informe de impacto, traspaso</w:t>
            </w:r>
          </w:p>
        </w:tc>
        <w:tc>
          <w:tcPr>
            <w:tcW w:type="dxa" w:w="245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Curaduría de FAQ y revisión de respuestas</w:t>
            </w:r>
          </w:p>
        </w:tc>
        <w:tc>
          <w:tcPr>
            <w:tcW w:type="dxa" w:w="256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Evidencia de prueba en cada incremento</w:t>
            </w:r>
          </w:p>
        </w:tc>
      </w:tr>
      <w:tr>
        <w:trPr>
          <w:cantSplit/>
        </w:trPr>
        <w:tc>
          <w:tcPr>
            <w:tcW w:type="dxa" w:w="180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Técnico local (0,4 FTE)</w:t>
            </w:r>
          </w:p>
        </w:tc>
        <w:tc>
          <w:tcPr>
            <w:tcW w:type="dxa" w:w="2246"/>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Estados en terreno y atención</w:t>
            </w:r>
          </w:p>
        </w:tc>
        <w:tc>
          <w:tcPr>
            <w:tcW w:type="dxa" w:w="245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Menor carga informal; mantiene escalamiento</w:t>
            </w:r>
          </w:p>
        </w:tc>
        <w:tc>
          <w:tcPr>
            <w:tcW w:type="dxa" w:w="256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Revisión de hito; no sustituible por automatización total</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9. Recursos humanos.</w:t>
      </w:r>
    </w:p>
    <w:p/>
    <w:p>
      <w:pPr>
        <w:spacing w:line="360" w:lineRule="auto" w:after="120" w:before="0"/>
        <w:jc w:val="both"/>
      </w:pPr>
      <w:r>
        <w:rPr>
          <w:rFonts w:ascii="Times New Roman" w:hAnsi="Times New Roman" w:eastAsia="Times New Roman" w:cs="Times New Roman"/>
          <w:b w:val="0"/>
          <w:i w:val="0"/>
          <w:sz w:val="24"/>
        </w:rPr>
        <w:t>No se incorpora un quinto perfil ni un especialista externo en desarrollo agéntico en la ventana del piloto. La capacidad adicional se obtiene por reordenamiento del backlog, no por ampliación de dotación.</w:t>
      </w:r>
    </w:p>
    <w:p>
      <w:pPr>
        <w:keepNext/>
        <w:spacing w:line="360" w:lineRule="auto" w:after="60" w:before="160"/>
      </w:pPr>
      <w:r>
        <w:rPr>
          <w:rFonts w:ascii="Times New Roman" w:hAnsi="Times New Roman" w:eastAsia="Times New Roman" w:cs="Times New Roman"/>
          <w:b/>
          <w:i w:val="0"/>
          <w:color w:val="10263D"/>
          <w:sz w:val="24"/>
        </w:rPr>
        <w:t>3.3 Recursos financieros</w:t>
      </w:r>
    </w:p>
    <w:tbl>
      <w:tblPr>
        <w:tblStyle w:val="TableGrid"/>
        <w:tblW w:type="dxa" w:w="9072"/>
        <w:tblLook w:firstColumn="1" w:firstRow="1" w:lastColumn="0" w:lastRow="0" w:noHBand="0" w:noVBand="1" w:val="04A0"/>
        <w:tblLayout w:type="fixed"/>
      </w:tblPr>
      <w:tblGrid>
        <w:gridCol w:w="3180"/>
        <w:gridCol w:w="2978"/>
        <w:gridCol w:w="2913"/>
      </w:tblGrid>
      <w:tr>
        <w:trPr>
          <w:cantSplit/>
          <w:tblHeader/>
        </w:trPr>
        <w:tc>
          <w:tcPr>
            <w:tcW w:type="dxa" w:w="3180"/>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Concepto</w:t>
            </w:r>
          </w:p>
        </w:tc>
        <w:tc>
          <w:tcPr>
            <w:tcW w:type="dxa" w:w="2978"/>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Asignación</w:t>
            </w:r>
          </w:p>
        </w:tc>
        <w:tc>
          <w:tcPr>
            <w:tcW w:type="dxa" w:w="291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Seguimiento</w:t>
            </w:r>
          </w:p>
        </w:tc>
      </w:tr>
      <w:tr>
        <w:trPr>
          <w:cantSplit/>
        </w:trPr>
        <w:tc>
          <w:tcPr>
            <w:tcW w:type="dxa" w:w="318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Techo aprobado (línea base)</w:t>
            </w:r>
          </w:p>
        </w:tc>
        <w:tc>
          <w:tcPr>
            <w:tcW w:type="dxa" w:w="2978"/>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US$ 20.700</w:t>
            </w:r>
          </w:p>
        </w:tc>
        <w:tc>
          <w:tcPr>
            <w:tcW w:type="dxa" w:w="29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Excel quincenal</w:t>
            </w:r>
          </w:p>
        </w:tc>
      </w:tr>
      <w:tr>
        <w:trPr>
          <w:cantSplit/>
        </w:trPr>
        <w:tc>
          <w:tcPr>
            <w:tcW w:type="dxa" w:w="318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Techo solicitado con módulo de asistencia (pendiente de aprobación)</w:t>
            </w:r>
          </w:p>
        </w:tc>
        <w:tc>
          <w:tcPr>
            <w:tcW w:type="dxa" w:w="2978"/>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US$ 21.040</w:t>
            </w:r>
          </w:p>
        </w:tc>
        <w:tc>
          <w:tcPr>
            <w:tcW w:type="dxa" w:w="29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Condición de construcción del módulo</w:t>
            </w:r>
          </w:p>
        </w:tc>
      </w:tr>
      <w:tr>
        <w:trPr>
          <w:cantSplit/>
        </w:trPr>
        <w:tc>
          <w:tcPr>
            <w:tcW w:type="dxa" w:w="318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Contingencia (10 % sobre la base de US$ 18.810)</w:t>
            </w:r>
          </w:p>
        </w:tc>
        <w:tc>
          <w:tcPr>
            <w:tcW w:type="dxa" w:w="2978"/>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 xml:space="preserve">US$ 1.890</w:t>
            </w:r>
          </w:p>
        </w:tc>
        <w:tc>
          <w:tcPr>
            <w:tcW w:type="dxa" w:w="29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Solo con razón escrita</w:t>
            </w:r>
          </w:p>
        </w:tc>
      </w:tr>
      <w:tr>
        <w:trPr>
          <w:cantSplit/>
        </w:trPr>
        <w:tc>
          <w:tcPr>
            <w:tcW w:type="dxa" w:w="318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Consumo variable de modelo y nube</w:t>
            </w:r>
          </w:p>
        </w:tc>
        <w:tc>
          <w:tcPr>
            <w:tcW w:type="dxa" w:w="2978"/>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US$ 200–340 (estimación interna, no cotización); tope de API de US$ 120</w:t>
            </w:r>
          </w:p>
        </w:tc>
        <w:tc>
          <w:tcPr>
            <w:tcW w:type="dxa" w:w="29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Consola de nube; pausa ante incumplimiento</w:t>
            </w:r>
          </w:p>
        </w:tc>
      </w:tr>
      <w:tr>
        <w:trPr>
          <w:cantSplit/>
        </w:trPr>
        <w:tc>
          <w:tcPr>
            <w:tcW w:type="dxa" w:w="318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Horas de soporte humano</w:t>
            </w:r>
          </w:p>
        </w:tc>
        <w:tc>
          <w:tcPr>
            <w:tcW w:type="dxa" w:w="2978"/>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Partida variable del plan</w:t>
            </w:r>
          </w:p>
        </w:tc>
        <w:tc>
          <w:tcPr>
            <w:tcW w:type="dxa" w:w="29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No se reduce para financiar la automatización</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10. Recursos financieros.</w:t>
      </w:r>
    </w:p>
    <w:p/>
    <w:p>
      <w:pPr>
        <w:keepNext/>
        <w:spacing w:line="360" w:lineRule="auto" w:after="60" w:before="160"/>
      </w:pPr>
      <w:r>
        <w:rPr>
          <w:rFonts w:ascii="Times New Roman" w:hAnsi="Times New Roman" w:eastAsia="Times New Roman" w:cs="Times New Roman"/>
          <w:b/>
          <w:i w:val="0"/>
          <w:color w:val="10263D"/>
          <w:sz w:val="24"/>
        </w:rPr>
        <w:t>3.4 Recursos técnicos</w:t>
      </w:r>
    </w:p>
    <w:p>
      <w:pPr>
        <w:spacing w:line="360" w:lineRule="auto" w:after="120" w:before="0"/>
        <w:jc w:val="both"/>
      </w:pPr>
      <w:r>
        <w:rPr>
          <w:rFonts w:ascii="Times New Roman" w:hAnsi="Times New Roman" w:eastAsia="Times New Roman" w:cs="Times New Roman"/>
          <w:b w:val="0"/>
          <w:i w:val="0"/>
          <w:sz w:val="24"/>
        </w:rPr>
        <w:t>Infraestructura en nube, API de modelo gestionado, kit de desarrollo de agentes, Project Libre, Trello, Excel y depósito mínimo de información. Quedan fuera de la ventana: GPU dedicado, lago de datos empresarial y hospedaje de modelo propio.</w:t>
      </w:r>
    </w:p>
    <w:p>
      <w:pPr>
        <w:keepNext/>
        <w:spacing w:line="360" w:lineRule="auto" w:after="60" w:before="160"/>
      </w:pPr>
      <w:r>
        <w:rPr>
          <w:rFonts w:ascii="Times New Roman" w:hAnsi="Times New Roman" w:eastAsia="Times New Roman" w:cs="Times New Roman"/>
          <w:b/>
          <w:i w:val="0"/>
          <w:color w:val="10263D"/>
          <w:sz w:val="24"/>
        </w:rPr>
        <w:t>3.5 Estrategias de viabilidad y rentabilidad</w:t>
      </w:r>
    </w:p>
    <w:p>
      <w:pPr>
        <w:spacing w:line="360" w:lineRule="auto" w:after="120" w:before="0"/>
        <w:jc w:val="both"/>
      </w:pPr>
      <w:r>
        <w:rPr>
          <w:rFonts w:ascii="Times New Roman" w:hAnsi="Times New Roman" w:eastAsia="Times New Roman" w:cs="Times New Roman"/>
          <w:b w:val="0"/>
          <w:i w:val="0"/>
          <w:sz w:val="24"/>
        </w:rPr>
        <w:t>Viabilidad. Los cambios constructivos solo se incorporan si existe capacidad (sustitución de trabajo), si se respetan los hitos y si el financiamiento del módulo de asistencia está autorizado (techo solicitado de US$ 21.040 o uso de contingencia con acta). El canal asistido no opera sin priorización visual ni sin corpus de preguntas frecuentes curado.</w:t>
      </w:r>
    </w:p>
    <w:p>
      <w:pPr>
        <w:spacing w:line="360" w:lineRule="auto" w:after="120" w:before="0"/>
        <w:jc w:val="both"/>
      </w:pPr>
      <w:r>
        <w:rPr>
          <w:rFonts w:ascii="Times New Roman" w:hAnsi="Times New Roman" w:eastAsia="Times New Roman" w:cs="Times New Roman"/>
          <w:b w:val="0"/>
          <w:i w:val="0"/>
          <w:sz w:val="24"/>
        </w:rPr>
        <w:t>Rentabilidad. No se declara un ahorro fijo en dólares en el acta sin medición. Se establece una línea base de consultas de soporte tras el tablero usable y antes de activar el canal; en operación se compara el costo de soporte evitado con el gasto real de API y nube. Si el gasto de automatización supera de forma sostenida el ahorro (dos revisiones consecutivas), se suspende el canal o se abre un nuevo control de cambios. Se distingue la inversión de puesta en marcha del gasto recurrente de operación.</w:t>
      </w:r>
    </w:p>
    <w:p>
      <w:pPr>
        <w:spacing w:line="276" w:lineRule="auto" w:after="80" w:before="200"/>
        <w:jc w:val="left"/>
        <w:keepNext/>
        <w:pBdr>
          <w:bottom w:val="single" w:sz="8" w:space="6" w:color="10263D"/>
        </w:pBdr>
      </w:pPr>
      <w:r>
        <w:rPr>
          <w:rFonts w:ascii="Times New Roman" w:hAnsi="Times New Roman" w:eastAsia="Times New Roman" w:cs="Times New Roman"/>
          <w:b/>
          <w:i w:val="0"/>
          <w:color w:val="10263D"/>
          <w:sz w:val="26"/>
        </w:rPr>
        <w:t>4. Estado del proyecto para las partes interesadas</w:t>
      </w:r>
    </w:p>
    <w:p>
      <w:pPr>
        <w:keepNext/>
        <w:spacing w:line="360" w:lineRule="auto" w:after="60" w:before="160"/>
      </w:pPr>
      <w:r>
        <w:rPr>
          <w:rFonts w:ascii="Times New Roman" w:hAnsi="Times New Roman" w:eastAsia="Times New Roman" w:cs="Times New Roman"/>
          <w:b/>
          <w:i w:val="0"/>
          <w:color w:val="10263D"/>
          <w:sz w:val="24"/>
        </w:rPr>
        <w:t>4.1 Audiencias y valor de la información</w:t>
      </w:r>
    </w:p>
    <w:tbl>
      <w:tblPr>
        <w:tblStyle w:val="TableGrid"/>
        <w:tblW w:type="dxa" w:w="9072"/>
        <w:tblLook w:firstColumn="1" w:firstRow="1" w:lastColumn="0" w:lastRow="0" w:noHBand="0" w:noVBand="1" w:val="04A0"/>
        <w:tblLayout w:type="fixed"/>
      </w:tblPr>
      <w:tblGrid>
        <w:gridCol w:w="2700"/>
        <w:gridCol w:w="3137"/>
        <w:gridCol w:w="3233"/>
      </w:tblGrid>
      <w:tr>
        <w:trPr>
          <w:cantSplit/>
          <w:tblHeader/>
        </w:trPr>
        <w:tc>
          <w:tcPr>
            <w:tcW w:type="dxa" w:w="2700"/>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Parte interesada</w:t>
            </w:r>
          </w:p>
        </w:tc>
        <w:tc>
          <w:tcPr>
            <w:tcW w:type="dxa" w:w="313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Información de valor</w:t>
            </w:r>
          </w:p>
        </w:tc>
        <w:tc>
          <w:tcPr>
            <w:tcW w:type="dxa" w:w="323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Uso en la decisión</w:t>
            </w:r>
          </w:p>
        </w:tc>
      </w:tr>
      <w:tr>
        <w:trPr>
          <w:cantSplit/>
        </w:trPr>
        <w:tc>
          <w:tcPr>
            <w:tcW w:type="dxa" w:w="270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Dirección del proyecto</w:t>
            </w:r>
          </w:p>
        </w:tc>
        <w:tc>
          <w:tcPr>
            <w:tcW w:type="dxa" w:w="313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Hitos, techo, cambios abiertos y riesgos</w:t>
            </w:r>
          </w:p>
        </w:tc>
        <w:tc>
          <w:tcPr>
            <w:tcW w:type="dxa" w:w="32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Aprobar o rechazar el techo solicitado; condicionar o diferir el canal</w:t>
            </w:r>
          </w:p>
        </w:tc>
      </w:tr>
      <w:tr>
        <w:trPr>
          <w:cantSplit/>
        </w:trPr>
        <w:tc>
          <w:tcPr>
            <w:tcW w:type="dxa" w:w="270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Contraparte / soporte local</w:t>
            </w:r>
          </w:p>
        </w:tc>
        <w:tc>
          <w:tcPr>
            <w:tcW w:type="dxa" w:w="313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Usabilidad del tablero, cola, puntaje de hito</w:t>
            </w:r>
          </w:p>
        </w:tc>
        <w:tc>
          <w:tcPr>
            <w:tcW w:type="dxa" w:w="32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Validar entregables; reducir trabajo informal</w:t>
            </w:r>
          </w:p>
        </w:tc>
      </w:tr>
      <w:tr>
        <w:trPr>
          <w:cantSplit/>
        </w:trPr>
        <w:tc>
          <w:tcPr>
            <w:tcW w:type="dxa" w:w="2700"/>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Equipo de desarrollo</w:t>
            </w:r>
          </w:p>
        </w:tc>
        <w:tc>
          <w:tcPr>
            <w:tcW w:type="dxa" w:w="313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Capacidad, calidad, registro de cambios</w:t>
            </w:r>
          </w:p>
        </w:tc>
        <w:tc>
          <w:tcPr>
            <w:tcW w:type="dxa" w:w="32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Comprometer solo trabajo factible</w:t>
            </w:r>
          </w:p>
        </w:tc>
      </w:tr>
      <w:tr>
        <w:trPr>
          <w:cantSplit/>
        </w:trPr>
        <w:tc>
          <w:tcPr>
            <w:tcW w:type="dxa" w:w="2700"/>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Inversores / donantes (vía informe de impacto)</w:t>
            </w:r>
          </w:p>
        </w:tc>
        <w:tc>
          <w:tcPr>
            <w:tcW w:type="dxa" w:w="313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Coherencia entre operación y cifra reportada</w:t>
            </w:r>
          </w:p>
        </w:tc>
        <w:tc>
          <w:tcPr>
            <w:tcW w:type="dxa" w:w="32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Confianza en el informe de impacto</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11. Audiencias y valor de la información.</w:t>
      </w:r>
    </w:p>
    <w:p/>
    <w:p>
      <w:pPr>
        <w:keepNext/>
        <w:spacing w:line="360" w:lineRule="auto" w:after="60" w:before="160"/>
      </w:pPr>
      <w:r>
        <w:rPr>
          <w:rFonts w:ascii="Times New Roman" w:hAnsi="Times New Roman" w:eastAsia="Times New Roman" w:cs="Times New Roman"/>
          <w:b/>
          <w:i w:val="0"/>
          <w:color w:val="10263D"/>
          <w:sz w:val="24"/>
        </w:rPr>
        <w:t>4.2 Estado consolidado</w:t>
      </w:r>
    </w:p>
    <w:tbl>
      <w:tblPr>
        <w:tblStyle w:val="TableGrid"/>
        <w:tblW w:type="dxa" w:w="9072"/>
        <w:tblLook w:firstColumn="1" w:firstRow="1" w:lastColumn="0" w:lastRow="0" w:noHBand="0" w:noVBand="1" w:val="04A0"/>
        <w:tblLayout w:type="fixed"/>
      </w:tblPr>
      <w:tblGrid>
        <w:gridCol w:w="2133"/>
        <w:gridCol w:w="3625"/>
        <w:gridCol w:w="3313"/>
      </w:tblGrid>
      <w:tr>
        <w:trPr>
          <w:cantSplit/>
          <w:tblHeader/>
        </w:trPr>
        <w:tc>
          <w:tcPr>
            <w:tcW w:type="dxa" w:w="213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Dimensión</w:t>
            </w:r>
          </w:p>
        </w:tc>
        <w:tc>
          <w:tcPr>
            <w:tcW w:type="dxa" w:w="3625"/>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Estado</w:t>
            </w:r>
          </w:p>
        </w:tc>
        <w:tc>
          <w:tcPr>
            <w:tcW w:type="dxa" w:w="331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Observación para la gestión</w:t>
            </w:r>
          </w:p>
        </w:tc>
      </w:tr>
      <w:tr>
        <w:trPr>
          <w:cantSplit/>
        </w:trPr>
        <w:tc>
          <w:tcPr>
            <w:tcW w:type="dxa" w:w="21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Periodo</w:t>
            </w:r>
          </w:p>
        </w:tc>
        <w:tc>
          <w:tcPr>
            <w:tcW w:type="dxa" w:w="362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Piloto en ventana sep–dic 2026</w:t>
            </w:r>
          </w:p>
        </w:tc>
        <w:tc>
          <w:tcPr>
            <w:tcW w:type="dxa" w:w="33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Cierre formal el 9 de diciembre</w:t>
            </w:r>
          </w:p>
        </w:tc>
      </w:tr>
      <w:tr>
        <w:trPr>
          <w:cantSplit/>
        </w:trPr>
        <w:tc>
          <w:tcPr>
            <w:tcW w:type="dxa" w:w="21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Avance del proyecto</w:t>
            </w:r>
          </w:p>
        </w:tc>
        <w:tc>
          <w:tcPr>
            <w:tcW w:type="dxa" w:w="362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54,9 %, conforme a la línea base (73 de 133 días-actividad programados al 19 de octubre)</w:t>
            </w:r>
          </w:p>
        </w:tc>
        <w:tc>
          <w:tcPr>
            <w:tcW w:type="dxa" w:w="33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Registro en Project Libre al corte</w:t>
            </w:r>
          </w:p>
        </w:tc>
      </w:tr>
      <w:tr>
        <w:trPr>
          <w:cantSplit/>
        </w:trPr>
        <w:tc>
          <w:tcPr>
            <w:tcW w:type="dxa" w:w="21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Hito inventario</w:t>
            </w:r>
          </w:p>
        </w:tc>
        <w:tc>
          <w:tcPr>
            <w:tcW w:type="dxa" w:w="362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 xml:space="preserve">Corte del 19 de octubre: </w:t>
            </w:r>
            <w:r>
              <w:rPr>
                <w:rFonts w:ascii="Times New Roman" w:hAnsi="Times New Roman" w:eastAsia="Times New Roman" w:cs="Times New Roman"/>
                <w:b w:val="0"/>
                <w:i w:val="0"/>
                <w:sz w:val="24"/>
                <w:szCs w:val="24"/>
              </w:rPr>
              <w:t>cumplido; puntaje 4 / 5 (mínimo de aceptación del hito)</w:t>
            </w:r>
          </w:p>
        </w:tc>
        <w:tc>
          <w:tcPr>
            <w:tcW w:type="dxa" w:w="33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Segundo punto de acopio no incorporado</w:t>
            </w:r>
          </w:p>
        </w:tc>
      </w:tr>
      <w:tr>
        <w:trPr>
          <w:cantSplit/>
        </w:trPr>
        <w:tc>
          <w:tcPr>
            <w:tcW w:type="dxa" w:w="21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Hito tablero</w:t>
            </w:r>
          </w:p>
        </w:tc>
        <w:tc>
          <w:tcPr>
            <w:tcW w:type="dxa" w:w="362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Compromiso vigente</w:t>
            </w:r>
          </w:p>
        </w:tc>
        <w:tc>
          <w:tcPr>
            <w:tcW w:type="dxa" w:w="33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Priorización visual condicionada a capacidad</w:t>
            </w:r>
          </w:p>
        </w:tc>
      </w:tr>
      <w:tr>
        <w:trPr>
          <w:cantSplit/>
        </w:trPr>
        <w:tc>
          <w:tcPr>
            <w:tcW w:type="dxa" w:w="21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Hito tickets, pruebas y primer informe de impacto</w:t>
            </w:r>
          </w:p>
        </w:tc>
        <w:tc>
          <w:tcPr>
            <w:tcW w:type="dxa" w:w="362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Compromiso vigente</w:t>
            </w:r>
          </w:p>
        </w:tc>
        <w:tc>
          <w:tcPr>
            <w:tcW w:type="dxa" w:w="33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Asistencia automatizada solo condicionada y post tablero usable</w:t>
            </w:r>
          </w:p>
        </w:tc>
      </w:tr>
      <w:tr>
        <w:trPr>
          <w:cantSplit/>
        </w:trPr>
        <w:tc>
          <w:tcPr>
            <w:tcW w:type="dxa" w:w="21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Presupuesto</w:t>
            </w:r>
          </w:p>
        </w:tc>
        <w:tc>
          <w:tcPr>
            <w:tcW w:type="dxa" w:w="362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Techo aprobado US$ 20.700; techo solicitado US$ 21.040 (pendiente de aprobación)</w:t>
            </w:r>
          </w:p>
        </w:tc>
        <w:tc>
          <w:tcPr>
            <w:tcW w:type="dxa" w:w="33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Sin construcción del canal sin autorización; contingencia sin uso y consumo de API de US$ 0 al corte</w:t>
            </w:r>
          </w:p>
        </w:tc>
      </w:tr>
      <w:tr>
        <w:trPr>
          <w:cantSplit/>
        </w:trPr>
        <w:tc>
          <w:tcPr>
            <w:tcW w:type="dxa" w:w="21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Gasto ejecutado</w:t>
            </w:r>
          </w:p>
        </w:tc>
        <w:tc>
          <w:tcPr>
            <w:tcW w:type="dxa" w:w="362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US$ 10.346 (55 % de la base de US$ 18.810, conforme al avance); desviación de 0 % frente al techo aprobado de US$ 20.700</w:t>
            </w:r>
            <w:r>
              <w:rPr>
                <w:rFonts w:ascii="Times New Roman" w:hAnsi="Times New Roman" w:eastAsia="Times New Roman" w:cs="Times New Roman"/>
                <w:b w:val="0"/>
                <w:i w:val="0"/>
                <w:sz w:val="24"/>
                <w:szCs w:val="24"/>
              </w:rPr>
            </w:r>
          </w:p>
        </w:tc>
        <w:tc>
          <w:tcPr>
            <w:tcW w:type="dxa" w:w="33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Registro en Excel financiero</w:t>
            </w:r>
          </w:p>
        </w:tc>
      </w:tr>
      <w:tr>
        <w:trPr>
          <w:cantSplit/>
        </w:trPr>
        <w:tc>
          <w:tcPr>
            <w:tcW w:type="dxa" w:w="21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Capacidad</w:t>
            </w:r>
          </w:p>
        </w:tc>
        <w:tc>
          <w:tcPr>
            <w:tcW w:type="dxa" w:w="362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Cuatro roles; máx. dos trabajos en curso por persona</w:t>
            </w:r>
          </w:p>
        </w:tc>
        <w:tc>
          <w:tcPr>
            <w:tcW w:type="dxa" w:w="33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Reasignación formal ante bloqueos prolongados</w:t>
            </w:r>
          </w:p>
        </w:tc>
      </w:tr>
      <w:tr>
        <w:trPr>
          <w:cantSplit/>
        </w:trPr>
        <w:tc>
          <w:tcPr>
            <w:tcW w:type="dxa" w:w="21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Cambios condicionados</w:t>
            </w:r>
          </w:p>
        </w:tc>
        <w:tc>
          <w:tcPr>
            <w:tcW w:type="dxa" w:w="362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Regla de capacidad; priorización visual; asistencia fase 1; depósito mínimo; prioridad textual</w:t>
            </w:r>
          </w:p>
        </w:tc>
        <w:tc>
          <w:tcPr>
            <w:tcW w:type="dxa" w:w="33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Sujetos a capacidad y financiamiento</w:t>
            </w:r>
          </w:p>
        </w:tc>
      </w:tr>
      <w:tr>
        <w:trPr>
          <w:cantSplit/>
        </w:trPr>
        <w:tc>
          <w:tcPr>
            <w:tcW w:type="dxa" w:w="21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Cambios rechazados o diferidos</w:t>
            </w:r>
          </w:p>
        </w:tc>
        <w:tc>
          <w:tcPr>
            <w:tcW w:type="dxa" w:w="362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Fotografía en ticket; segundo inventario; servicio externo; app ciudadana; lago completo; monitoreo de flota con IA</w:t>
            </w:r>
          </w:p>
        </w:tc>
        <w:tc>
          <w:tcPr>
            <w:tcW w:type="dxa" w:w="33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Quedan en el registro de cambios; una nueva solicitud requiere otro ciclo de control</w:t>
            </w:r>
          </w:p>
        </w:tc>
      </w:tr>
      <w:tr>
        <w:trPr>
          <w:cantSplit/>
        </w:trPr>
        <w:tc>
          <w:tcPr>
            <w:tcW w:type="dxa" w:w="213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Calidad y privacidad</w:t>
            </w:r>
          </w:p>
        </w:tc>
        <w:tc>
          <w:tcPr>
            <w:tcW w:type="dxa" w:w="3625"/>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Controles operativos activos; minimización de datos</w:t>
            </w:r>
          </w:p>
        </w:tc>
        <w:tc>
          <w:tcPr>
            <w:tcW w:type="dxa" w:w="331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Sin bases reales en el repositorio</w:t>
            </w:r>
          </w:p>
        </w:tc>
      </w:tr>
      <w:tr>
        <w:trPr>
          <w:cantSplit/>
        </w:trPr>
        <w:tc>
          <w:tcPr>
            <w:tcW w:type="dxa" w:w="213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Densidad de defectos</w:t>
            </w:r>
          </w:p>
        </w:tc>
        <w:tc>
          <w:tcPr>
            <w:tcW w:type="dxa" w:w="3625"/>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3 defectos por cada 1.000 líneas cambiadas, todos menores y ya corregidos; 0 defectos bloqueantes abiertos</w:t>
            </w:r>
          </w:p>
        </w:tc>
        <w:tc>
          <w:tcPr>
            <w:tcW w:type="dxa" w:w="331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Meta: 5 o menos por cada 1.000 líneas cambiadas; cero defectos bloqueantes abiertos</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12. Estado consolidado.</w:t>
      </w:r>
    </w:p>
    <w:p/>
    <w:p>
      <w:pPr>
        <w:keepNext/>
        <w:spacing w:line="360" w:lineRule="auto" w:after="60" w:before="160"/>
      </w:pPr>
      <w:r>
        <w:rPr>
          <w:rFonts w:ascii="Times New Roman" w:hAnsi="Times New Roman" w:eastAsia="Times New Roman" w:cs="Times New Roman"/>
          <w:b/>
          <w:i w:val="0"/>
          <w:color w:val="10263D"/>
          <w:sz w:val="24"/>
        </w:rPr>
        <w:t>4.3 Cifras relevantes para la toma de decisiones</w:t>
      </w:r>
    </w:p>
    <w:tbl>
      <w:tblPr>
        <w:tblStyle w:val="TableGrid"/>
        <w:tblW w:type="dxa" w:w="9072"/>
        <w:tblLook w:firstColumn="1" w:firstRow="1" w:lastColumn="0" w:lastRow="0" w:noHBand="0" w:noVBand="1" w:val="04A0"/>
        <w:tblLayout w:type="fixed"/>
      </w:tblPr>
      <w:tblGrid>
        <w:gridCol w:w="2683"/>
        <w:gridCol w:w="3137"/>
        <w:gridCol w:w="3251"/>
      </w:tblGrid>
      <w:tr>
        <w:trPr>
          <w:cantSplit/>
          <w:tblHeader/>
        </w:trPr>
        <w:tc>
          <w:tcPr>
            <w:tcW w:type="dxa" w:w="2683"/>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Indicador o cifra</w:t>
            </w:r>
          </w:p>
        </w:tc>
        <w:tc>
          <w:tcPr>
            <w:tcW w:type="dxa" w:w="3137"/>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Valor de referencia</w:t>
            </w:r>
          </w:p>
        </w:tc>
        <w:tc>
          <w:tcPr>
            <w:tcW w:type="dxa" w:w="3251"/>
            <w:shd w:val="clear" w:color="auto" w:fill="10263D"/>
          </w:tcPr>
          <w:p>
            <w:pPr>
              <w:keepNext/>
              <w:spacing w:line="360" w:lineRule="auto" w:after="0" w:before="0"/>
            </w:pPr>
            <w:r>
              <w:rPr>
                <w:rFonts w:ascii="Times New Roman" w:hAnsi="Times New Roman" w:cs="Times New Roman" w:eastAsia="Times New Roman"/>
                <w:b/>
                <w:color w:val="FFFFFF"/>
                <w:sz w:val="24"/>
              </w:rPr>
            </w:r>
            <w:r>
              <w:rPr>
                <w:rFonts w:ascii="Times New Roman" w:hAnsi="Times New Roman" w:eastAsia="Times New Roman" w:cs="Times New Roman"/>
                <w:b/>
                <w:i w:val="0"/>
                <w:color w:val="FFFFFF"/>
                <w:sz w:val="24"/>
                <w:szCs w:val="24"/>
              </w:rPr>
              <w:t>Implicancia</w:t>
            </w:r>
          </w:p>
        </w:tc>
      </w:tr>
      <w:tr>
        <w:trPr>
          <w:cantSplit/>
        </w:trPr>
        <w:tc>
          <w:tcPr>
            <w:tcW w:type="dxa" w:w="268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Techo aprobado → techo solicitado</w:t>
            </w:r>
          </w:p>
        </w:tc>
        <w:tc>
          <w:tcPr>
            <w:tcW w:type="dxa" w:w="313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US$ 20.700 → US$ 21.040 (pendiente de aprobación)</w:t>
            </w:r>
          </w:p>
        </w:tc>
        <w:tc>
          <w:tcPr>
            <w:tcW w:type="dxa" w:w="325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Condición de viabilidad del canal asistido</w:t>
            </w:r>
          </w:p>
        </w:tc>
      </w:tr>
      <w:tr>
        <w:trPr>
          <w:cantSplit/>
        </w:trPr>
        <w:tc>
          <w:tcPr>
            <w:tcW w:type="dxa" w:w="268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Costo variable estimado del canal</w:t>
            </w:r>
          </w:p>
        </w:tc>
        <w:tc>
          <w:tcPr>
            <w:tcW w:type="dxa" w:w="313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US$ 200–340 (estimación interna); tope de API de US$ 120</w:t>
            </w:r>
          </w:p>
        </w:tc>
        <w:tc>
          <w:tcPr>
            <w:tcW w:type="dxa" w:w="325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Control de factura y pausa ante desvío</w:t>
            </w:r>
          </w:p>
        </w:tc>
      </w:tr>
      <w:tr>
        <w:trPr>
          <w:cantSplit/>
        </w:trPr>
        <w:tc>
          <w:tcPr>
            <w:tcW w:type="dxa" w:w="268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Esfuerzo adicional estimado</w:t>
            </w:r>
          </w:p>
        </w:tc>
        <w:tc>
          <w:tcPr>
            <w:tcW w:type="dxa" w:w="313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13–22 días-persona (estimación interna)</w:t>
            </w:r>
          </w:p>
        </w:tc>
        <w:tc>
          <w:tcPr>
            <w:tcW w:type="dxa" w:w="325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Exige sustitución de alcance, no contratación</w:t>
            </w:r>
          </w:p>
        </w:tc>
      </w:tr>
      <w:tr>
        <w:trPr>
          <w:cantSplit/>
        </w:trPr>
        <w:tc>
          <w:tcPr>
            <w:tcW w:type="dxa" w:w="268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Contingencia</w:t>
            </w:r>
          </w:p>
        </w:tc>
        <w:tc>
          <w:tcPr>
            <w:tcW w:type="dxa" w:w="313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 xml:space="preserve">US$ 1.890 (10 % de la base de US$ 18.810)</w:t>
            </w:r>
          </w:p>
        </w:tc>
        <w:tc>
          <w:tcPr>
            <w:tcW w:type="dxa" w:w="325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Alternativa de financiamiento del canal, solo con acta</w:t>
            </w:r>
          </w:p>
        </w:tc>
      </w:tr>
      <w:tr>
        <w:trPr>
          <w:cantSplit/>
        </w:trPr>
        <w:tc>
          <w:tcPr>
            <w:tcW w:type="dxa" w:w="268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Umbral de desviación de gasto</w:t>
            </w:r>
          </w:p>
        </w:tc>
        <w:tc>
          <w:tcPr>
            <w:tcW w:type="dxa" w:w="313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&gt; 10 %</w:t>
            </w:r>
          </w:p>
        </w:tc>
        <w:tc>
          <w:tcPr>
            <w:tcW w:type="dxa" w:w="325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Detención de gasto no comprometido</w:t>
            </w:r>
          </w:p>
        </w:tc>
      </w:tr>
      <w:tr>
        <w:trPr>
          <w:cantSplit/>
        </w:trPr>
        <w:tc>
          <w:tcPr>
            <w:tcW w:type="dxa" w:w="2683"/>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Límite de trabajo en curso</w:t>
            </w:r>
          </w:p>
        </w:tc>
        <w:tc>
          <w:tcPr>
            <w:tcW w:type="dxa" w:w="3137"/>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2 por persona</w:t>
            </w:r>
          </w:p>
        </w:tc>
        <w:tc>
          <w:tcPr>
            <w:tcW w:type="dxa" w:w="3251"/>
            <w:shd w:val="clear" w:color="auto" w:fill="F2F2F2"/>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Protección de calidad e integración</w:t>
            </w:r>
          </w:p>
        </w:tc>
      </w:tr>
      <w:tr>
        <w:trPr>
          <w:cantSplit/>
        </w:trPr>
        <w:tc>
          <w:tcPr>
            <w:tcW w:type="dxa" w:w="2683"/>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Puntaje mínimo de hito</w:t>
            </w:r>
          </w:p>
        </w:tc>
        <w:tc>
          <w:tcPr>
            <w:tcW w:type="dxa" w:w="3137"/>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4 / 5</w:t>
            </w:r>
          </w:p>
        </w:tc>
        <w:tc>
          <w:tcPr>
            <w:tcW w:type="dxa" w:w="3251"/>
            <w:shd w:val="clear" w:color="auto" w:fill="FFFFFF"/>
          </w:tcPr>
          <w:p>
            <w:pPr>
              <w:spacing w:line="360" w:lineRule="auto" w:after="0" w:before="0"/>
            </w:pPr>
            <w:r>
              <w:rPr>
                <w:rFonts w:ascii="Times New Roman" w:hAnsi="Times New Roman" w:cs="Times New Roman" w:eastAsia="Times New Roman"/>
                <w:sz w:val="24"/>
              </w:rPr>
            </w:r>
            <w:r>
              <w:rPr>
                <w:rFonts w:ascii="Times New Roman" w:hAnsi="Times New Roman" w:eastAsia="Times New Roman" w:cs="Times New Roman"/>
                <w:b w:val="0"/>
                <w:i w:val="0"/>
                <w:sz w:val="24"/>
                <w:szCs w:val="24"/>
              </w:rPr>
              <w:t>Reapertura del corte si no se alcanza</w:t>
            </w:r>
          </w:p>
        </w:tc>
      </w:tr>
    </w:tbl>
    <w:p>
      <w:pPr>
        <w:spacing w:before="40" w:after="160" w:line="240" w:lineRule="auto"/>
        <w:ind w:firstLine="0"/>
        <w:jc w:val="center"/>
      </w:pPr>
      <w:r>
        <w:rPr>
          <w:rFonts w:ascii="Times New Roman" w:hAnsi="Times New Roman" w:cs="Times New Roman" w:eastAsia="Times New Roman"/>
          <w:b w:val="0"/>
          <w:i/>
          <w:color w:val="444444"/>
          <w:sz w:val="18"/>
        </w:rPr>
        <w:t xml:space="preserve">Tabla 13. Cifras relevantes para la toma de decisiones.</w:t>
      </w:r>
    </w:p>
    <w:p/>
    <w:p>
      <w:pPr>
        <w:keepNext/>
        <w:spacing w:line="360" w:lineRule="auto" w:after="60" w:before="160"/>
      </w:pPr>
      <w:r>
        <w:rPr>
          <w:rFonts w:ascii="Times New Roman" w:hAnsi="Times New Roman" w:eastAsia="Times New Roman" w:cs="Times New Roman"/>
          <w:b/>
          <w:i w:val="0"/>
          <w:color w:val="10263D"/>
          <w:sz w:val="24"/>
        </w:rPr>
        <w:t>4.4 Síntesis para dirección</w:t>
      </w:r>
    </w:p>
    <w:p>
      <w:pPr>
        <w:spacing w:line="360" w:lineRule="auto" w:after="120" w:before="0"/>
        <w:jc w:val="both"/>
      </w:pPr>
      <w:r>
        <w:rPr>
          <w:rFonts w:ascii="Times New Roman" w:hAnsi="Times New Roman" w:eastAsia="Times New Roman" w:cs="Times New Roman"/>
          <w:b w:val="0"/>
          <w:i w:val="0"/>
          <w:sz w:val="24"/>
        </w:rPr>
        <w:t>El plan inicial se mantiene como referencia y los hitos solo cambian mediante el registro de cambios. Se solicita autorización para elevar el techo de US$ 20.700 a US$ 21.040 si se incorpora la asistencia automatizada en fase 1. El orden técnico es priorización visual antes del canal asistido; este último no sustituye al soporte humano. La rentabilidad se verificará con línea base de consultas versus consumo de nube. Las ampliaciones de producto (aplicación ciudadana, lago de datos completo, monitoreo de flota) permanecen fuera de la ventana y exigen un nuevo ciclo de control de cambios.</w:t>
      </w:r>
    </w:p>
    <w:p>
      <w:pPr>
        <w:spacing w:line="276" w:lineRule="auto" w:after="80" w:before="200"/>
        <w:jc w:val="left"/>
        <w:pBdr>
          <w:bottom w:val="single" w:sz="8" w:space="6" w:color="10263D"/>
        </w:pBdr>
      </w:pPr>
      <w:r>
        <w:rPr>
          <w:rFonts w:ascii="Times New Roman" w:hAnsi="Times New Roman" w:eastAsia="Times New Roman" w:cs="Times New Roman"/>
          <w:b/>
          <w:i w:val="0"/>
          <w:color w:val="10263D"/>
          <w:sz w:val="26"/>
        </w:rPr>
        <w:t>Conclusiones</w:t>
      </w:r>
    </w:p>
    <w:p>
      <w:pPr>
        <w:spacing w:line="360" w:lineRule="auto" w:after="120" w:before="0"/>
        <w:jc w:val="both"/>
      </w:pPr>
      <w:r>
        <w:rPr>
          <w:rFonts w:ascii="Times New Roman" w:hAnsi="Times New Roman" w:eastAsia="Times New Roman" w:cs="Times New Roman"/>
          <w:b w:val="0"/>
          <w:i w:val="0"/>
          <w:sz w:val="24"/>
        </w:rPr>
        <w:t>El sistema de monitoreo y control propuesto combina Project Libre, Trello, el Excel financiero y un conjunto de indicadores estratégicos y operativos, revisados en cada uno de los cuatro hitos del piloto. La gestión del cambio registra las situaciones que afectan al proyecto, la estrategia adoptada en cada caso y su relación con el plan inicial. El plan de recursos considera la capacidad limitada del equipo, el techo aprobado de US$ 20.700 y la infraestructura en la nube, con criterios de viabilidad y rentabilidad que pueden medirse. El estado informado a las partes interesadas reúne las cifras necesarias para decidir si se aprueba el techo solicitado para la asistencia automatizada; al corte del 19 de octubre el avance es de 54,9 %, conforme a la línea base, y el hito de inventario se cumplió con puntaje 4 / 5. El gasto ejecutado al mismo corte es de US$ 10.346, equivalente al 55 % de la base de US$ 18.810 y, por lo tanto, conforme al avance; la desviación es de 0 % y no se ha usado contingencia.</w:t>
      </w:r>
    </w:p>
    <w:p>
      <w:pPr>
        <w:spacing w:line="276" w:lineRule="auto" w:after="80" w:before="200"/>
        <w:jc w:val="left"/>
        <w:pBdr>
          <w:bottom w:val="single" w:sz="8" w:space="6" w:color="10263D"/>
        </w:pBdr>
      </w:pPr>
      <w:r>
        <w:rPr>
          <w:rFonts w:ascii="Times New Roman" w:hAnsi="Times New Roman" w:eastAsia="Times New Roman" w:cs="Times New Roman"/>
          <w:b/>
          <w:i w:val="0"/>
          <w:color w:val="10263D"/>
          <w:sz w:val="26"/>
        </w:rPr>
        <w:t>Referencias</w:t>
      </w:r>
    </w:p>
    <w:p>
      <w:pPr>
        <w:spacing w:line="360" w:lineRule="auto" w:after="120" w:before="0"/>
        <w:jc w:val="both"/>
      </w:pPr>
      <w:r>
        <w:rPr>
          <w:rFonts w:ascii="Times New Roman" w:hAnsi="Times New Roman" w:eastAsia="Times New Roman" w:cs="Times New Roman"/>
          <w:b w:val="0"/>
          <w:i w:val="0"/>
          <w:sz w:val="24"/>
        </w:rPr>
        <w:t>Project Management Institute. (2017). Guía de los fundamentos para la dirección de proyectos (Guía del PMBOK) (6.ª ed.). Project Management Institute.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Kiran -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s="Times New Roman" w:eastAsia="Times New Roman"/>
        <w:b w:val="0"/>
        <w:i w:val="0"/>
        <w:color w:val="555555"/>
        <w:sz w:val="18"/>
      </w:rPr>
      <w:t>Kiran - Informe ejecutivo de monitoreo y control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eastAsia="Times New Roman"/>
    </w:rPr>
  </w:style>
  <w:style w:type="character" w:customStyle="1" w:styleId="HeaderChar">
    <w:name w:val="Header Char"/>
    <w:basedOn w:val="DefaultParagraphFont"/>
    <w:link w:val="Header"/>
    <w:uiPriority w:val="99"/>
    <w:rsid w:val="00E618BF"/>
    <w:rPr>
      <w:rFonts w:ascii="Times New Roman" w:hAnsi="Times New Roman" w:cs="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Times New Roman"/>
    </w:rPr>
  </w:style>
  <w:style w:type="character" w:customStyle="1" w:styleId="FooterChar">
    <w:name w:val="Footer Char"/>
    <w:basedOn w:val="DefaultParagraphFont"/>
    <w:link w:val="Footer"/>
    <w:uiPriority w:val="99"/>
    <w:rsid w:val="00E618BF"/>
    <w:rPr>
      <w:rFonts w:ascii="Times New Roman" w:hAnsi="Times New Roman" w:cs="Times New Roman" w:eastAsia="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cs="Times New Roman" w:eastAsia="Times New Roman"/>
    </w:rPr>
  </w:style>
  <w:style w:type="table" w:default="1" w:styleId="TableNormal">
    <w:name w:val="Normal Table"/>
    <w:uiPriority w:val="99"/>
    <w:semiHidden/>
    <w:unhideWhenUsed/>
    <w:rPr>
      <w:rFonts w:ascii="Times New Roman" w:hAnsi="Times New Roman" w:cs="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s="Times New Roman" w:eastAsia="Times New Roman"/>
    </w:r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s="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cs="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cs="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cs="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cs="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cs="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cs="Times New Roman" w:eastAsia="Times New Roman"/>
      <w:b/>
      <w:bCs/>
    </w:rPr>
  </w:style>
  <w:style w:type="character" w:styleId="Emphasis">
    <w:name w:val="Emphasis"/>
    <w:basedOn w:val="DefaultParagraphFont"/>
    <w:uiPriority w:val="20"/>
    <w:qFormat/>
    <w:rsid w:val="00FC693F"/>
    <w:rPr>
      <w:rFonts w:ascii="Times New Roman" w:hAnsi="Times New Roman" w:cs="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cs="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cs="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cs="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cs="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cs="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cs="Times New Roman"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s="Times New Roman" w:eastAsia="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Equipo Kiran</dc:creator>
  <cp:keywords/>
  <dc:description/>
  <cp:lastModifiedBy>Equipo Kiran</cp:lastModifiedBy>
  <cp:revision>1</cp:revision>
  <dcterms:created xsi:type="dcterms:W3CDTF">2013-12-23T23:15:00Z</dcterms:created>
  <dcterms:modified xsi:type="dcterms:W3CDTF">2013-12-23T23:15:00Z</dcterms:modified>
  <cp:category/>
  <cp:contentStatus/>
</cp:coreProperties>
</file>