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072"/>
      </w:tblGrid>
      <w:tr>
        <w:tc>
          <w:tcPr>
            <w:tcW w:type="dxa" w:w="9071"/>
            <w:shd w:fill="10263D" w:val="clear"/>
            <w:tcMar>
              <w:top w:w="0" w:type="dxa"/>
              <w:bottom w:w="0" w:type="dxa"/>
              <w:left w:w="0" w:type="dxa"/>
              <w:right w:w="0" w:type="dxa"/>
            </w:tcMar>
          </w:tcPr>
          <w:p>
            <w:pPr>
              <w:spacing w:before="0" w:after="0" w:line="240" w:lineRule="auto"/>
            </w:pPr>
            <w:r>
              <w:rPr>
                <w:rFonts w:ascii="Times New Roman" w:hAnsi="Times New Roman" w:cs="Times New Roman" w:eastAsia="Times New Roman"/>
                <w:b w:val="0"/>
                <w:i w:val="0"/>
                <w:sz w:val="24"/>
              </w:rPr>
              <w:t xml:space="preserve"> </w:t>
            </w:r>
          </w:p>
        </w:tc>
      </w:tr>
    </w:tbl>
    <w:p>
      <w:pPr>
        <w:spacing w:before="0" w:after="0" w:line="240" w:lineRule="auto"/>
      </w:pPr>
    </w:p>
    <w:tbl>
      <w:tblPr>
        <w:tblW w:type="auto" w:w="0"/>
        <w:jc w:val="center"/>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072"/>
      </w:tblGrid>
      <w:tr>
        <w:tc>
          <w:tcPr>
            <w:tcW w:type="dxa" w:w="9071"/>
            <w:shd w:fill="E59A24" w:val="clear"/>
            <w:tcMar>
              <w:top w:w="0" w:type="dxa"/>
              <w:bottom w:w="0" w:type="dxa"/>
              <w:left w:w="0" w:type="dxa"/>
              <w:right w:w="0" w:type="dxa"/>
            </w:tcMar>
          </w:tcPr>
          <w:p>
            <w:pPr>
              <w:spacing w:before="0" w:after="0" w:line="240" w:lineRule="auto"/>
            </w:pPr>
            <w:r>
              <w:rPr>
                <w:rFonts w:ascii="Times New Roman" w:hAnsi="Times New Roman" w:cs="Times New Roman" w:eastAsia="Times New Roman"/>
                <w:b w:val="0"/>
                <w:i w:val="0"/>
                <w:sz w:val="10"/>
              </w:rPr>
              <w:t xml:space="preserve"> </w:t>
            </w:r>
          </w:p>
        </w:tc>
      </w:tr>
    </w:tbl>
    <w:p>
      <w:pPr>
        <w:spacing w:before="0" w:after="0" w:line="240" w:lineRule="auto"/>
      </w:pPr>
    </w:p>
    <w:p>
      <w:pPr>
        <w:spacing w:before="560" w:after="0"/>
      </w:pPr>
    </w:p>
    <w:p>
      <w:pPr>
        <w:spacing w:after="200"/>
        <w:ind w:firstLine="0"/>
        <w:jc w:val="center"/>
      </w:pPr>
      <w:r>
        <w:drawing>
          <wp:inline xmlns:a="http://schemas.openxmlformats.org/drawingml/2006/main" xmlns:pic="http://schemas.openxmlformats.org/drawingml/2006/picture">
            <wp:extent cx="1368000" cy="1368000"/>
            <wp:docPr id="1" name="Picture 1"/>
            <wp:cNvGraphicFramePr>
              <a:graphicFrameLocks noChangeAspect="1"/>
            </wp:cNvGraphicFramePr>
            <a:graphic>
              <a:graphicData uri="http://schemas.openxmlformats.org/drawingml/2006/picture">
                <pic:pic>
                  <pic:nvPicPr>
                    <pic:cNvPr id="0" name="kiran-isotipo.png"/>
                    <pic:cNvPicPr/>
                  </pic:nvPicPr>
                  <pic:blipFill>
                    <a:blip r:embed="rId11"/>
                    <a:stretch>
                      <a:fillRect/>
                    </a:stretch>
                  </pic:blipFill>
                  <pic:spPr>
                    <a:xfrm>
                      <a:off x="0" y="0"/>
                      <a:ext cx="1368000" cy="1368000"/>
                    </a:xfrm>
                    <a:prstGeom prst="rect"/>
                  </pic:spPr>
                </pic:pic>
              </a:graphicData>
            </a:graphic>
          </wp:inline>
        </w:drawing>
      </w:r>
    </w:p>
    <w:p>
      <w:pPr>
        <w:spacing w:after="80"/>
        <w:ind w:firstLine="0"/>
        <w:jc w:val="center"/>
      </w:pPr>
      <w:r>
        <w:rPr>
          <w:rFonts w:ascii="Arial" w:hAnsi="Arial" w:cs="Arial" w:eastAsia="Arial"/>
          <w:b/>
          <w:i w:val="0"/>
          <w:color w:val="10263D"/>
          <w:sz w:val="56"/>
        </w:rPr>
        <w:t>KIRAN</w:t>
      </w:r>
    </w:p>
    <w:p>
      <w:pPr>
        <w:spacing w:after="360"/>
        <w:ind w:firstLine="0"/>
        <w:jc w:val="center"/>
      </w:pPr>
      <w:r>
        <w:rPr>
          <w:rFonts w:ascii="Times New Roman" w:hAnsi="Times New Roman" w:cs="Times New Roman" w:eastAsia="Times New Roman"/>
          <w:b w:val="0"/>
          <w:i/>
          <w:color w:val="10263D"/>
          <w:sz w:val="26"/>
        </w:rPr>
        <w:t>Visibilidad que mantiene la energía activa.</w:t>
      </w:r>
    </w:p>
    <w:p>
      <w:pPr>
        <w:spacing w:after="40"/>
        <w:ind w:firstLine="0"/>
        <w:jc w:val="center"/>
      </w:pPr>
      <w:r>
        <w:rPr>
          <w:rFonts w:ascii="Arial" w:hAnsi="Arial" w:eastAsia="Arial"/>
          <w:b/>
          <w:i w:val="0"/>
          <w:color w:val="E59A24"/>
          <w:sz w:val="22"/>
        </w:rPr>
        <w:t>ACTIVIDAD 2.1.2</w:t>
      </w:r>
    </w:p>
    <w:p>
      <w:pPr>
        <w:spacing w:after="80"/>
        <w:ind w:firstLine="0"/>
        <w:jc w:val="center"/>
      </w:pPr>
      <w:r>
        <w:rPr>
          <w:rFonts w:ascii="Times New Roman" w:hAnsi="Times New Roman" w:eastAsia="Times New Roman"/>
          <w:b/>
          <w:i w:val="0"/>
          <w:color w:val="10263D"/>
          <w:sz w:val="32"/>
        </w:rPr>
        <w:t>Sistema de monitoreo y control del proyecto</w:t>
      </w:r>
    </w:p>
    <w:p>
      <w:pPr>
        <w:spacing w:after="280"/>
        <w:ind w:firstLine="0"/>
        <w:jc w:val="center"/>
      </w:pPr>
      <w:r>
        <w:rPr>
          <w:rFonts w:ascii="Times New Roman" w:hAnsi="Times New Roman" w:eastAsia="Times New Roman"/>
          <w:b w:val="0"/>
          <w:i w:val="0"/>
          <w:color w:val="555555"/>
          <w:sz w:val="22"/>
        </w:rPr>
        <w:t>Plataforma Kiran para el seguimiento de kits solares en una comunidad piloto</w:t>
      </w:r>
    </w:p>
    <w:p>
      <w:pPr>
        <w:spacing w:after="360"/>
        <w:ind w:firstLine="0"/>
        <w:jc w:val="center"/>
      </w:pPr>
      <w:r>
        <w:rPr>
          <w:rFonts w:ascii="Times New Roman" w:hAnsi="Times New Roman" w:eastAsia="Times New Roman"/>
          <w:b w:val="0"/>
          <w:i w:val="0"/>
          <w:color w:val="10263D"/>
          <w:sz w:val="24"/>
        </w:rPr>
        <w:t>14 de septiembre de 2026 a 9 de diciembre de 2026. US$ 20.700. Contingencia del 12 %</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5"/>
            <w:shd w:fill="10263D" w:val="clear"/>
          </w:tcPr>
          <w:p>
            <w:pPr>
              <w:spacing w:after="0" w:before="0" w:line="240" w:lineRule="auto"/>
            </w:pPr>
            <w:r/>
            <w:r>
              <w:rPr>
                <w:rFonts w:ascii="Times New Roman" w:hAnsi="Times New Roman" w:cs="Times New Roman" w:eastAsia="Times New Roman"/>
                <w:b/>
                <w:i w:val="0"/>
                <w:color w:val="FFFFFF"/>
                <w:sz w:val="18"/>
              </w:rPr>
              <w:t>Equipo</w:t>
            </w:r>
          </w:p>
        </w:tc>
        <w:tc>
          <w:tcPr>
            <w:tcW w:type="dxa" w:w="4535"/>
            <w:shd w:fill="10263D" w:val="clear"/>
          </w:tcPr>
          <w:p>
            <w:pPr>
              <w:spacing w:after="0" w:before="0" w:line="240" w:lineRule="auto"/>
            </w:pPr>
            <w:r/>
            <w:r>
              <w:rPr>
                <w:rFonts w:ascii="Times New Roman" w:hAnsi="Times New Roman" w:cs="Times New Roman" w:eastAsia="Times New Roman"/>
                <w:b/>
                <w:i w:val="0"/>
                <w:color w:val="FFFFFF"/>
                <w:sz w:val="18"/>
              </w:rPr>
              <w:t>Rol en el piloto</w:t>
            </w:r>
          </w:p>
        </w:tc>
      </w:tr>
      <w:tr>
        <w:tc>
          <w:tcPr>
            <w:tcW w:type="dxa" w:w="4535"/>
          </w:tcPr>
          <w:p>
            <w:pPr>
              <w:spacing w:after="0" w:before="0" w:line="240" w:lineRule="auto"/>
            </w:pPr>
            <w:r/>
            <w:r>
              <w:rPr>
                <w:rFonts w:ascii="Times New Roman" w:hAnsi="Times New Roman" w:cs="Times New Roman" w:eastAsia="Times New Roman"/>
                <w:b w:val="0"/>
                <w:i w:val="0"/>
                <w:sz w:val="18"/>
              </w:rPr>
              <w:t>Giannina Guerrero</w:t>
            </w:r>
          </w:p>
        </w:tc>
        <w:tc>
          <w:tcPr>
            <w:tcW w:type="dxa" w:w="4535"/>
          </w:tcPr>
          <w:p>
            <w:pPr>
              <w:spacing w:after="0" w:before="0" w:line="240" w:lineRule="auto"/>
            </w:pPr>
            <w:r/>
            <w:r>
              <w:rPr>
                <w:rFonts w:ascii="Times New Roman" w:hAnsi="Times New Roman" w:cs="Times New Roman" w:eastAsia="Times New Roman"/>
                <w:b w:val="0"/>
                <w:i w:val="0"/>
                <w:sz w:val="18"/>
              </w:rPr>
              <w:t>Directora del proyecto y frontend</w:t>
            </w:r>
          </w:p>
        </w:tc>
      </w:tr>
      <w:tr>
        <w:tc>
          <w:tcPr>
            <w:tcW w:type="dxa" w:w="4535"/>
            <w:shd w:fill="F2F2F2" w:val="clear"/>
          </w:tcPr>
          <w:p>
            <w:pPr>
              <w:spacing w:after="0" w:before="0" w:line="240" w:lineRule="auto"/>
            </w:pPr>
            <w:r/>
            <w:r>
              <w:rPr>
                <w:rFonts w:ascii="Times New Roman" w:hAnsi="Times New Roman" w:cs="Times New Roman" w:eastAsia="Times New Roman"/>
                <w:b w:val="0"/>
                <w:i w:val="0"/>
                <w:sz w:val="18"/>
              </w:rPr>
              <w:t>Nicolás Barra</w:t>
            </w:r>
          </w:p>
        </w:tc>
        <w:tc>
          <w:tcPr>
            <w:tcW w:type="dxa" w:w="4535"/>
            <w:shd w:fill="F2F2F2" w:val="clear"/>
          </w:tcPr>
          <w:p>
            <w:pPr>
              <w:spacing w:after="0" w:before="0" w:line="240" w:lineRule="auto"/>
            </w:pPr>
            <w:r/>
            <w:r>
              <w:rPr>
                <w:rFonts w:ascii="Times New Roman" w:hAnsi="Times New Roman" w:cs="Times New Roman" w:eastAsia="Times New Roman"/>
                <w:b w:val="0"/>
                <w:i w:val="0"/>
                <w:sz w:val="18"/>
              </w:rPr>
              <w:t>Backend e inventario</w:t>
            </w:r>
          </w:p>
        </w:tc>
      </w:tr>
      <w:tr>
        <w:tc>
          <w:tcPr>
            <w:tcW w:type="dxa" w:w="4535"/>
          </w:tcPr>
          <w:p>
            <w:pPr>
              <w:spacing w:after="0" w:before="0" w:line="240" w:lineRule="auto"/>
            </w:pPr>
            <w:r/>
            <w:r>
              <w:rPr>
                <w:rFonts w:ascii="Times New Roman" w:hAnsi="Times New Roman" w:cs="Times New Roman" w:eastAsia="Times New Roman"/>
                <w:b w:val="0"/>
                <w:i w:val="0"/>
                <w:sz w:val="18"/>
              </w:rPr>
              <w:t>Ari Araya</w:t>
            </w:r>
          </w:p>
        </w:tc>
        <w:tc>
          <w:tcPr>
            <w:tcW w:type="dxa" w:w="4535"/>
          </w:tcPr>
          <w:p>
            <w:pPr>
              <w:spacing w:after="0" w:before="0" w:line="240" w:lineRule="auto"/>
            </w:pPr>
            <w:r/>
            <w:r>
              <w:rPr>
                <w:rFonts w:ascii="Times New Roman" w:hAnsi="Times New Roman" w:cs="Times New Roman" w:eastAsia="Times New Roman"/>
                <w:b w:val="0"/>
                <w:i w:val="0"/>
                <w:sz w:val="18"/>
              </w:rPr>
              <w:t>Infraestructura y nube</w:t>
            </w:r>
          </w:p>
        </w:tc>
      </w:tr>
      <w:tr>
        <w:tc>
          <w:tcPr>
            <w:tcW w:type="dxa" w:w="4535"/>
            <w:shd w:fill="F2F2F2" w:val="clear"/>
          </w:tcPr>
          <w:p>
            <w:pPr>
              <w:spacing w:after="0" w:before="0" w:line="240" w:lineRule="auto"/>
            </w:pPr>
            <w:r/>
            <w:r>
              <w:rPr>
                <w:rFonts w:ascii="Times New Roman" w:hAnsi="Times New Roman" w:cs="Times New Roman" w:eastAsia="Times New Roman"/>
                <w:b w:val="0"/>
                <w:i w:val="0"/>
                <w:sz w:val="18"/>
              </w:rPr>
              <w:t>Skarlett Tropan</w:t>
            </w:r>
          </w:p>
        </w:tc>
        <w:tc>
          <w:tcPr>
            <w:tcW w:type="dxa" w:w="4535"/>
            <w:shd w:fill="F2F2F2" w:val="clear"/>
          </w:tcPr>
          <w:p>
            <w:pPr>
              <w:spacing w:after="0" w:before="0" w:line="240" w:lineRule="auto"/>
            </w:pPr>
            <w:r/>
            <w:r>
              <w:rPr>
                <w:rFonts w:ascii="Times New Roman" w:hAnsi="Times New Roman" w:cs="Times New Roman" w:eastAsia="Times New Roman"/>
                <w:b w:val="0"/>
                <w:i w:val="0"/>
                <w:sz w:val="18"/>
              </w:rPr>
              <w:t>Calidad e impacto</w:t>
            </w:r>
          </w:p>
        </w:tc>
      </w:tr>
    </w:tbl>
    <w:p>
      <w:pPr>
        <w:spacing w:after="80"/>
        <w:jc w:val="center"/>
      </w:pPr>
      <w:r>
        <w:rPr>
          <w:rFonts w:ascii="Times New Roman" w:hAnsi="Times New Roman" w:eastAsia="Times New Roman"/>
          <w:b w:val="0"/>
          <w:i w:val="0"/>
          <w:color w:val="555555"/>
          <w:sz w:val="20"/>
        </w:rPr>
        <w:t>Equipo: Giannina Guerrero, Nicolás Barra, Ari Araya y Skarlett Tropan</w:t>
      </w:r>
    </w:p>
    <w:p>
      <w:pPr>
        <w:spacing w:before="360" w:after="40"/>
        <w:ind w:firstLine="0"/>
        <w:jc w:val="center"/>
      </w:pPr>
      <w:r>
        <w:rPr>
          <w:rFonts w:ascii="Times New Roman" w:hAnsi="Times New Roman" w:eastAsia="Times New Roman"/>
          <w:b w:val="0"/>
          <w:i w:val="0"/>
          <w:color w:val="555555"/>
          <w:sz w:val="20"/>
        </w:rPr>
        <w:t>GPY1102 Gestión de Proyectos de Software  ·  Docente: Juan Bautista Sáez Fernández</w:t>
      </w:r>
    </w:p>
    <w:p>
      <w:pPr>
        <w:spacing w:after="200"/>
        <w:ind w:firstLine="0"/>
        <w:jc w:val="center"/>
      </w:pPr>
      <w:r>
        <w:rPr>
          <w:rFonts w:ascii="Times New Roman" w:hAnsi="Times New Roman" w:eastAsia="Times New Roman"/>
          <w:b w:val="0"/>
          <w:i w:val="0"/>
          <w:color w:val="555555"/>
          <w:sz w:val="20"/>
        </w:rPr>
        <w:t>Duoc UC · Sede Puente Alto · jornada vespertina</w:t>
      </w:r>
    </w:p>
    <w:p>
      <w:pPr>
        <w:spacing w:before="160"/>
        <w:ind w:firstLine="0"/>
        <w:jc w:val="center"/>
      </w:pPr>
      <w:r>
        <w:rPr>
          <w:rFonts w:ascii="Times New Roman" w:hAnsi="Times New Roman" w:eastAsia="Times New Roman"/>
          <w:b w:val="0"/>
          <w:i/>
          <w:color w:val="555555"/>
          <w:sz w:val="20"/>
        </w:rPr>
        <w:t>Desarrollo de la actividad de monitoreo y control</w:t>
      </w:r>
    </w:p>
    <w:p>
      <w:pPr>
        <w:sectPr>
          <w:headerReference w:type="default" r:id="rId9"/>
          <w:footerReference w:type="default" r:id="rId10"/>
          <w:pgSz w:w="11906" w:h="16838"/>
          <w:pgMar w:top="1247" w:right="1417" w:bottom="1247" w:left="1417" w:header="720" w:footer="720" w:gutter="0"/>
          <w:cols w:space="720"/>
          <w:docGrid w:linePitch="360"/>
        </w:sectPr>
      </w:pPr>
    </w:p>
    <w:p>
      <w:pPr>
        <w:keepNext/>
        <w:spacing w:before="200" w:after="140" w:line="276" w:lineRule="auto"/>
        <w:jc w:val="left"/>
      </w:pPr>
      <w:r>
        <w:rPr>
          <w:rFonts w:ascii="Times New Roman" w:hAnsi="Times New Roman" w:eastAsia="Times New Roman"/>
          <w:b/>
          <w:i w:val="0"/>
          <w:color w:val="10263D"/>
          <w:sz w:val="26"/>
        </w:rPr>
        <w:t>1. Contexto del proyecto</w:t>
      </w:r>
    </w:p>
    <w:p>
      <w:pPr>
        <w:spacing w:before="0" w:after="120" w:line="360" w:lineRule="auto"/>
        <w:jc w:val="both"/>
      </w:pPr>
      <w:r>
        <w:rPr>
          <w:rFonts w:ascii="Times New Roman" w:hAnsi="Times New Roman" w:eastAsia="Times New Roman"/>
          <w:b w:val="0"/>
          <w:i w:val="0"/>
          <w:sz w:val="24"/>
        </w:rPr>
        <w:t>Kiran es una plataforma de apoyo para una empresa social que trabaja con kits solares en una comunidad piloto de India. El sistema permite mantener un inventario actualizado, visualizar el estado de los kits, registrar tickets de mantención y preparar un informe de impacto. El proyecto no considera fabricar ni instalar paneles, realizar tendidos eléctricos ni operar el servicio después del piloto.</w:t>
      </w:r>
    </w:p>
    <w:p>
      <w:pPr>
        <w:spacing w:before="0" w:after="120" w:line="360" w:lineRule="auto"/>
        <w:jc w:val="both"/>
      </w:pPr>
      <w:r>
        <w:rPr>
          <w:rFonts w:ascii="Times New Roman" w:hAnsi="Times New Roman" w:eastAsia="Times New Roman"/>
          <w:b w:val="0"/>
          <w:i w:val="0"/>
          <w:sz w:val="24"/>
        </w:rPr>
        <w:t>El plan se ejecuta desde el 14 de septiembre hasta el 9 de diciembre de 2026. El presupuesto autorizado tiene un techo de US$ 20.700 e incorpora una contingencia del 12 %. Para realizar el seguimiento se utilizarán Project Libre, Trello y Excel. Project Libre mantiene el cronograma y los hitos; Trello organiza el trabajo semanal; Excel concentra los resultados de los indicadores y las decisiones de control.</w:t>
      </w:r>
    </w:p>
    <w:p>
      <w:pPr>
        <w:spacing w:before="0" w:after="120" w:line="360" w:lineRule="auto"/>
        <w:jc w:val="both"/>
      </w:pPr>
      <w:r>
        <w:rPr>
          <w:rFonts w:ascii="Times New Roman" w:hAnsi="Times New Roman" w:eastAsia="Times New Roman"/>
          <w:b w:val="0"/>
          <w:i w:val="0"/>
          <w:sz w:val="24"/>
        </w:rPr>
        <w:t>Como equipo, definimos indicadores macro para revisar el estado general del proyecto e indicadores micro para observar la ejecución cotidiana. La revisión de ambos niveles permite detectar una desviación antes de que afecte el plazo, el presupuesto, la calidad o el alcance comprometido.</w:t>
      </w:r>
    </w:p>
    <w:p>
      <w:pPr>
        <w:keepNext/>
        <w:spacing w:before="200" w:after="140" w:line="276" w:lineRule="auto"/>
        <w:jc w:val="left"/>
      </w:pPr>
      <w:r>
        <w:rPr>
          <w:rFonts w:ascii="Times New Roman" w:hAnsi="Times New Roman" w:eastAsia="Times New Roman"/>
          <w:b/>
          <w:i w:val="0"/>
          <w:color w:val="10263D"/>
          <w:sz w:val="26"/>
        </w:rPr>
        <w:t>2. Indicadores macro del proyecto</w:t>
      </w:r>
    </w:p>
    <w:p>
      <w:pPr>
        <w:spacing w:before="0" w:after="120" w:line="360" w:lineRule="auto"/>
        <w:jc w:val="both"/>
      </w:pPr>
      <w:r>
        <w:rPr>
          <w:rFonts w:ascii="Times New Roman" w:hAnsi="Times New Roman" w:eastAsia="Times New Roman"/>
          <w:b w:val="0"/>
          <w:i w:val="0"/>
          <w:sz w:val="24"/>
        </w:rPr>
        <w:t>Los cuatro KPI principales corresponden a las áreas señaladas en el contenido de la asignatura: tiempo, costo, satisfacción del cliente y calidad. Cada uno tiene una forma de cálculo, una meta y una medida correctiva. La información se actualizará en el dashboard de Excel y se revisará en las fechas definidas para los cortes del proyecto.</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0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KPI</w:t>
            </w:r>
          </w:p>
        </w:tc>
        <w:tc>
          <w:tcPr>
            <w:tcW w:type="dxa" w:w="324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Forma de medición</w:t>
            </w:r>
          </w:p>
        </w:tc>
        <w:tc>
          <w:tcPr>
            <w:tcW w:type="dxa" w:w="2232"/>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Meta</w:t>
            </w:r>
          </w:p>
        </w:tc>
        <w:tc>
          <w:tcPr>
            <w:tcW w:type="dxa" w:w="2088"/>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Responsable y frecuencia</w:t>
            </w:r>
          </w:p>
        </w:tc>
        <w:tc>
          <w:tcPr>
            <w:tcW w:type="dxa" w:w="2448"/>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Acción ante desviación</w:t>
            </w:r>
          </w:p>
        </w:tc>
      </w:tr>
      <w:tr>
        <w:tc>
          <w:tcPr>
            <w:tcW w:type="dxa" w:w="180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Porcentaje de cumplimiento de hitos</w:t>
            </w:r>
          </w:p>
        </w:tc>
        <w:tc>
          <w:tcPr>
            <w:tcW w:type="dxa" w:w="324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Hitos cerrados en la fecha comprometida / total de hitos × 100. Se consideran los cortes del 19 de octubre, 9 de noviembre, 4 de diciembre y 9 de diciembre.</w:t>
            </w:r>
          </w:p>
        </w:tc>
        <w:tc>
          <w:tcPr>
            <w:tcW w:type="dxa" w:w="2232"/>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Meta de 100 %. Se acepta hasta 3 días de atraso si la causa queda registrada.</w:t>
            </w:r>
          </w:p>
        </w:tc>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Giannina Guerrero. Revisión el día de cada corte.</w:t>
            </w:r>
          </w:p>
        </w:tc>
        <w:tc>
          <w:tcPr>
            <w:tcW w:type="dxa" w:w="244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Si el atraso supera 3 días, el siguiente periodo prioriza el trabajo pendiente y no incorpora trabajo nuevo.</w:t>
            </w:r>
          </w:p>
        </w:tc>
      </w:tr>
      <w:tr>
        <w:tc>
          <w:tcPr>
            <w:tcW w:type="dxa" w:w="180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Desviación del presupuesto</w:t>
            </w:r>
          </w:p>
        </w:tc>
        <w:tc>
          <w:tcPr>
            <w:tcW w:type="dxa" w:w="324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(Costo real acumulado menos costo planificado acumulado) / costo planificado acumulado × 100. Se controla contra el techo de US$ 20.700.</w:t>
            </w:r>
          </w:p>
        </w:tc>
        <w:tc>
          <w:tcPr>
            <w:tcW w:type="dxa" w:w="2232"/>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No superar US$ 20.700. La contingencia del 12 % se utiliza solo con motivo documentado.</w:t>
            </w:r>
          </w:p>
        </w:tc>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Ari Araya. Actualización cada 2 semanas.</w:t>
            </w:r>
          </w:p>
        </w:tc>
        <w:tc>
          <w:tcPr>
            <w:tcW w:type="dxa" w:w="244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Si la desviación supera 10 %, se detiene el gasto no comprometido y se revisan las prioridades del plan.</w:t>
            </w:r>
          </w:p>
        </w:tc>
      </w:tr>
      <w:tr>
        <w:tc>
          <w:tcPr>
            <w:tcW w:type="dxa" w:w="180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Satisfacción del cliente</w:t>
            </w:r>
          </w:p>
        </w:tc>
        <w:tc>
          <w:tcPr>
            <w:tcW w:type="dxa" w:w="324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Pauta de recepción de cada corte, con escala de 1 a 5, aplicada a la empresa social del caso. Se consulta si el avance responde a lo solicitado y si los límites del alcance quedaron claros.</w:t>
            </w:r>
          </w:p>
        </w:tc>
        <w:tc>
          <w:tcPr>
            <w:tcW w:type="dxa" w:w="2232"/>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Resultado igual o superior a 4 puntos.</w:t>
            </w:r>
          </w:p>
        </w:tc>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Giannina Guerrero. Aplicación al cierre de cada corte.</w:t>
            </w:r>
          </w:p>
        </w:tc>
        <w:tc>
          <w:tcPr>
            <w:tcW w:type="dxa" w:w="244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Si el resultado es menor que 4, se revisa y se reabre el alcance del corte antes de continuar.</w:t>
            </w:r>
          </w:p>
        </w:tc>
      </w:tr>
      <w:tr>
        <w:tc>
          <w:tcPr>
            <w:tcW w:type="dxa" w:w="180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Defectos por cada 1000 líneas de código</w:t>
            </w:r>
          </w:p>
        </w:tc>
        <w:tc>
          <w:tcPr>
            <w:tcW w:type="dxa" w:w="324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t>Se cuentan los defectos encontrados en el periodo, no los que siguen abiertos. Si un defecto se halla y se cierra en el mismo periodo, igual cuenta. Si se reabre, vuelve a contar. Un defecto es una falla confirmada contra un criterio de aceptación, en revisión o en prueba, con severidad bloqueante, mayor o menor. Una falla de acceso, de autenticación o de inyección se registra como mayor o bloqueante. El denominador son las líneas lógicas agregadas o modificadas en el periodo, no el total del repositorio. Nicolás Barra las cuenta, sin comentarios, sin código generado y sin librerías. La fórmula es defectos encontrados / líneas cambiadas × 1000.</w:t>
            </w:r>
            <w:r>
              <w:rPr>
                <w:rFonts w:ascii="Times New Roman" w:hAnsi="Times New Roman" w:eastAsia="Times New Roman"/>
                <w:b w:val="0"/>
                <w:color w:val="000000"/>
                <w:sz w:val="19"/>
              </w:rPr>
            </w:r>
          </w:p>
        </w:tc>
        <w:tc>
          <w:tcPr>
            <w:tcW w:type="dxa" w:w="2232"/>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t>5 o menos por cada 1000 líneas, y cero bloqueantes abiertos al corte. Si no hay código medible, se registra «sin base». No se inventa un número.</w:t>
            </w:r>
            <w:r>
              <w:rPr>
                <w:rFonts w:ascii="Times New Roman" w:hAnsi="Times New Roman" w:eastAsia="Times New Roman"/>
                <w:b w:val="0"/>
                <w:color w:val="000000"/>
                <w:sz w:val="19"/>
              </w:rPr>
            </w:r>
          </w:p>
        </w:tc>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t>Skarlett Tropan. Al cierre de cada periodo, con el conteo de Nicolás Barra.</w:t>
            </w:r>
            <w:r>
              <w:rPr>
                <w:rFonts w:ascii="Times New Roman" w:hAnsi="Times New Roman" w:eastAsia="Times New Roman"/>
                <w:b w:val="0"/>
                <w:color w:val="000000"/>
                <w:sz w:val="19"/>
              </w:rPr>
            </w:r>
          </w:p>
        </w:tc>
        <w:tc>
          <w:tcPr>
            <w:tcW w:type="dxa" w:w="244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t>Si se pasa la meta o queda un bloqueante abierto, el periodo siguiente parte por esos defectos.</w:t>
            </w:r>
            <w:r>
              <w:rPr>
                <w:rFonts w:ascii="Times New Roman" w:hAnsi="Times New Roman" w:eastAsia="Times New Roman"/>
                <w:b w:val="0"/>
                <w:color w:val="000000"/>
                <w:sz w:val="19"/>
              </w:rPr>
            </w:r>
          </w:p>
        </w:tc>
      </w:tr>
    </w:tbl>
    <w:p>
      <w:pPr>
        <w:spacing w:before="40" w:after="100" w:line="240" w:lineRule="auto"/>
        <w:jc w:val="center"/>
      </w:pPr>
      <w:r>
        <w:rPr>
          <w:rFonts w:ascii="Times New Roman" w:hAnsi="Times New Roman" w:eastAsia="Times New Roman"/>
          <w:b w:val="0"/>
          <w:i/>
          <w:color w:val="444444"/>
          <w:sz w:val="18"/>
        </w:rPr>
        <w:t>Tabla 1. KPI macro definidos para controlar el avance y la ejecución de Kiran.</w:t>
      </w:r>
    </w:p>
    <w:p>
      <w:pPr>
        <w:keepNext/>
        <w:spacing w:before="200" w:after="140" w:line="276" w:lineRule="auto"/>
        <w:jc w:val="left"/>
      </w:pPr>
      <w:r>
        <w:rPr>
          <w:rFonts w:ascii="Times New Roman" w:hAnsi="Times New Roman" w:eastAsia="Times New Roman"/>
          <w:b/>
          <w:i w:val="0"/>
          <w:color w:val="10263D"/>
          <w:sz w:val="26"/>
        </w:rPr>
        <w:t>2. Indicadores micro de ejecución</w:t>
      </w:r>
    </w:p>
    <w:p>
      <w:pPr>
        <w:spacing w:before="0" w:after="120" w:line="360" w:lineRule="auto"/>
        <w:jc w:val="both"/>
      </w:pPr>
      <w:r>
        <w:rPr>
          <w:rFonts w:ascii="Times New Roman" w:hAnsi="Times New Roman" w:eastAsia="Times New Roman"/>
          <w:b w:val="0"/>
          <w:i w:val="0"/>
          <w:sz w:val="24"/>
        </w:rPr>
        <w:t>Los indicadores micro se observan durante el trabajo semanal. No reemplazan a los KPI macro, sino que ayudan a explicar sus resultados. Si un hito se atrasa, por ejemplo, se revisan las historias pendientes, los bloqueos y la carga de trabajo antes de tomar una decisión.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088"/>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Micro indicador</w:t>
            </w:r>
          </w:p>
        </w:tc>
        <w:tc>
          <w:tcPr>
            <w:tcW w:type="dxa" w:w="3456"/>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Medición y meta</w:t>
            </w:r>
          </w:p>
        </w:tc>
        <w:tc>
          <w:tcPr>
            <w:tcW w:type="dxa" w:w="252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Responsable y frecuencia</w:t>
            </w:r>
          </w:p>
        </w:tc>
        <w:tc>
          <w:tcPr>
            <w:tcW w:type="dxa" w:w="3744"/>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Acción ante desviación</w:t>
            </w:r>
          </w:p>
        </w:tc>
      </w:tr>
      <w:tr>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Cumplimiento del sprint</w:t>
            </w:r>
          </w:p>
        </w:tc>
        <w:tc>
          <w:tcPr>
            <w:tcW w:type="dxa" w:w="3456"/>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Historias cerradas / historias comprometidas × 100. Meta: 80 % o más.</w:t>
            </w:r>
          </w:p>
        </w:tc>
        <w:tc>
          <w:tcPr>
            <w:tcW w:type="dxa" w:w="252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Nicolás Barra. Revisión al cierre de cada sprint.</w:t>
            </w:r>
          </w:p>
        </w:tc>
        <w:tc>
          <w:tcPr>
            <w:tcW w:type="dxa" w:w="3744"/>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Si queda bajo 80 %, se retiran del compromiso las tareas que no alcanzaron a terminarse y se reordenan en el backlog.</w:t>
            </w:r>
          </w:p>
        </w:tc>
      </w:tr>
      <w:tr>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Bloqueos</w:t>
            </w:r>
          </w:p>
        </w:tc>
        <w:tc>
          <w:tcPr>
            <w:tcW w:type="dxa" w:w="3456"/>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Tarjetas que permanecen en estado bloqueado durante más de 5 días. Meta: cero.</w:t>
            </w:r>
          </w:p>
        </w:tc>
        <w:tc>
          <w:tcPr>
            <w:tcW w:type="dxa" w:w="252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Responsable de cada tarjeta y Giannina Guerrero. Revisión semanal.</w:t>
            </w:r>
          </w:p>
        </w:tc>
        <w:tc>
          <w:tcPr>
            <w:tcW w:type="dxa" w:w="3744"/>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A los 5 días se reasigna la tarea, se divide en partes más pequeñas o se registra una decisión para desbloquearla.</w:t>
            </w:r>
          </w:p>
        </w:tc>
      </w:tr>
      <w:tr>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Trabajo en curso</w:t>
            </w:r>
          </w:p>
        </w:tc>
        <w:tc>
          <w:tcPr>
            <w:tcW w:type="dxa" w:w="3456"/>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Número de tarjetas en estado «En curso» por integrante. Meta: máximo 2 tarjetas por persona.</w:t>
            </w:r>
          </w:p>
        </w:tc>
        <w:tc>
          <w:tcPr>
            <w:tcW w:type="dxa" w:w="252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Cada integrante. Revisión antes de tomar una tarea nueva.</w:t>
            </w:r>
          </w:p>
        </w:tc>
        <w:tc>
          <w:tcPr>
            <w:tcW w:type="dxa" w:w="3744"/>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No se abre una tercera tarjeta mientras las dos anteriores sigan en curso.</w:t>
            </w:r>
          </w:p>
        </w:tc>
      </w:tr>
      <w:tr>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Coherencia del tablero</w:t>
            </w:r>
          </w:p>
        </w:tc>
        <w:tc>
          <w:tcPr>
            <w:tcW w:type="dxa" w:w="3456"/>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Comparación entre el estado real de las tareas y las columnas de Trello. Meta: tablero actualizado y sin tareas terminadas que aún estén en ejecución.</w:t>
            </w:r>
          </w:p>
        </w:tc>
        <w:tc>
          <w:tcPr>
            <w:tcW w:type="dxa" w:w="252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Skarlett Tropan. Revisión semanal.</w:t>
            </w:r>
          </w:p>
        </w:tc>
        <w:tc>
          <w:tcPr>
            <w:tcW w:type="dxa" w:w="3744"/>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Se corrige el tablero antes de actualizar el dashboard y se solicita la evidencia faltante al responsable.</w:t>
            </w:r>
          </w:p>
        </w:tc>
      </w:tr>
      <w:tr>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r/>
            <w:r>
              <w:rPr/>
              <w:t>Reapertura de defectos</w:t>
            </w:r>
          </w:p>
        </w:tc>
        <w:tc>
          <w:tcPr>
            <w:tcW w:type="dxa" w:w="3456"/>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r/>
            <w:r>
              <w:rPr/>
              <w:t>Reabiertos / cerrados en el periodo × 100. Meta: bajo 20 %. Mientras el KPI de defectos esté en «sin base», este micro es el que muestra si la calidad se escapa.</w:t>
            </w:r>
          </w:p>
        </w:tc>
        <w:tc>
          <w:tcPr>
            <w:tcW w:type="dxa" w:w="252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r/>
            <w:r>
              <w:rPr/>
              <w:t>Skarlett Tropan. Al fin de cada sprint.</w:t>
            </w:r>
          </w:p>
        </w:tc>
        <w:tc>
          <w:tcPr>
            <w:tcW w:type="dxa" w:w="3744"/>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r/>
            <w:r>
              <w:rPr/>
              <w:t>Si pasa 20 %, el sprint siguiente no abre historias nuevas hasta bajar esa cola.</w:t>
            </w:r>
          </w:p>
        </w:tc>
      </w:tr>
    </w:tbl>
    <w:p>
      <w:pPr>
        <w:spacing w:before="40" w:after="100" w:line="240" w:lineRule="auto"/>
        <w:jc w:val="center"/>
      </w:pPr>
      <w:r>
        <w:rPr>
          <w:rFonts w:ascii="Times New Roman" w:hAnsi="Times New Roman" w:eastAsia="Times New Roman"/>
          <w:b w:val="0"/>
          <w:i/>
          <w:color w:val="444444"/>
          <w:sz w:val="18"/>
        </w:rPr>
        <w:t>Tabla 2. Indicadores micro para anticipar desviaciones en los KPI principales.</w:t>
      </w:r>
    </w:p>
    <w:p>
      <w:pPr>
        <w:keepNext/>
        <w:spacing w:before="200" w:after="140" w:line="276" w:lineRule="auto"/>
        <w:jc w:val="left"/>
      </w:pPr>
      <w:r>
        <w:rPr>
          <w:rFonts w:ascii="Times New Roman" w:hAnsi="Times New Roman" w:eastAsia="Times New Roman"/>
          <w:b/>
          <w:i w:val="0"/>
          <w:color w:val="10263D"/>
          <w:sz w:val="26"/>
        </w:rPr>
        <w:t>2. Hitos de seguimiento</w:t>
      </w:r>
    </w:p>
    <w:p>
      <w:pPr>
        <w:spacing w:before="0" w:after="120" w:line="360" w:lineRule="auto"/>
        <w:jc w:val="both"/>
      </w:pPr>
      <w:r>
        <w:rPr>
          <w:rFonts w:ascii="Times New Roman" w:hAnsi="Times New Roman" w:eastAsia="Times New Roman"/>
          <w:b w:val="0"/>
          <w:i w:val="0"/>
          <w:sz w:val="24"/>
        </w:rPr>
        <w:t>Los cortes funcionan como puntos formales de revisión. En cada uno se contrastan el avance del cronograma, el gasto acumulado, la satisfacción de la empresa social y los defectos registrados. La información de la semana se utiliza como respaldo para explicar el resultado del corte.</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1584"/>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Hito</w:t>
            </w:r>
          </w:p>
        </w:tc>
        <w:tc>
          <w:tcPr>
            <w:tcW w:type="dxa" w:w="396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Periodo de control</w:t>
            </w:r>
          </w:p>
        </w:tc>
        <w:tc>
          <w:tcPr>
            <w:tcW w:type="dxa" w:w="6264"/>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Resultado esperado</w:t>
            </w:r>
          </w:p>
        </w:tc>
      </w:tr>
      <w:tr>
        <w:tc>
          <w:tcPr>
            <w:tcW w:type="dxa" w:w="1584"/>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Corte 1</w:t>
            </w:r>
          </w:p>
        </w:tc>
        <w:tc>
          <w:tcPr>
            <w:tcW w:type="dxa" w:w="396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14 de septiembre a 19 de octubre de 2026</w:t>
            </w:r>
          </w:p>
        </w:tc>
        <w:tc>
          <w:tcPr>
            <w:tcW w:type="dxa" w:w="6264"/>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Inventario validado y primer control de avance</w:t>
            </w:r>
          </w:p>
        </w:tc>
      </w:tr>
      <w:tr>
        <w:tc>
          <w:tcPr>
            <w:tcW w:type="dxa" w:w="1584"/>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Corte 2</w:t>
            </w:r>
          </w:p>
        </w:tc>
        <w:tc>
          <w:tcPr>
            <w:tcW w:type="dxa" w:w="396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20 de octubre a 9 de noviembre de 2026</w:t>
            </w:r>
          </w:p>
        </w:tc>
        <w:tc>
          <w:tcPr>
            <w:tcW w:type="dxa" w:w="6264"/>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Tablero operativo revisado</w:t>
            </w:r>
          </w:p>
        </w:tc>
      </w:tr>
      <w:tr>
        <w:tc>
          <w:tcPr>
            <w:tcW w:type="dxa" w:w="1584"/>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Corte 3</w:t>
            </w:r>
          </w:p>
        </w:tc>
        <w:tc>
          <w:tcPr>
            <w:tcW w:type="dxa" w:w="396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10 de noviembre a 4 de diciembre de 2026</w:t>
            </w:r>
          </w:p>
        </w:tc>
        <w:tc>
          <w:tcPr>
            <w:tcW w:type="dxa" w:w="6264"/>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Tickets, pruebas y primer informe de impacto</w:t>
            </w:r>
          </w:p>
        </w:tc>
      </w:tr>
      <w:tr>
        <w:tc>
          <w:tcPr>
            <w:tcW w:type="dxa" w:w="1584"/>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Cierre</w:t>
            </w:r>
          </w:p>
        </w:tc>
        <w:tc>
          <w:tcPr>
            <w:tcW w:type="dxa" w:w="396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5 de diciembre a 9 de diciembre de 2026</w:t>
            </w:r>
          </w:p>
        </w:tc>
        <w:tc>
          <w:tcPr>
            <w:tcW w:type="dxa" w:w="6264"/>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Cierre del piloto, revisión final y entrega</w:t>
            </w:r>
          </w:p>
        </w:tc>
      </w:tr>
    </w:tbl>
    <w:p>
      <w:pPr>
        <w:spacing w:before="40" w:after="100" w:line="240" w:lineRule="auto"/>
        <w:jc w:val="center"/>
      </w:pPr>
      <w:r>
        <w:rPr>
          <w:rFonts w:ascii="Times New Roman" w:hAnsi="Times New Roman" w:eastAsia="Times New Roman"/>
          <w:b w:val="0"/>
          <w:i/>
          <w:color w:val="444444"/>
          <w:sz w:val="18"/>
        </w:rPr>
        <w:t>Tabla 3. Hitos y periodos definidos en la línea base del proyecto.</w:t>
      </w:r>
    </w:p>
    <w:p>
      <w:pPr>
        <w:keepNext/>
        <w:spacing w:before="200" w:after="140" w:line="276" w:lineRule="auto"/>
        <w:jc w:val="left"/>
      </w:pPr>
      <w:r>
        <w:rPr>
          <w:rFonts w:ascii="Times New Roman" w:hAnsi="Times New Roman" w:eastAsia="Times New Roman"/>
          <w:b/>
          <w:i w:val="0"/>
          <w:color w:val="10263D"/>
          <w:sz w:val="26"/>
        </w:rPr>
        <w:t>1. Sistema de monitoreo y dashboard</w:t>
      </w:r>
    </w:p>
    <w:p>
      <w:pPr>
        <w:spacing w:before="0" w:after="120" w:line="360" w:lineRule="auto"/>
        <w:jc w:val="both"/>
      </w:pPr>
      <w:r>
        <w:rPr>
          <w:rFonts w:ascii="Times New Roman" w:hAnsi="Times New Roman" w:eastAsia="Times New Roman"/>
          <w:b w:val="0"/>
          <w:i w:val="0"/>
          <w:sz w:val="24"/>
        </w:rPr>
        <w:t>Project Libre será la fuente de control de las fechas. Allí se mantendrá el Gantt con la línea base, las dependencias y los cuatro cortes del proyecto. Si una actividad se desplaza, se revisará si afecta un hito o la fecha de cierre del 9 de diciembre de 2026.</w:t>
      </w:r>
    </w:p>
    <w:p>
      <w:pPr>
        <w:spacing w:before="0" w:after="120" w:line="360" w:lineRule="auto"/>
        <w:jc w:val="both"/>
      </w:pPr>
      <w:r>
        <w:rPr>
          <w:rFonts w:ascii="Times New Roman" w:hAnsi="Times New Roman" w:eastAsia="Times New Roman"/>
          <w:b w:val="0"/>
          <w:i w:val="0"/>
          <w:sz w:val="24"/>
        </w:rPr>
        <w:t>Trello será el tablero Kanban para organizar el trabajo semanal. Las columnas consideradas son Comprometido, En curso, Bloqueado y Listo. Cada tarjeta tendrá una persona responsable. El tablero permitirá observar el cumplimiento del sprint, los bloqueos y el trabajo en curso sin esperar al cierre del proyecto.</w:t>
      </w:r>
    </w:p>
    <w:p>
      <w:pPr>
        <w:spacing w:before="0" w:after="120" w:line="360" w:lineRule="auto"/>
        <w:jc w:val="both"/>
      </w:pPr>
      <w:r>
        <w:rPr>
          <w:rFonts w:ascii="Times New Roman" w:hAnsi="Times New Roman" w:eastAsia="Times New Roman"/>
          <w:b w:val="0"/>
          <w:i w:val="0"/>
          <w:sz w:val="24"/>
        </w:rPr>
        <w:t>El dashboard será una hoja de Excel y no una herramienta adicional. En ella se registrarán los cuatro KPI macro, los indicadores micro, la fecha de actualización, el estado de alerta y la decisión tomada. El color de alerta se aplicará cuando un hito supere 3 días de atraso, el presupuesto presente una desviación superior al 10 % o la satisfacción sea menor que 4. Se marcará alerta si la densidad de defectos pasa de 5 por cada 1000 líneas o si queda un bloqueante abierto. Cuando no exista código medible, el casillero dirá «sin base» y no se pintará como alerta.</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2088"/>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Herramienta</w:t>
            </w:r>
          </w:p>
        </w:tc>
        <w:tc>
          <w:tcPr>
            <w:tcW w:type="dxa" w:w="432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Uso en el proyecto</w:t>
            </w:r>
          </w:p>
        </w:tc>
        <w:tc>
          <w:tcPr>
            <w:tcW w:type="dxa" w:w="540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Información que entrega</w:t>
            </w:r>
          </w:p>
        </w:tc>
      </w:tr>
      <w:tr>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Project Libre</w:t>
            </w:r>
          </w:p>
        </w:tc>
        <w:tc>
          <w:tcPr>
            <w:tcW w:type="dxa" w:w="432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Gantt, línea base, dependencias y cortes</w:t>
            </w:r>
          </w:p>
        </w:tc>
        <w:tc>
          <w:tcPr>
            <w:tcW w:type="dxa" w:w="540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Fecha planificada, fecha real y avance de hitos</w:t>
            </w:r>
          </w:p>
        </w:tc>
      </w:tr>
      <w:tr>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Trello</w:t>
            </w:r>
          </w:p>
        </w:tc>
        <w:tc>
          <w:tcPr>
            <w:tcW w:type="dxa" w:w="432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Kanban del trabajo semanal</w:t>
            </w:r>
          </w:p>
        </w:tc>
        <w:tc>
          <w:tcPr>
            <w:tcW w:type="dxa" w:w="540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Historias, responsables, bloqueos, WIP y estado de cada tarea</w:t>
            </w:r>
          </w:p>
        </w:tc>
      </w:tr>
      <w:tr>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Excel</w:t>
            </w:r>
          </w:p>
        </w:tc>
        <w:tc>
          <w:tcPr>
            <w:tcW w:type="dxa" w:w="432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Dashboard y registro de control</w:t>
            </w:r>
          </w:p>
        </w:tc>
        <w:tc>
          <w:tcPr>
            <w:tcW w:type="dxa" w:w="540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KPI macro, indicadores micro, alertas, decisiones y fecha de actualización</w:t>
            </w:r>
          </w:p>
        </w:tc>
      </w:tr>
    </w:tbl>
    <w:p>
      <w:pPr>
        <w:spacing w:before="40" w:after="100" w:line="240" w:lineRule="auto"/>
        <w:jc w:val="center"/>
      </w:pPr>
      <w:r>
        <w:rPr>
          <w:rFonts w:ascii="Times New Roman" w:hAnsi="Times New Roman" w:eastAsia="Times New Roman"/>
          <w:b w:val="0"/>
          <w:i/>
          <w:color w:val="444444"/>
          <w:sz w:val="18"/>
        </w:rPr>
        <w:t>Tabla 4. Herramientas que integran el sistema de monitoreo y control.</w:t>
      </w:r>
    </w:p>
    <w:p>
      <w:pPr>
        <w:keepNext/>
        <w:spacing w:before="200" w:after="140" w:line="276" w:lineRule="auto"/>
        <w:jc w:val="left"/>
      </w:pPr>
      <w:r>
        <w:rPr>
          <w:rFonts w:ascii="Times New Roman" w:hAnsi="Times New Roman" w:eastAsia="Times New Roman"/>
          <w:b/>
          <w:i w:val="0"/>
          <w:color w:val="10263D"/>
          <w:sz w:val="26"/>
        </w:rPr>
        <w:t>1. Plan de control</w:t>
      </w:r>
    </w:p>
    <w:p>
      <w:pPr>
        <w:spacing w:before="0" w:after="120" w:line="360" w:lineRule="auto"/>
        <w:jc w:val="both"/>
      </w:pPr>
      <w:r>
        <w:rPr>
          <w:rFonts w:ascii="Times New Roman" w:hAnsi="Times New Roman" w:eastAsia="Times New Roman"/>
          <w:b w:val="0"/>
          <w:i w:val="0"/>
          <w:sz w:val="24"/>
        </w:rPr>
        <w:t>El plan de control establece cuándo se revisa cada indicador, quién debe actualizarlo y qué decisión corresponde si el resultado se aleja de la meta. La acción queda registrada en la misma hoja de Excel para mantener la trazabilidad.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32"/>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Indicador</w:t>
            </w:r>
          </w:p>
        </w:tc>
        <w:tc>
          <w:tcPr>
            <w:tcW w:type="dxa" w:w="2088"/>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Frecuencia</w:t>
            </w:r>
          </w:p>
        </w:tc>
        <w:tc>
          <w:tcPr>
            <w:tcW w:type="dxa" w:w="288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Responsable</w:t>
            </w:r>
          </w:p>
        </w:tc>
        <w:tc>
          <w:tcPr>
            <w:tcW w:type="dxa" w:w="4608"/>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Acción</w:t>
            </w:r>
          </w:p>
        </w:tc>
      </w:tr>
      <w:tr>
        <w:tc>
          <w:tcPr>
            <w:tcW w:type="dxa" w:w="2232"/>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Porcentaje de cumplimiento de hitos</w:t>
            </w:r>
          </w:p>
        </w:tc>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El día de cada corte</w:t>
            </w:r>
          </w:p>
        </w:tc>
        <w:tc>
          <w:tcPr>
            <w:tcW w:type="dxa" w:w="288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Giannina Guerrero</w:t>
            </w:r>
          </w:p>
        </w:tc>
        <w:tc>
          <w:tcPr>
            <w:tcW w:type="dxa" w:w="460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Priorizar el trabajo atrasado y no incorporar trabajo nuevo si el atraso supera 3 días.</w:t>
            </w:r>
          </w:p>
        </w:tc>
      </w:tr>
      <w:tr>
        <w:tc>
          <w:tcPr>
            <w:tcW w:type="dxa" w:w="2232"/>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Desviación del presupuesto</w:t>
            </w:r>
          </w:p>
        </w:tc>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Cada 2 semanas</w:t>
            </w:r>
          </w:p>
        </w:tc>
        <w:tc>
          <w:tcPr>
            <w:tcW w:type="dxa" w:w="288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Ari Araya mide y Giannina Guerrero decide</w:t>
            </w:r>
          </w:p>
        </w:tc>
        <w:tc>
          <w:tcPr>
            <w:tcW w:type="dxa" w:w="460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Frenar el gasto no comprometido cuando la desviación sea superior al 10 % y justificar cualquier uso de contingencia.</w:t>
            </w:r>
          </w:p>
        </w:tc>
      </w:tr>
      <w:tr>
        <w:tc>
          <w:tcPr>
            <w:tcW w:type="dxa" w:w="2232"/>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Satisfacción del cliente</w:t>
            </w:r>
          </w:p>
        </w:tc>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Al cierre de cada corte</w:t>
            </w:r>
          </w:p>
        </w:tc>
        <w:tc>
          <w:tcPr>
            <w:tcW w:type="dxa" w:w="288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Giannina Guerrero</w:t>
            </w:r>
          </w:p>
        </w:tc>
        <w:tc>
          <w:tcPr>
            <w:tcW w:type="dxa" w:w="460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Si la evaluación es menor que 4, revisar la entrega y reabrir el alcance del corte.</w:t>
            </w:r>
          </w:p>
        </w:tc>
      </w:tr>
      <w:tr>
        <w:tc>
          <w:tcPr>
            <w:tcW w:type="dxa" w:w="2232"/>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Defectos por cada 1000 líneas</w:t>
            </w:r>
          </w:p>
        </w:tc>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Al cierre de cada periodo</w:t>
            </w:r>
          </w:p>
        </w:tc>
        <w:tc>
          <w:tcPr>
            <w:tcW w:type="dxa" w:w="288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Skarlett Tropan, con el conteo de líneas de Nicolás Barra</w:t>
            </w:r>
          </w:p>
        </w:tc>
        <w:tc>
          <w:tcPr>
            <w:tcW w:type="dxa" w:w="460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t>Si se pasa la meta o queda un bloqueante abierto, el periodo siguiente parte por esos defectos. Si no hay código, registrar «sin base».</w:t>
            </w:r>
            <w:r>
              <w:rPr>
                <w:rFonts w:ascii="Times New Roman" w:hAnsi="Times New Roman" w:eastAsia="Times New Roman"/>
                <w:b w:val="0"/>
                <w:color w:val="000000"/>
                <w:sz w:val="19"/>
              </w:rPr>
            </w:r>
          </w:p>
        </w:tc>
      </w:tr>
      <w:tr>
        <w:tc>
          <w:tcPr>
            <w:tcW w:type="dxa" w:w="2232"/>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r/>
            <w:r>
              <w:rPr/>
              <w:t>Reapertura de defectos</w:t>
            </w:r>
          </w:p>
        </w:tc>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r/>
            <w:r>
              <w:rPr/>
              <w:t>Al fin de cada sprint</w:t>
            </w:r>
          </w:p>
        </w:tc>
        <w:tc>
          <w:tcPr>
            <w:tcW w:type="dxa" w:w="288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r/>
            <w:r>
              <w:rPr/>
              <w:t>Skarlett Tropan</w:t>
            </w:r>
          </w:p>
        </w:tc>
        <w:tc>
          <w:tcPr>
            <w:tcW w:type="dxa" w:w="460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r/>
            <w:r>
              <w:rPr/>
              <w:t>Si pasa 20 %, el sprint siguiente no abre historias nuevas hasta bajar esa cola.</w:t>
            </w:r>
          </w:p>
        </w:tc>
      </w:tr>
      <w:tr>
        <w:tc>
          <w:tcPr>
            <w:tcW w:type="dxa" w:w="2232"/>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Cumplimiento del sprint</w:t>
            </w:r>
          </w:p>
        </w:tc>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Al cierre de cada sprint</w:t>
            </w:r>
          </w:p>
        </w:tc>
        <w:tc>
          <w:tcPr>
            <w:tcW w:type="dxa" w:w="288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Nicolás Barra</w:t>
            </w:r>
          </w:p>
        </w:tc>
        <w:tc>
          <w:tcPr>
            <w:tcW w:type="dxa" w:w="460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Retirar del compromiso las tarjetas no terminadas y reordenarlas en el backlog.</w:t>
            </w:r>
          </w:p>
        </w:tc>
      </w:tr>
      <w:tr>
        <w:tc>
          <w:tcPr>
            <w:tcW w:type="dxa" w:w="2232"/>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Bloqueos de más de 5 días</w:t>
            </w:r>
          </w:p>
        </w:tc>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Revisión semanal</w:t>
            </w:r>
          </w:p>
        </w:tc>
        <w:tc>
          <w:tcPr>
            <w:tcW w:type="dxa" w:w="288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Responsable de la tarjeta y Giannina Guerrero</w:t>
            </w:r>
          </w:p>
        </w:tc>
        <w:tc>
          <w:tcPr>
            <w:tcW w:type="dxa" w:w="460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Reasignar, dividir la tarea o registrar la decisión que permite desbloquearla.</w:t>
            </w:r>
          </w:p>
        </w:tc>
      </w:tr>
      <w:tr>
        <w:tc>
          <w:tcPr>
            <w:tcW w:type="dxa" w:w="2232"/>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Trabajo en curso y coherencia del tablero</w:t>
            </w:r>
          </w:p>
        </w:tc>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Antes de tomar una tarea y una vez por semana</w:t>
            </w:r>
          </w:p>
        </w:tc>
        <w:tc>
          <w:tcPr>
            <w:tcW w:type="dxa" w:w="288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Cada integrante y Skarlett Tropan</w:t>
            </w:r>
          </w:p>
        </w:tc>
        <w:tc>
          <w:tcPr>
            <w:tcW w:type="dxa" w:w="460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Mantener un máximo de 2 tarjetas en curso por persona y corregir el tablero antes del dashboard.</w:t>
            </w:r>
          </w:p>
        </w:tc>
      </w:tr>
    </w:tbl>
    <w:p>
      <w:pPr>
        <w:spacing w:before="40" w:after="100" w:line="240" w:lineRule="auto"/>
        <w:jc w:val="center"/>
      </w:pPr>
      <w:r>
        <w:rPr>
          <w:rFonts w:ascii="Times New Roman" w:hAnsi="Times New Roman" w:eastAsia="Times New Roman"/>
          <w:b w:val="0"/>
          <w:i/>
          <w:color w:val="444444"/>
          <w:sz w:val="18"/>
        </w:rPr>
        <w:t>Tabla 5. Plan de control del proyecto Kiran.</w:t>
      </w:r>
    </w:p>
    <w:p>
      <w:pPr>
        <w:keepNext/>
        <w:spacing w:before="200" w:after="140" w:line="276" w:lineRule="auto"/>
        <w:jc w:val="left"/>
      </w:pPr>
      <w:r>
        <w:rPr>
          <w:rFonts w:ascii="Times New Roman" w:hAnsi="Times New Roman" w:eastAsia="Times New Roman"/>
          <w:b/>
          <w:i w:val="0"/>
          <w:color w:val="10263D"/>
          <w:sz w:val="26"/>
        </w:rPr>
        <w:t>1. Flujo de revisión</w:t>
      </w:r>
    </w:p>
    <w:p>
      <w:pPr>
        <w:spacing w:before="0" w:after="120" w:line="360" w:lineRule="auto"/>
        <w:jc w:val="both"/>
      </w:pPr>
      <w:r>
        <w:rPr>
          <w:rFonts w:ascii="Times New Roman" w:hAnsi="Times New Roman" w:eastAsia="Times New Roman"/>
          <w:b w:val="0"/>
          <w:i w:val="0"/>
          <w:sz w:val="24"/>
        </w:rPr>
        <w:t>Durante la semana, cada integrante actualiza sus tarjetas en Trello y registra los bloqueos. Al cierre del sprint, Nicolás revisa las historias comprometidas y Skarlett consolida la información de calidad. Cada dos semanas, Ari actualiza el costo acumulado. En cada corte, Giannina contrasta los resultados con Project Libre, aplica la pauta de satisfacción y valida que la entrega corresponda al alcance comprometido.</w:t>
      </w:r>
    </w:p>
    <w:p>
      <w:pPr>
        <w:spacing w:before="0" w:after="120" w:line="360" w:lineRule="auto"/>
        <w:jc w:val="both"/>
      </w:pPr>
      <w:r>
        <w:rPr>
          <w:rFonts w:ascii="Times New Roman" w:hAnsi="Times New Roman" w:eastAsia="Times New Roman"/>
          <w:b w:val="0"/>
          <w:i w:val="0"/>
          <w:sz w:val="24"/>
        </w:rPr>
        <w:t>Cuando aparece una alerta, el equipo registra en Excel el indicador afectado, la causa, la decisión tomada, la persona responsable y la fecha de revisión. De esta manera, el dashboard no se limita a mostrar números, sino que permite demostrar qué se hizo frente a una desviación.</w:t>
      </w:r>
    </w:p>
    <w:p>
      <w:pPr>
        <w:keepNext/>
        <w:spacing w:before="200" w:after="140" w:line="276" w:lineRule="auto"/>
        <w:jc w:val="left"/>
      </w:pPr>
      <w:r>
        <w:rPr>
          <w:rFonts w:ascii="Times New Roman" w:hAnsi="Times New Roman" w:eastAsia="Times New Roman"/>
          <w:b/>
          <w:i w:val="0"/>
          <w:color w:val="10263D"/>
          <w:sz w:val="26"/>
        </w:rPr>
        <w:t>1. Material para la presentación en sala</w:t>
      </w:r>
    </w:p>
    <w:p>
      <w:pPr>
        <w:spacing w:before="0" w:after="120" w:line="360" w:lineRule="auto"/>
        <w:jc w:val="both"/>
      </w:pPr>
      <w:r>
        <w:rPr>
          <w:rFonts w:ascii="Times New Roman" w:hAnsi="Times New Roman" w:eastAsia="Times New Roman"/>
          <w:b w:val="0"/>
          <w:i w:val="0"/>
          <w:sz w:val="24"/>
        </w:rPr>
        <w:t>Para explicar el sistema de monitoreo se preparan tres láminas. La primera presenta el dashboard de Excel con los cuatro KPI macro, la meta de cada uno y el estado de alerta. La segunda muestra el Gantt de Project Libre con los cuatro cortes y la fecha de cierre. La tercera presenta el tablero de Trello, un ejemplo de bloqueo y la acción correctiva aplicada.</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1728"/>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Lámina</w:t>
            </w:r>
          </w:p>
        </w:tc>
        <w:tc>
          <w:tcPr>
            <w:tcW w:type="dxa" w:w="288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Fuente</w:t>
            </w:r>
          </w:p>
        </w:tc>
        <w:tc>
          <w:tcPr>
            <w:tcW w:type="dxa" w:w="720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Contenido</w:t>
            </w:r>
          </w:p>
        </w:tc>
      </w:tr>
      <w:tr>
        <w:tc>
          <w:tcPr>
            <w:tcW w:type="dxa" w:w="172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Lámina 1</w:t>
            </w:r>
          </w:p>
        </w:tc>
        <w:tc>
          <w:tcPr>
            <w:tcW w:type="dxa" w:w="288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Dashboard de Excel</w:t>
            </w:r>
          </w:p>
        </w:tc>
        <w:tc>
          <w:tcPr>
            <w:tcW w:type="dxa" w:w="720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Cumplimiento de hitos, desviación del presupuesto, satisfacción del cliente y defectos por cada 1000 líneas, junto con sus alertas.</w:t>
            </w:r>
          </w:p>
        </w:tc>
      </w:tr>
      <w:tr>
        <w:tc>
          <w:tcPr>
            <w:tcW w:type="dxa" w:w="172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Lámina 2</w:t>
            </w:r>
          </w:p>
        </w:tc>
        <w:tc>
          <w:tcPr>
            <w:tcW w:type="dxa" w:w="288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Gantt de Project Libre</w:t>
            </w:r>
          </w:p>
        </w:tc>
        <w:tc>
          <w:tcPr>
            <w:tcW w:type="dxa" w:w="720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Cortes del 19 de octubre, 9 de noviembre, 4 de diciembre y 9 de diciembre, con avance planificado y real.</w:t>
            </w:r>
          </w:p>
        </w:tc>
      </w:tr>
      <w:tr>
        <w:tc>
          <w:tcPr>
            <w:tcW w:type="dxa" w:w="172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Lámina 3</w:t>
            </w:r>
          </w:p>
        </w:tc>
        <w:tc>
          <w:tcPr>
            <w:tcW w:type="dxa" w:w="288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Kanban de Trello</w:t>
            </w:r>
          </w:p>
        </w:tc>
        <w:tc>
          <w:tcPr>
            <w:tcW w:type="dxa" w:w="720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Estado de las tareas, responsables, un bloqueo y la medida adoptada para resolverlo.</w:t>
            </w:r>
          </w:p>
        </w:tc>
      </w:tr>
    </w:tbl>
    <w:p>
      <w:pPr>
        <w:spacing w:before="40" w:after="100" w:line="240" w:lineRule="auto"/>
        <w:jc w:val="center"/>
      </w:pPr>
      <w:r>
        <w:rPr>
          <w:rFonts w:ascii="Times New Roman" w:hAnsi="Times New Roman" w:eastAsia="Times New Roman"/>
          <w:b w:val="0"/>
          <w:i/>
          <w:color w:val="444444"/>
          <w:sz w:val="18"/>
        </w:rPr>
        <w:t>Tabla 6. Resumen de apoyo para la presentación en sala.</w:t>
      </w:r>
    </w:p>
    <w:p>
      <w:pPr>
        <w:keepNext/>
        <w:spacing w:before="200" w:after="140" w:line="276" w:lineRule="auto"/>
        <w:jc w:val="left"/>
      </w:pPr>
      <w:r>
        <w:rPr>
          <w:rFonts w:ascii="Times New Roman" w:hAnsi="Times New Roman" w:eastAsia="Times New Roman"/>
          <w:b/>
          <w:i w:val="0"/>
          <w:color w:val="10263D"/>
          <w:sz w:val="26"/>
        </w:rPr>
        <w:t>1. Cierre</w:t>
      </w:r>
    </w:p>
    <w:p>
      <w:pPr>
        <w:spacing w:before="0" w:after="120" w:line="360" w:lineRule="auto"/>
        <w:jc w:val="both"/>
      </w:pPr>
      <w:r>
        <w:rPr>
          <w:rFonts w:ascii="Times New Roman" w:hAnsi="Times New Roman" w:eastAsia="Times New Roman"/>
          <w:b w:val="0"/>
          <w:i w:val="0"/>
          <w:sz w:val="24"/>
        </w:rPr>
        <w:t>El sistema propuesto permite revisar el proyecto desde dos niveles. Los KPI macro muestran si Kiran avanza en el tiempo, el presupuesto, la satisfacción del cliente y la calidad. Los indicadores micro muestran qué está ocurriendo en la ejecución semanal. Al combinar Project Libre, Trello y Excel, el equipo cuenta con una forma simple de detectar desviaciones, tomar medidas y dejar evidencia del control realizado.</w:t>
      </w:r>
    </w:p>
    <w:sectPr w:rsidR="00FC693F" w:rsidRPr="0006063C" w:rsidSect="00034616">
      <w:headerReference w:type="default" r:id="rId12"/>
      <w:footerReference w:type="default" r:id="rId13"/>
      <w:pgSz w:w="11906" w:h="16838"/>
      <w:pgMar w:top="1417" w:right="1417" w:bottom="1417" w:left="141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left"/>
    </w:pPr>
    <w:r>
      <w:rPr>
        <w:rFonts w:ascii="Times New Roman" w:hAnsi="Times New Roman" w:eastAsia="Times New Roman"/>
        <w:b w:val="0"/>
        <w:i w:val="0"/>
        <w:color w:val="555555"/>
        <w:sz w:val="18"/>
      </w:rPr>
      <w:t>Kiran | Actividad 2.1.2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Times New Roman" w:hAnsi="Times New Roman" w:eastAsia="Times New Roman"/>
        <w:b w:val="0"/>
        <w:i w:val="0"/>
        <w:color w:val="10263D"/>
        <w:sz w:val="18"/>
      </w:rPr>
      <w:t>Kiran | Actividad 2.1.2 | Sistema de monitoreo y control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2.1.2. Sistema de monitoreo y control del proyecto Kiran</dc:title>
  <dc:subject>GPY1102 Gestión de Proyectos de Software</dc:subject>
  <dc:creator>Equipo Kiran</dc:creator>
  <cp:keywords/>
  <dc:description>Documento elaborado a partir del formato del informe ejecutivo de la Evaluación 1.</dc:description>
  <cp:lastModifiedBy/>
  <cp:revision>1</cp:revision>
  <dcterms:created xsi:type="dcterms:W3CDTF">2013-12-23T23:15:00Z</dcterms:created>
  <dcterms:modified xsi:type="dcterms:W3CDTF">2013-12-23T23:15:00Z</dcterms:modified>
  <cp:category/>
</cp:coreProperties>
</file>