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072"/>
      </w:tblGrid>
      <w:tr>
        <w:tc>
          <w:tcPr>
            <w:tcW w:type="dxa" w:w="9071"/>
            <w:shd w:fill="10263D" w:val="clear"/>
            <w:tcMar>
              <w:top w:w="0" w:type="dxa"/>
              <w:bottom w:w="0" w:type="dxa"/>
              <w:left w:w="0" w:type="dxa"/>
              <w:right w:w="0" w:type="dxa"/>
            </w:tcMar>
          </w:tcPr>
          <w:p>
            <w:pPr>
              <w:spacing w:before="0" w:after="0" w:line="240" w:lineRule="auto"/>
            </w:pPr>
            <w:r>
              <w:rPr>
                <w:rFonts w:ascii="Times New Roman" w:hAnsi="Times New Roman" w:cs="Times New Roman" w:eastAsia="Times New Roman"/>
                <w:b w:val="0"/>
                <w:i w:val="0"/>
                <w:sz w:val="24"/>
              </w:rPr>
              <w:t xml:space="preserve"> </w:t>
            </w:r>
          </w:p>
        </w:tc>
      </w:tr>
    </w:tbl>
    <w:p>
      <w:pPr>
        <w:spacing w:before="0" w:after="0" w:line="240" w:lineRule="auto"/>
      </w:pPr>
    </w:p>
    <w:tbl>
      <w:tblPr>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072"/>
      </w:tblGrid>
      <w:tr>
        <w:tc>
          <w:tcPr>
            <w:tcW w:type="dxa" w:w="9071"/>
            <w:shd w:fill="E59A24" w:val="clear"/>
            <w:tcMar>
              <w:top w:w="0" w:type="dxa"/>
              <w:bottom w:w="0" w:type="dxa"/>
              <w:left w:w="0" w:type="dxa"/>
              <w:right w:w="0" w:type="dxa"/>
            </w:tcMar>
          </w:tcPr>
          <w:p>
            <w:pPr>
              <w:spacing w:before="0" w:after="0" w:line="240" w:lineRule="auto"/>
            </w:pPr>
            <w:r>
              <w:rPr>
                <w:rFonts w:ascii="Times New Roman" w:hAnsi="Times New Roman" w:cs="Times New Roman" w:eastAsia="Times New Roman"/>
                <w:b w:val="0"/>
                <w:i w:val="0"/>
                <w:sz w:val="10"/>
              </w:rPr>
              <w:t xml:space="preserve"> </w:t>
            </w:r>
          </w:p>
        </w:tc>
      </w:tr>
    </w:tbl>
    <w:p>
      <w:pPr>
        <w:spacing w:before="0" w:after="0" w:line="240" w:lineRule="auto"/>
      </w:pPr>
    </w:p>
    <w:p>
      <w:pPr>
        <w:spacing w:before="560" w:after="0"/>
      </w:pPr>
    </w:p>
    <w:p>
      <w:pPr>
        <w:spacing w:after="200"/>
        <w:ind w:firstLine="0"/>
        <w:jc w:val="center"/>
      </w:pPr>
      <w:r>
        <w:drawing>
          <wp:inline xmlns:a="http://schemas.openxmlformats.org/drawingml/2006/main" xmlns:pic="http://schemas.openxmlformats.org/drawingml/2006/picture">
            <wp:extent cx="1368000" cy="1368000"/>
            <wp:docPr id="1" name="Picture 1"/>
            <wp:cNvGraphicFramePr>
              <a:graphicFrameLocks noChangeAspect="1"/>
            </wp:cNvGraphicFramePr>
            <a:graphic>
              <a:graphicData uri="http://schemas.openxmlformats.org/drawingml/2006/picture">
                <pic:pic>
                  <pic:nvPicPr>
                    <pic:cNvPr id="0" name="kiran-isotipo.png"/>
                    <pic:cNvPicPr/>
                  </pic:nvPicPr>
                  <pic:blipFill>
                    <a:blip r:embed="rId11"/>
                    <a:stretch>
                      <a:fillRect/>
                    </a:stretch>
                  </pic:blipFill>
                  <pic:spPr>
                    <a:xfrm>
                      <a:off x="0" y="0"/>
                      <a:ext cx="1368000" cy="1368000"/>
                    </a:xfrm>
                    <a:prstGeom prst="rect"/>
                  </pic:spPr>
                </pic:pic>
              </a:graphicData>
            </a:graphic>
          </wp:inline>
        </w:drawing>
      </w:r>
    </w:p>
    <w:p>
      <w:pPr>
        <w:spacing w:after="80"/>
        <w:ind w:firstLine="0"/>
        <w:jc w:val="center"/>
      </w:pPr>
      <w:r>
        <w:rPr>
          <w:rFonts w:ascii="Arial" w:hAnsi="Arial" w:cs="Arial" w:eastAsia="Arial"/>
          <w:b/>
          <w:i w:val="0"/>
          <w:color w:val="10263D"/>
          <w:sz w:val="56"/>
        </w:rPr>
        <w:t>KIRAN</w:t>
      </w:r>
    </w:p>
    <w:p>
      <w:pPr>
        <w:spacing w:after="360"/>
        <w:ind w:firstLine="0"/>
        <w:jc w:val="center"/>
      </w:pPr>
      <w:r>
        <w:rPr>
          <w:rFonts w:ascii="Times New Roman" w:hAnsi="Times New Roman" w:cs="Times New Roman" w:eastAsia="Times New Roman"/>
          <w:b w:val="0"/>
          <w:i/>
          <w:color w:val="10263D"/>
          <w:sz w:val="26"/>
        </w:rPr>
        <w:t>Visibilidad que mantiene la energía activa.</w:t>
      </w:r>
    </w:p>
    <w:p>
      <w:pPr>
        <w:spacing w:after="40"/>
        <w:ind w:firstLine="0"/>
        <w:jc w:val="center"/>
      </w:pPr>
      <w:r>
        <w:rPr>
          <w:rFonts w:ascii="Arial" w:hAnsi="Arial" w:cs="Arial" w:eastAsia="Arial"/>
          <w:b/>
          <w:i w:val="0"/>
          <w:color w:val="E59A24"/>
          <w:sz w:val="22"/>
        </w:rPr>
        <w:t>PLAN PRELIMINAR</w:t>
      </w:r>
    </w:p>
    <w:p>
      <w:pPr>
        <w:spacing w:after="80"/>
        <w:ind w:firstLine="0"/>
        <w:jc w:val="center"/>
      </w:pPr>
      <w:r>
        <w:rPr>
          <w:rFonts w:ascii="Times New Roman" w:hAnsi="Times New Roman" w:cs="Times New Roman" w:eastAsia="Times New Roman"/>
          <w:b/>
          <w:i w:val="0"/>
          <w:color w:val="10263D"/>
          <w:sz w:val="32"/>
        </w:rPr>
        <w:t>Piloto de operación de kits solares</w:t>
      </w:r>
    </w:p>
    <w:p>
      <w:pPr>
        <w:spacing w:after="280"/>
        <w:ind w:firstLine="0"/>
        <w:jc w:val="center"/>
      </w:pPr>
      <w:r>
        <w:rPr>
          <w:rFonts w:ascii="Times New Roman" w:hAnsi="Times New Roman" w:cs="Times New Roman" w:eastAsia="Times New Roman"/>
          <w:b w:val="0"/>
          <w:i w:val="0"/>
          <w:color w:val="555555"/>
          <w:sz w:val="22"/>
        </w:rPr>
        <w:t>Empresa social de energía solar comunitaria. Comunidad piloto, India</w:t>
      </w:r>
    </w:p>
    <w:p>
      <w:pPr>
        <w:spacing w:after="360"/>
        <w:ind w:firstLine="0"/>
        <w:jc w:val="center"/>
      </w:pPr>
      <w:r>
        <w:rPr>
          <w:rFonts w:ascii="Times New Roman" w:hAnsi="Times New Roman" w:cs="Times New Roman" w:eastAsia="Times New Roman"/>
          <w:b w:val="0"/>
          <w:i w:val="0"/>
          <w:color w:val="10263D"/>
          <w:sz w:val="24"/>
        </w:rPr>
        <w:t>14 de septiembre de 2026 a 9 de diciembre de 2026. 63 días hábiles. US$ 20.700</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5"/>
            <w:shd w:fill="10263D" w:val="clear"/>
          </w:tcPr>
          <w:p>
            <w:pPr>
              <w:spacing w:after="0" w:before="0" w:line="240" w:lineRule="auto"/>
            </w:pPr>
            <w:r/>
            <w:r>
              <w:rPr>
                <w:rFonts w:ascii="Times New Roman" w:hAnsi="Times New Roman" w:cs="Times New Roman" w:eastAsia="Times New Roman"/>
                <w:b/>
                <w:i w:val="0"/>
                <w:color w:val="FFFFFF"/>
                <w:sz w:val="18"/>
              </w:rPr>
              <w:t>Equipo</w:t>
            </w:r>
          </w:p>
        </w:tc>
        <w:tc>
          <w:tcPr>
            <w:tcW w:type="dxa" w:w="4535"/>
            <w:shd w:fill="10263D" w:val="clear"/>
          </w:tcPr>
          <w:p>
            <w:pPr>
              <w:spacing w:after="0" w:before="0" w:line="240" w:lineRule="auto"/>
            </w:pPr>
            <w:r/>
            <w:r>
              <w:rPr>
                <w:rFonts w:ascii="Times New Roman" w:hAnsi="Times New Roman" w:cs="Times New Roman" w:eastAsia="Times New Roman"/>
                <w:b/>
                <w:i w:val="0"/>
                <w:color w:val="FFFFFF"/>
                <w:sz w:val="18"/>
              </w:rPr>
              <w:t>Rol en el piloto</w:t>
            </w:r>
          </w:p>
        </w:tc>
      </w:tr>
      <w:tr>
        <w:tc>
          <w:tcPr>
            <w:tcW w:type="dxa" w:w="4535"/>
          </w:tcPr>
          <w:p>
            <w:pPr>
              <w:spacing w:after="0" w:before="0" w:line="240" w:lineRule="auto"/>
            </w:pPr>
            <w:r/>
            <w:r>
              <w:rPr>
                <w:rFonts w:ascii="Times New Roman" w:hAnsi="Times New Roman" w:cs="Times New Roman" w:eastAsia="Times New Roman"/>
                <w:b w:val="0"/>
                <w:i w:val="0"/>
                <w:sz w:val="18"/>
              </w:rPr>
              <w:t>Giannina Guerrero</w:t>
            </w:r>
          </w:p>
        </w:tc>
        <w:tc>
          <w:tcPr>
            <w:tcW w:type="dxa" w:w="4535"/>
          </w:tcPr>
          <w:p>
            <w:pPr>
              <w:spacing w:after="0" w:before="0" w:line="240" w:lineRule="auto"/>
            </w:pPr>
            <w:r/>
            <w:r>
              <w:rPr>
                <w:rFonts w:ascii="Times New Roman" w:hAnsi="Times New Roman" w:cs="Times New Roman" w:eastAsia="Times New Roman"/>
                <w:b w:val="0"/>
                <w:i w:val="0"/>
                <w:sz w:val="18"/>
              </w:rPr>
              <w:t>Directora del proyecto y frontend</w:t>
            </w:r>
          </w:p>
        </w:tc>
      </w:tr>
      <w:tr>
        <w:tc>
          <w:tcPr>
            <w:tcW w:type="dxa" w:w="4535"/>
            <w:shd w:fill="F2F2F2" w:val="clear"/>
          </w:tcPr>
          <w:p>
            <w:pPr>
              <w:spacing w:after="0" w:before="0" w:line="240" w:lineRule="auto"/>
            </w:pPr>
            <w:r/>
            <w:r>
              <w:rPr>
                <w:rFonts w:ascii="Times New Roman" w:hAnsi="Times New Roman" w:cs="Times New Roman" w:eastAsia="Times New Roman"/>
                <w:b w:val="0"/>
                <w:i w:val="0"/>
                <w:sz w:val="18"/>
              </w:rPr>
              <w:t>Nicolás Barra</w:t>
            </w:r>
          </w:p>
        </w:tc>
        <w:tc>
          <w:tcPr>
            <w:tcW w:type="dxa" w:w="4535"/>
            <w:shd w:fill="F2F2F2" w:val="clear"/>
          </w:tcPr>
          <w:p>
            <w:pPr>
              <w:spacing w:after="0" w:before="0" w:line="240" w:lineRule="auto"/>
            </w:pPr>
            <w:r/>
            <w:r>
              <w:rPr>
                <w:rFonts w:ascii="Times New Roman" w:hAnsi="Times New Roman" w:cs="Times New Roman" w:eastAsia="Times New Roman"/>
                <w:b w:val="0"/>
                <w:i w:val="0"/>
                <w:sz w:val="18"/>
              </w:rPr>
              <w:t>Backend e inventario</w:t>
            </w:r>
          </w:p>
        </w:tc>
      </w:tr>
      <w:tr>
        <w:tc>
          <w:tcPr>
            <w:tcW w:type="dxa" w:w="4535"/>
          </w:tcPr>
          <w:p>
            <w:pPr>
              <w:spacing w:after="0" w:before="0" w:line="240" w:lineRule="auto"/>
            </w:pPr>
            <w:r/>
            <w:r>
              <w:rPr>
                <w:rFonts w:ascii="Times New Roman" w:hAnsi="Times New Roman" w:cs="Times New Roman" w:eastAsia="Times New Roman"/>
                <w:b w:val="0"/>
                <w:i w:val="0"/>
                <w:sz w:val="18"/>
              </w:rPr>
              <w:t>Ari Araya</w:t>
            </w:r>
          </w:p>
        </w:tc>
        <w:tc>
          <w:tcPr>
            <w:tcW w:type="dxa" w:w="4535"/>
          </w:tcPr>
          <w:p>
            <w:pPr>
              <w:spacing w:after="0" w:before="0" w:line="240" w:lineRule="auto"/>
            </w:pPr>
            <w:r/>
            <w:r>
              <w:rPr>
                <w:rFonts w:ascii="Times New Roman" w:hAnsi="Times New Roman" w:cs="Times New Roman" w:eastAsia="Times New Roman"/>
                <w:b w:val="0"/>
                <w:i w:val="0"/>
                <w:sz w:val="18"/>
              </w:rPr>
              <w:t>Infraestructura y nube</w:t>
            </w:r>
          </w:p>
        </w:tc>
      </w:tr>
      <w:tr>
        <w:tc>
          <w:tcPr>
            <w:tcW w:type="dxa" w:w="4535"/>
            <w:shd w:fill="F2F2F2" w:val="clear"/>
          </w:tcPr>
          <w:p>
            <w:pPr>
              <w:spacing w:after="0" w:before="0" w:line="240" w:lineRule="auto"/>
            </w:pPr>
            <w:r/>
            <w:r>
              <w:rPr>
                <w:rFonts w:ascii="Times New Roman" w:hAnsi="Times New Roman" w:cs="Times New Roman" w:eastAsia="Times New Roman"/>
                <w:b w:val="0"/>
                <w:i w:val="0"/>
                <w:sz w:val="18"/>
              </w:rPr>
              <w:t>Skarlett Tropan</w:t>
            </w:r>
          </w:p>
        </w:tc>
        <w:tc>
          <w:tcPr>
            <w:tcW w:type="dxa" w:w="4535"/>
            <w:shd w:fill="F2F2F2" w:val="clear"/>
          </w:tcPr>
          <w:p>
            <w:pPr>
              <w:spacing w:after="0" w:before="0" w:line="240" w:lineRule="auto"/>
            </w:pPr>
            <w:r/>
            <w:r>
              <w:rPr>
                <w:rFonts w:ascii="Times New Roman" w:hAnsi="Times New Roman" w:cs="Times New Roman" w:eastAsia="Times New Roman"/>
                <w:b w:val="0"/>
                <w:i w:val="0"/>
                <w:sz w:val="18"/>
              </w:rPr>
              <w:t>Calidad e impacto</w:t>
            </w:r>
          </w:p>
        </w:tc>
      </w:tr>
    </w:tbl>
    <w:p>
      <w:pPr>
        <w:spacing w:after="80"/>
      </w:pPr>
    </w:p>
    <w:p>
      <w:pPr>
        <w:spacing w:before="360" w:after="40"/>
        <w:ind w:firstLine="0"/>
        <w:jc w:val="center"/>
      </w:pPr>
      <w:r>
        <w:rPr>
          <w:rFonts w:ascii="Times New Roman" w:hAnsi="Times New Roman" w:cs="Times New Roman" w:eastAsia="Times New Roman"/>
          <w:b w:val="0"/>
          <w:i w:val="0"/>
          <w:color w:val="555555"/>
          <w:sz w:val="20"/>
        </w:rPr>
        <w:t>GPY1102 Gestión de Proyectos de Software  ·  Docente: Juan Bautista Sáez Fernández</w:t>
      </w:r>
    </w:p>
    <w:p>
      <w:pPr>
        <w:spacing w:after="200"/>
        <w:ind w:firstLine="0"/>
        <w:jc w:val="center"/>
      </w:pPr>
      <w:r>
        <w:rPr>
          <w:rFonts w:ascii="Times New Roman" w:hAnsi="Times New Roman" w:cs="Times New Roman" w:eastAsia="Times New Roman"/>
          <w:b w:val="0"/>
          <w:i w:val="0"/>
          <w:color w:val="555555"/>
          <w:sz w:val="20"/>
        </w:rPr>
        <w:t>Duoc UC · Sede Puente Alto · jornada vespertina</w:t>
      </w:r>
    </w:p>
    <w:p>
      <w:pPr>
        <w:spacing w:before="160"/>
        <w:ind w:firstLine="0"/>
        <w:jc w:val="center"/>
      </w:pPr>
      <w:r>
        <w:rPr>
          <w:rFonts w:ascii="Times New Roman" w:hAnsi="Times New Roman" w:cs="Times New Roman" w:eastAsia="Times New Roman"/>
          <w:b w:val="0"/>
          <w:i/>
          <w:color w:val="555555"/>
          <w:sz w:val="20"/>
        </w:rPr>
        <w:t>Documento de uso interno para dirección</w:t>
      </w:r>
    </w:p>
    <w:p>
      <w:pPr>
        <w:sectPr>
          <w:headerReference w:type="default" r:id="rId9"/>
          <w:footerReference w:type="default" r:id="rId10"/>
          <w:pgSz w:w="11906" w:h="16838"/>
          <w:pgMar w:top="1247" w:right="1417" w:bottom="1247" w:left="1417" w:header="720" w:footer="720" w:gutter="0"/>
          <w:cols w:space="720"/>
          <w:docGrid w:linePitch="360"/>
        </w:sectPr>
      </w:pPr>
    </w:p>
    <w:p>
      <w:pPr>
        <w:spacing w:line="276" w:lineRule="auto" w:before="200" w:after="80"/>
        <w:ind w:firstLine="0"/>
        <w:jc w:val="left"/>
        <w:pBdr>
          <w:bottom w:val="single" w:sz="8" w:space="6" w:color="10263D"/>
        </w:pBdr>
      </w:pPr>
      <w:r>
        <w:rPr>
          <w:rFonts w:ascii="Times New Roman" w:hAnsi="Times New Roman" w:cs="Times New Roman" w:eastAsia="Times New Roman"/>
          <w:b/>
          <w:i w:val="0"/>
          <w:color w:val="10263D"/>
          <w:sz w:val="26"/>
        </w:rPr>
        <w:t>1. Contexto, necesidad de negocio y autorización</w:t>
      </w:r>
    </w:p>
    <w:p>
      <w:pPr>
        <w:spacing w:line="360" w:lineRule="auto" w:after="120" w:before="0"/>
        <w:ind w:firstLine="425"/>
        <w:jc w:val="both"/>
      </w:pPr>
      <w:r>
        <w:rPr>
          <w:rFonts w:ascii="Times New Roman" w:hAnsi="Times New Roman" w:cs="Times New Roman" w:eastAsia="Times New Roman"/>
          <w:b w:val="0"/>
          <w:i w:val="0"/>
          <w:sz w:val="24"/>
        </w:rPr>
        <w:t>La empresa social trabaja en una comunidad de India donde la energía no es confiable. Eso afecta la escuela, la salud y el trabajo, y mantiene la dependencia de combustibles fósiles. La respuesta física ya está en marcha: kits solares en un piloto. Kiran no reemplaza esos kits; es el software que permite ver si cada kit sigue entregando luz.</w:t>
      </w:r>
    </w:p>
    <w:p>
      <w:pPr>
        <w:spacing w:line="360" w:lineRule="auto" w:after="120" w:before="0"/>
        <w:ind w:firstLine="425"/>
        <w:jc w:val="both"/>
      </w:pPr>
      <w:r>
        <w:rPr>
          <w:rFonts w:ascii="Times New Roman" w:hAnsi="Times New Roman" w:cs="Times New Roman" w:eastAsia="Times New Roman"/>
          <w:b w:val="0"/>
          <w:i w:val="0"/>
          <w:sz w:val="24"/>
        </w:rPr>
        <w:t>Hoy puede pasar esto: el panel está en el techo y, en el informe, sigue figurando como activo. La falla existe, pero no queda registrada. Quien repara no sabe a cuál ir. Quien financia recibe un número que ya no corresponde. El proyecto nace para corregir esa desinformación operativa.</w:t>
      </w:r>
    </w:p>
    <w:p>
      <w:pPr>
        <w:spacing w:line="360" w:lineRule="auto" w:after="120" w:before="0"/>
        <w:ind w:firstLine="425"/>
        <w:jc w:val="both"/>
      </w:pPr>
      <w:r>
        <w:rPr>
          <w:rFonts w:ascii="Times New Roman" w:hAnsi="Times New Roman" w:cs="Times New Roman" w:eastAsia="Times New Roman"/>
          <w:b w:val="0"/>
          <w:i w:val="0"/>
          <w:sz w:val="24"/>
        </w:rPr>
        <w:t>Kiran tiene fecha de inicio y de término. Cuando el técnico atienda tickets todos los días, eso deja de ser proyecto y pasa a ser operación. Si no se escribe esa frontera, el alcance se hincha y parece que este equipo viniera a electrificar la región.</w:t>
      </w:r>
    </w:p>
    <w:p>
      <w:pPr>
        <w:spacing w:line="360" w:lineRule="auto" w:after="120" w:before="0"/>
        <w:ind w:firstLine="425"/>
        <w:jc w:val="both"/>
      </w:pPr>
      <w:r>
        <w:rPr>
          <w:rFonts w:ascii="Times New Roman" w:hAnsi="Times New Roman" w:cs="Times New Roman" w:eastAsia="Times New Roman"/>
          <w:b w:val="0"/>
          <w:i w:val="0"/>
          <w:sz w:val="24"/>
        </w:rPr>
        <w:t>El acta autoriza el piloto de software (no una fábrica de paneles) y nombra a Giannina Guerrero como directora, con un techo de US$ 20.700. Con ella trabajan Nicolás Barra (backend), Ari Araya (nube) y Skarlett Tropan (calidad e impacto). El trabajo corre del 14 de septiembre de 2026 al 9 de diciembre de 2026: 63 días hábiles. Empujan este plan la dirección de la empresa social, inversores y donantes, el soporte local, el partner tecnológico y, de forma indirecta, los hogares. En esta fase las familias no usan la aplicación. Los riesgos que ya se ven: poca señal, datos incompletos y que el tablero no se use en terreno.</w:t>
      </w:r>
    </w:p>
    <w:tbl>
      <w:tblPr>
        <w:tblStyle w:val="TableGrid"/>
        <w:tblW w:type="auto" w:w="0"/>
        <w:jc w:val="center"/>
        <w:tblLayout w:type="autofit"/>
        <w:tblLook w:firstColumn="1" w:firstRow="1" w:lastColumn="0" w:lastRow="0" w:noHBand="0" w:noVBand="1" w:val="04A0"/>
      </w:tblPr>
      <w:tblGrid>
        <w:gridCol w:w="4536"/>
        <w:gridCol w:w="4536"/>
      </w:tblGrid>
      <w:tr>
        <w:tc>
          <w:tcPr>
            <w:tcW w:type="dxa" w:w="2381"/>
            <w:shd w:fill="10263D" w:val="clear"/>
          </w:tcPr>
          <w:p>
            <w:pPr>
              <w:spacing w:after="0" w:before="0" w:line="240" w:lineRule="auto"/>
            </w:pPr>
            <w:r/>
            <w:r>
              <w:rPr>
                <w:rFonts w:ascii="Times New Roman" w:hAnsi="Times New Roman" w:cs="Times New Roman" w:eastAsia="Times New Roman"/>
                <w:b/>
                <w:i w:val="0"/>
                <w:color w:val="FFFFFF"/>
                <w:sz w:val="18"/>
              </w:rPr>
              <w:t>Campo del acta</w:t>
            </w:r>
          </w:p>
        </w:tc>
        <w:tc>
          <w:tcPr>
            <w:tcW w:type="dxa" w:w="6690"/>
            <w:shd w:fill="10263D" w:val="clear"/>
          </w:tcPr>
          <w:p>
            <w:pPr>
              <w:spacing w:after="0" w:before="0" w:line="240" w:lineRule="auto"/>
            </w:pPr>
            <w:r/>
            <w:r>
              <w:rPr>
                <w:rFonts w:ascii="Times New Roman" w:hAnsi="Times New Roman" w:cs="Times New Roman" w:eastAsia="Times New Roman"/>
                <w:b/>
                <w:i w:val="0"/>
                <w:color w:val="FFFFFF"/>
                <w:sz w:val="18"/>
              </w:rPr>
              <w:t>Definición para este piloto</w:t>
            </w:r>
          </w:p>
        </w:tc>
      </w:tr>
      <w:tr>
        <w:tc>
          <w:tcPr>
            <w:tcW w:type="dxa" w:w="2381"/>
          </w:tcPr>
          <w:p>
            <w:pPr>
              <w:spacing w:after="0" w:before="0" w:line="240" w:lineRule="auto"/>
            </w:pPr>
            <w:r/>
            <w:r>
              <w:rPr>
                <w:rFonts w:ascii="Times New Roman" w:hAnsi="Times New Roman" w:cs="Times New Roman" w:eastAsia="Times New Roman"/>
                <w:b w:val="0"/>
                <w:i w:val="0"/>
                <w:sz w:val="18"/>
              </w:rPr>
              <w:t>Propósito</w:t>
            </w:r>
          </w:p>
        </w:tc>
        <w:tc>
          <w:tcPr>
            <w:tcW w:type="dxa" w:w="6690"/>
          </w:tcPr>
          <w:p>
            <w:pPr>
              <w:spacing w:after="0" w:before="0" w:line="240" w:lineRule="auto"/>
            </w:pPr>
            <w:r/>
            <w:r>
              <w:rPr>
                <w:rFonts w:ascii="Times New Roman" w:hAnsi="Times New Roman" w:cs="Times New Roman" w:eastAsia="Times New Roman"/>
                <w:b w:val="0"/>
                <w:i w:val="0"/>
                <w:sz w:val="18"/>
              </w:rPr>
              <w:t>Construir Kiran para una comunidad piloto: inventario, tablero, mantención y reporte.</w:t>
            </w:r>
          </w:p>
        </w:tc>
      </w:tr>
      <w:tr>
        <w:tc>
          <w:tcPr>
            <w:tcW w:type="dxa" w:w="2381"/>
            <w:shd w:fill="F2F2F2" w:val="clear"/>
          </w:tcPr>
          <w:p>
            <w:pPr>
              <w:spacing w:after="0" w:before="0" w:line="240" w:lineRule="auto"/>
            </w:pPr>
            <w:r/>
            <w:r>
              <w:rPr>
                <w:rFonts w:ascii="Times New Roman" w:hAnsi="Times New Roman" w:cs="Times New Roman" w:eastAsia="Times New Roman"/>
                <w:b w:val="0"/>
                <w:i w:val="0"/>
                <w:sz w:val="18"/>
              </w:rPr>
              <w:t>Objetivos medibles</w:t>
            </w:r>
          </w:p>
        </w:tc>
        <w:tc>
          <w:tcPr>
            <w:tcW w:type="dxa" w:w="6690"/>
            <w:shd w:fill="F2F2F2" w:val="clear"/>
          </w:tcPr>
          <w:p>
            <w:pPr>
              <w:spacing w:after="0" w:before="0" w:line="240" w:lineRule="auto"/>
            </w:pPr>
            <w:r/>
            <w:r>
              <w:rPr>
                <w:rFonts w:ascii="Times New Roman" w:hAnsi="Times New Roman" w:cs="Times New Roman" w:eastAsia="Times New Roman"/>
                <w:b w:val="0"/>
                <w:i w:val="0"/>
                <w:sz w:val="18"/>
              </w:rPr>
              <w:t>Ningún kit fantasma en el activo; tickets desde una falla real; primer reporte el 4 de diciembre de 2026.</w:t>
            </w:r>
          </w:p>
        </w:tc>
      </w:tr>
      <w:tr>
        <w:tc>
          <w:tcPr>
            <w:tcW w:type="dxa" w:w="2381"/>
          </w:tcPr>
          <w:p>
            <w:pPr>
              <w:spacing w:after="0" w:before="0" w:line="240" w:lineRule="auto"/>
            </w:pPr>
            <w:r/>
            <w:r>
              <w:rPr>
                <w:rFonts w:ascii="Times New Roman" w:hAnsi="Times New Roman" w:cs="Times New Roman" w:eastAsia="Times New Roman"/>
                <w:b w:val="0"/>
                <w:i w:val="0"/>
                <w:sz w:val="18"/>
              </w:rPr>
              <w:t>Presupuesto resumido</w:t>
            </w:r>
          </w:p>
        </w:tc>
        <w:tc>
          <w:tcPr>
            <w:tcW w:type="dxa" w:w="6690"/>
          </w:tcPr>
          <w:p>
            <w:pPr>
              <w:spacing w:after="0" w:before="0" w:line="240" w:lineRule="auto"/>
            </w:pPr>
            <w:r/>
            <w:r>
              <w:rPr>
                <w:rFonts w:ascii="Times New Roman" w:hAnsi="Times New Roman" w:cs="Times New Roman" w:eastAsia="Times New Roman"/>
                <w:b w:val="0"/>
                <w:i w:val="0"/>
                <w:sz w:val="18"/>
              </w:rPr>
              <w:t>US$ 20.700, con 12 % de contingencia. Lo ya gastado no entra.</w:t>
            </w:r>
          </w:p>
        </w:tc>
      </w:tr>
      <w:tr>
        <w:tc>
          <w:tcPr>
            <w:tcW w:type="dxa" w:w="2381"/>
            <w:shd w:fill="F2F2F2" w:val="clear"/>
          </w:tcPr>
          <w:p>
            <w:pPr>
              <w:spacing w:after="0" w:before="0" w:line="240" w:lineRule="auto"/>
            </w:pPr>
            <w:r/>
            <w:r>
              <w:rPr>
                <w:rFonts w:ascii="Times New Roman" w:hAnsi="Times New Roman" w:cs="Times New Roman" w:eastAsia="Times New Roman"/>
                <w:b w:val="0"/>
                <w:i w:val="0"/>
                <w:sz w:val="18"/>
              </w:rPr>
              <w:t>Hitos resumidos</w:t>
            </w:r>
          </w:p>
        </w:tc>
        <w:tc>
          <w:tcPr>
            <w:tcW w:type="dxa" w:w="6690"/>
            <w:shd w:fill="F2F2F2" w:val="clear"/>
          </w:tcPr>
          <w:p>
            <w:pPr>
              <w:spacing w:after="0" w:before="0" w:line="240" w:lineRule="auto"/>
            </w:pPr>
            <w:r/>
            <w:r>
              <w:rPr>
                <w:rFonts w:ascii="Times New Roman" w:hAnsi="Times New Roman" w:cs="Times New Roman" w:eastAsia="Times New Roman"/>
                <w:b w:val="0"/>
                <w:i w:val="0"/>
                <w:sz w:val="18"/>
              </w:rPr>
              <w:t>Inventario 19 de octubre de 2026; tablero 9 de noviembre de 2026; reporte 4 de diciembre de 2026; cierre 9 de diciembre de 2026.</w:t>
            </w:r>
          </w:p>
        </w:tc>
      </w:tr>
      <w:tr>
        <w:tc>
          <w:tcPr>
            <w:tcW w:type="dxa" w:w="2381"/>
          </w:tcPr>
          <w:p>
            <w:pPr>
              <w:spacing w:after="0" w:before="0" w:line="240" w:lineRule="auto"/>
            </w:pPr>
            <w:r/>
            <w:r>
              <w:rPr>
                <w:rFonts w:ascii="Times New Roman" w:hAnsi="Times New Roman" w:cs="Times New Roman" w:eastAsia="Times New Roman"/>
                <w:b w:val="0"/>
                <w:i w:val="0"/>
                <w:sz w:val="18"/>
              </w:rPr>
              <w:t>Criterio de aprobación</w:t>
            </w:r>
          </w:p>
        </w:tc>
        <w:tc>
          <w:tcPr>
            <w:tcW w:type="dxa" w:w="6690"/>
          </w:tcPr>
          <w:p>
            <w:pPr>
              <w:spacing w:after="0" w:before="0" w:line="240" w:lineRule="auto"/>
            </w:pPr>
            <w:r/>
            <w:r>
              <w:rPr>
                <w:rFonts w:ascii="Times New Roman" w:hAnsi="Times New Roman" w:cs="Times New Roman" w:eastAsia="Times New Roman"/>
                <w:b w:val="0"/>
                <w:i w:val="0"/>
                <w:sz w:val="18"/>
              </w:rPr>
              <w:t>El patrocinador acepta el primer reporte con datos reales. Un kit dado de baja deja de contar como activo.</w:t>
            </w:r>
          </w:p>
        </w:tc>
      </w:tr>
    </w:tbl>
    <w:p>
      <w:pPr>
        <w:spacing w:after="80"/>
      </w:pPr>
    </w:p>
    <w:p>
      <w:pPr>
        <w:spacing w:before="40" w:after="160" w:line="240" w:lineRule="auto"/>
        <w:ind w:firstLine="0"/>
        <w:jc w:val="center"/>
      </w:pPr>
      <w:r>
        <w:rPr>
          <w:rFonts w:ascii="Times New Roman" w:hAnsi="Times New Roman" w:cs="Times New Roman" w:eastAsia="Times New Roman"/>
          <w:b w:val="0"/>
          <w:i/>
          <w:color w:val="444444"/>
          <w:sz w:val="18"/>
        </w:rPr>
        <w:t>Tabla 1. Extracto del acta de constitución. Autoriza el piloto; no reemplaza el plan.</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2041"/>
            <w:shd w:fill="10263D" w:val="clear"/>
          </w:tcPr>
          <w:p>
            <w:pPr>
              <w:spacing w:after="0" w:before="0" w:line="240" w:lineRule="auto"/>
            </w:pPr>
            <w:r/>
            <w:r>
              <w:rPr>
                <w:rFonts w:ascii="Times New Roman" w:hAnsi="Times New Roman" w:cs="Times New Roman" w:eastAsia="Times New Roman"/>
                <w:b/>
                <w:i w:val="0"/>
                <w:color w:val="FFFFFF"/>
                <w:sz w:val="18"/>
              </w:rPr>
              <w:t>Persona</w:t>
            </w:r>
          </w:p>
        </w:tc>
        <w:tc>
          <w:tcPr>
            <w:tcW w:type="dxa" w:w="2608"/>
            <w:shd w:fill="10263D" w:val="clear"/>
          </w:tcPr>
          <w:p>
            <w:pPr>
              <w:spacing w:after="0" w:before="0" w:line="240" w:lineRule="auto"/>
            </w:pPr>
            <w:r/>
            <w:r>
              <w:rPr>
                <w:rFonts w:ascii="Times New Roman" w:hAnsi="Times New Roman" w:cs="Times New Roman" w:eastAsia="Times New Roman"/>
                <w:b/>
                <w:i w:val="0"/>
                <w:color w:val="FFFFFF"/>
                <w:sz w:val="18"/>
              </w:rPr>
              <w:t>Rol en Kiran</w:t>
            </w:r>
          </w:p>
        </w:tc>
        <w:tc>
          <w:tcPr>
            <w:tcW w:type="dxa" w:w="4422"/>
            <w:shd w:fill="10263D" w:val="clear"/>
          </w:tcPr>
          <w:p>
            <w:pPr>
              <w:spacing w:after="0" w:before="0" w:line="240" w:lineRule="auto"/>
            </w:pPr>
            <w:r/>
            <w:r>
              <w:rPr>
                <w:rFonts w:ascii="Times New Roman" w:hAnsi="Times New Roman" w:cs="Times New Roman" w:eastAsia="Times New Roman"/>
                <w:b/>
                <w:i w:val="0"/>
                <w:color w:val="FFFFFF"/>
                <w:sz w:val="18"/>
              </w:rPr>
              <w:t>Qué sostiene en el desarrollo</w:t>
            </w:r>
          </w:p>
        </w:tc>
      </w:tr>
      <w:tr>
        <w:tc>
          <w:tcPr>
            <w:tcW w:type="dxa" w:w="2041"/>
          </w:tcPr>
          <w:p>
            <w:pPr>
              <w:spacing w:after="0" w:before="0" w:line="240" w:lineRule="auto"/>
            </w:pPr>
            <w:r/>
            <w:r>
              <w:rPr>
                <w:rFonts w:ascii="Times New Roman" w:hAnsi="Times New Roman" w:cs="Times New Roman" w:eastAsia="Times New Roman"/>
                <w:b w:val="0"/>
                <w:i w:val="0"/>
                <w:sz w:val="18"/>
              </w:rPr>
              <w:t>Giannina Guerrero</w:t>
            </w:r>
          </w:p>
        </w:tc>
        <w:tc>
          <w:tcPr>
            <w:tcW w:type="dxa" w:w="2608"/>
          </w:tcPr>
          <w:p>
            <w:pPr>
              <w:spacing w:after="0" w:before="0" w:line="240" w:lineRule="auto"/>
            </w:pPr>
            <w:r/>
            <w:r>
              <w:rPr>
                <w:rFonts w:ascii="Times New Roman" w:hAnsi="Times New Roman" w:cs="Times New Roman" w:eastAsia="Times New Roman"/>
                <w:b w:val="0"/>
                <w:i w:val="0"/>
                <w:sz w:val="18"/>
              </w:rPr>
              <w:t>Directora del proyecto y frontend</w:t>
            </w:r>
          </w:p>
        </w:tc>
        <w:tc>
          <w:tcPr>
            <w:tcW w:type="dxa" w:w="4422"/>
          </w:tcPr>
          <w:p>
            <w:pPr>
              <w:spacing w:after="0" w:before="0" w:line="240" w:lineRule="auto"/>
            </w:pPr>
            <w:r/>
            <w:r>
              <w:rPr>
                <w:rFonts w:ascii="Times New Roman" w:hAnsi="Times New Roman" w:cs="Times New Roman" w:eastAsia="Times New Roman"/>
                <w:b w:val="0"/>
                <w:i w:val="0"/>
                <w:sz w:val="18"/>
              </w:rPr>
              <w:t>Acta, alcance, tablero y relación con dirección</w:t>
            </w:r>
          </w:p>
        </w:tc>
      </w:tr>
      <w:tr>
        <w:tc>
          <w:tcPr>
            <w:tcW w:type="dxa" w:w="2041"/>
            <w:shd w:fill="F2F2F2" w:val="clear"/>
          </w:tcPr>
          <w:p>
            <w:pPr>
              <w:spacing w:after="0" w:before="0" w:line="240" w:lineRule="auto"/>
            </w:pPr>
            <w:r/>
            <w:r>
              <w:rPr>
                <w:rFonts w:ascii="Times New Roman" w:hAnsi="Times New Roman" w:cs="Times New Roman" w:eastAsia="Times New Roman"/>
                <w:b w:val="0"/>
                <w:i w:val="0"/>
                <w:sz w:val="18"/>
              </w:rPr>
              <w:t>Nicolás Barra</w:t>
            </w:r>
          </w:p>
        </w:tc>
        <w:tc>
          <w:tcPr>
            <w:tcW w:type="dxa" w:w="2608"/>
            <w:shd w:fill="F2F2F2" w:val="clear"/>
          </w:tcPr>
          <w:p>
            <w:pPr>
              <w:spacing w:after="0" w:before="0" w:line="240" w:lineRule="auto"/>
            </w:pPr>
            <w:r/>
            <w:r>
              <w:rPr>
                <w:rFonts w:ascii="Times New Roman" w:hAnsi="Times New Roman" w:cs="Times New Roman" w:eastAsia="Times New Roman"/>
                <w:b w:val="0"/>
                <w:i w:val="0"/>
                <w:sz w:val="18"/>
              </w:rPr>
              <w:t>Backend</w:t>
            </w:r>
          </w:p>
        </w:tc>
        <w:tc>
          <w:tcPr>
            <w:tcW w:type="dxa" w:w="4422"/>
            <w:shd w:fill="F2F2F2" w:val="clear"/>
          </w:tcPr>
          <w:p>
            <w:pPr>
              <w:spacing w:after="0" w:before="0" w:line="240" w:lineRule="auto"/>
            </w:pPr>
            <w:r/>
            <w:r>
              <w:rPr>
                <w:rFonts w:ascii="Times New Roman" w:hAnsi="Times New Roman" w:cs="Times New Roman" w:eastAsia="Times New Roman"/>
                <w:b w:val="0"/>
                <w:i w:val="0"/>
                <w:sz w:val="18"/>
              </w:rPr>
              <w:t>Datos, inventario, tickets y tratamiento de hogares</w:t>
            </w:r>
          </w:p>
        </w:tc>
      </w:tr>
      <w:tr>
        <w:tc>
          <w:tcPr>
            <w:tcW w:type="dxa" w:w="2041"/>
          </w:tcPr>
          <w:p>
            <w:pPr>
              <w:spacing w:after="0" w:before="0" w:line="240" w:lineRule="auto"/>
            </w:pPr>
            <w:r/>
            <w:r>
              <w:rPr>
                <w:rFonts w:ascii="Times New Roman" w:hAnsi="Times New Roman" w:cs="Times New Roman" w:eastAsia="Times New Roman"/>
                <w:b w:val="0"/>
                <w:i w:val="0"/>
                <w:sz w:val="18"/>
              </w:rPr>
              <w:t>Ari Araya</w:t>
            </w:r>
          </w:p>
        </w:tc>
        <w:tc>
          <w:tcPr>
            <w:tcW w:type="dxa" w:w="2608"/>
          </w:tcPr>
          <w:p>
            <w:pPr>
              <w:spacing w:after="0" w:before="0" w:line="240" w:lineRule="auto"/>
            </w:pPr>
            <w:r/>
            <w:r>
              <w:rPr>
                <w:rFonts w:ascii="Times New Roman" w:hAnsi="Times New Roman" w:cs="Times New Roman" w:eastAsia="Times New Roman"/>
                <w:b w:val="0"/>
                <w:i w:val="0"/>
                <w:sz w:val="18"/>
              </w:rPr>
              <w:t>Infraestructura y nube</w:t>
            </w:r>
          </w:p>
        </w:tc>
        <w:tc>
          <w:tcPr>
            <w:tcW w:type="dxa" w:w="4422"/>
          </w:tcPr>
          <w:p>
            <w:pPr>
              <w:spacing w:after="0" w:before="0" w:line="240" w:lineRule="auto"/>
            </w:pPr>
            <w:r/>
            <w:r>
              <w:rPr>
                <w:rFonts w:ascii="Times New Roman" w:hAnsi="Times New Roman" w:cs="Times New Roman" w:eastAsia="Times New Roman"/>
                <w:b w:val="0"/>
                <w:i w:val="0"/>
                <w:sz w:val="18"/>
              </w:rPr>
              <w:t>Ambientes, despliegue, accesos y hosting</w:t>
            </w:r>
          </w:p>
        </w:tc>
      </w:tr>
      <w:tr>
        <w:tc>
          <w:tcPr>
            <w:tcW w:type="dxa" w:w="2041"/>
            <w:shd w:fill="F2F2F2" w:val="clear"/>
          </w:tcPr>
          <w:p>
            <w:pPr>
              <w:spacing w:after="0" w:before="0" w:line="240" w:lineRule="auto"/>
            </w:pPr>
            <w:r/>
            <w:r>
              <w:rPr>
                <w:rFonts w:ascii="Times New Roman" w:hAnsi="Times New Roman" w:cs="Times New Roman" w:eastAsia="Times New Roman"/>
                <w:b w:val="0"/>
                <w:i w:val="0"/>
                <w:sz w:val="18"/>
              </w:rPr>
              <w:t>Skarlett Tropan</w:t>
            </w:r>
          </w:p>
        </w:tc>
        <w:tc>
          <w:tcPr>
            <w:tcW w:type="dxa" w:w="2608"/>
            <w:shd w:fill="F2F2F2" w:val="clear"/>
          </w:tcPr>
          <w:p>
            <w:pPr>
              <w:spacing w:after="0" w:before="0" w:line="240" w:lineRule="auto"/>
            </w:pPr>
            <w:r/>
            <w:r>
              <w:rPr>
                <w:rFonts w:ascii="Times New Roman" w:hAnsi="Times New Roman" w:cs="Times New Roman" w:eastAsia="Times New Roman"/>
                <w:b w:val="0"/>
                <w:i w:val="0"/>
                <w:sz w:val="18"/>
              </w:rPr>
              <w:t>Calidad e impacto</w:t>
            </w:r>
          </w:p>
        </w:tc>
        <w:tc>
          <w:tcPr>
            <w:tcW w:type="dxa" w:w="4422"/>
            <w:shd w:fill="F2F2F2" w:val="clear"/>
          </w:tcPr>
          <w:p>
            <w:pPr>
              <w:spacing w:after="0" w:before="0" w:line="240" w:lineRule="auto"/>
            </w:pPr>
            <w:r/>
            <w:r>
              <w:rPr>
                <w:rFonts w:ascii="Times New Roman" w:hAnsi="Times New Roman" w:cs="Times New Roman" w:eastAsia="Times New Roman"/>
                <w:b w:val="0"/>
                <w:i w:val="0"/>
                <w:sz w:val="18"/>
              </w:rPr>
              <w:t>Pruebas, reportes a patrocinadores y capacitación</w:t>
            </w:r>
          </w:p>
        </w:tc>
      </w:tr>
    </w:tbl>
    <w:p>
      <w:pPr>
        <w:spacing w:after="80"/>
      </w:pPr>
    </w:p>
    <w:p>
      <w:pPr>
        <w:spacing w:before="40" w:after="160" w:line="240" w:lineRule="auto"/>
        <w:ind w:firstLine="0"/>
        <w:jc w:val="center"/>
      </w:pPr>
      <w:r>
        <w:rPr>
          <w:rFonts w:ascii="Times New Roman" w:hAnsi="Times New Roman" w:cs="Times New Roman" w:eastAsia="Times New Roman"/>
          <w:b w:val="0"/>
          <w:i/>
          <w:color w:val="444444"/>
          <w:sz w:val="18"/>
        </w:rPr>
        <w:t>Tabla 2. Equipo de desarrollo del piloto.</w:t>
      </w:r>
    </w:p>
    <w:p>
      <w:pPr>
        <w:spacing w:line="276" w:lineRule="auto" w:before="200" w:after="80"/>
        <w:ind w:firstLine="0"/>
        <w:jc w:val="left"/>
        <w:pBdr>
          <w:bottom w:val="single" w:sz="8" w:space="6" w:color="10263D"/>
        </w:pBdr>
      </w:pPr>
      <w:r>
        <w:rPr>
          <w:rFonts w:ascii="Times New Roman" w:hAnsi="Times New Roman" w:cs="Times New Roman" w:eastAsia="Times New Roman"/>
          <w:b/>
          <w:i w:val="0"/>
          <w:color w:val="10263D"/>
          <w:sz w:val="26"/>
        </w:rPr>
        <w:t>2. Propuesta de valor y mejora sobre la solución del caso</w:t>
      </w:r>
    </w:p>
    <w:p>
      <w:pPr>
        <w:spacing w:line="360" w:lineRule="auto" w:after="120" w:before="0"/>
        <w:ind w:firstLine="425"/>
        <w:jc w:val="both"/>
      </w:pPr>
      <w:r>
        <w:rPr>
          <w:rFonts w:ascii="Times New Roman" w:hAnsi="Times New Roman" w:cs="Times New Roman" w:eastAsia="Times New Roman"/>
          <w:b w:val="0"/>
          <w:i w:val="0"/>
          <w:sz w:val="24"/>
        </w:rPr>
        <w:t>Dirección ya pidió inventario, tablero, mantención y reportes. Copiar esa lista no basta. Hay que decir qué mejora Kiran respecto de una planilla o un grupo de WhatsApp.</w:t>
      </w:r>
    </w:p>
    <w:p>
      <w:pPr>
        <w:spacing w:line="360" w:lineRule="auto" w:after="120" w:before="0"/>
        <w:ind w:firstLine="425"/>
        <w:jc w:val="both"/>
      </w:pPr>
      <w:r>
        <w:rPr>
          <w:rFonts w:ascii="Times New Roman" w:hAnsi="Times New Roman" w:cs="Times New Roman" w:eastAsia="Times New Roman"/>
          <w:b w:val="0"/>
          <w:i w:val="0"/>
          <w:sz w:val="24"/>
        </w:rPr>
        <w:t>La promesa del piloto es dar visibilidad para mantener la energía activa. Cada kit queda con un estado actualizado. Las fallas se convierten en tickets asignables y el informe a donantes se alimenta de operación real, no de un ensayo de pantalla. El valor está en que un kit dado de baja deje de contar como activo, en que el técnico priorice lo que realmente está caído y en que un inversor pueda creer el reporte (PMI, 2021, 7.ª ed.). Si el software funciona y el técnico no lo abre, el piloto igual puede verse como un fracaso.</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2041"/>
            <w:shd w:fill="10263D" w:val="clear"/>
          </w:tcPr>
          <w:p>
            <w:pPr>
              <w:spacing w:after="0" w:before="0" w:line="240" w:lineRule="auto"/>
            </w:pPr>
            <w:r/>
            <w:r>
              <w:rPr>
                <w:rFonts w:ascii="Times New Roman" w:hAnsi="Times New Roman" w:cs="Times New Roman" w:eastAsia="Times New Roman"/>
                <w:b/>
                <w:i w:val="0"/>
                <w:color w:val="FFFFFF"/>
                <w:sz w:val="18"/>
              </w:rPr>
              <w:t>Problemática de negocio</w:t>
            </w:r>
          </w:p>
        </w:tc>
        <w:tc>
          <w:tcPr>
            <w:tcW w:type="dxa" w:w="3515"/>
            <w:shd w:fill="10263D" w:val="clear"/>
          </w:tcPr>
          <w:p>
            <w:pPr>
              <w:spacing w:after="0" w:before="0" w:line="240" w:lineRule="auto"/>
            </w:pPr>
            <w:r/>
            <w:r>
              <w:rPr>
                <w:rFonts w:ascii="Times New Roman" w:hAnsi="Times New Roman" w:cs="Times New Roman" w:eastAsia="Times New Roman"/>
                <w:b/>
                <w:i w:val="0"/>
                <w:color w:val="FFFFFF"/>
                <w:sz w:val="18"/>
              </w:rPr>
              <w:t>Qué no resuelve el kit solo</w:t>
            </w:r>
          </w:p>
        </w:tc>
        <w:tc>
          <w:tcPr>
            <w:tcW w:type="dxa" w:w="3515"/>
            <w:shd w:fill="10263D" w:val="clear"/>
          </w:tcPr>
          <w:p>
            <w:pPr>
              <w:spacing w:after="0" w:before="0" w:line="240" w:lineRule="auto"/>
            </w:pPr>
            <w:r/>
            <w:r>
              <w:rPr>
                <w:rFonts w:ascii="Times New Roman" w:hAnsi="Times New Roman" w:cs="Times New Roman" w:eastAsia="Times New Roman"/>
                <w:b/>
                <w:i w:val="0"/>
                <w:color w:val="FFFFFF"/>
                <w:sz w:val="18"/>
              </w:rPr>
              <w:t>Cómo Kiran mejora la solución</w:t>
            </w:r>
          </w:p>
        </w:tc>
      </w:tr>
      <w:tr>
        <w:tc>
          <w:tcPr>
            <w:tcW w:type="dxa" w:w="2041"/>
          </w:tcPr>
          <w:p>
            <w:pPr>
              <w:spacing w:after="0" w:before="0" w:line="240" w:lineRule="auto"/>
            </w:pPr>
            <w:r/>
            <w:r>
              <w:rPr>
                <w:rFonts w:ascii="Times New Roman" w:hAnsi="Times New Roman" w:cs="Times New Roman" w:eastAsia="Times New Roman"/>
                <w:b w:val="0"/>
                <w:i w:val="0"/>
                <w:sz w:val="18"/>
              </w:rPr>
              <w:t>Falta de energía confiable</w:t>
            </w:r>
          </w:p>
        </w:tc>
        <w:tc>
          <w:tcPr>
            <w:tcW w:type="dxa" w:w="3515"/>
          </w:tcPr>
          <w:p>
            <w:pPr>
              <w:spacing w:after="0" w:before="0" w:line="240" w:lineRule="auto"/>
            </w:pPr>
            <w:r/>
            <w:r>
              <w:rPr>
                <w:rFonts w:ascii="Times New Roman" w:hAnsi="Times New Roman" w:cs="Times New Roman" w:eastAsia="Times New Roman"/>
                <w:b w:val="0"/>
                <w:i w:val="0"/>
                <w:sz w:val="18"/>
              </w:rPr>
              <w:t>Un kit instalado y en silencio no ilumina: la falla no se ve ni se atiende</w:t>
            </w:r>
          </w:p>
        </w:tc>
        <w:tc>
          <w:tcPr>
            <w:tcW w:type="dxa" w:w="3515"/>
          </w:tcPr>
          <w:p>
            <w:pPr>
              <w:spacing w:after="0" w:before="0" w:line="240" w:lineRule="auto"/>
            </w:pPr>
            <w:r/>
            <w:r>
              <w:rPr>
                <w:rFonts w:ascii="Times New Roman" w:hAnsi="Times New Roman" w:cs="Times New Roman" w:eastAsia="Times New Roman"/>
                <w:b w:val="0"/>
                <w:i w:val="0"/>
                <w:sz w:val="18"/>
              </w:rPr>
              <w:t>Estados activo / falla / baja + ticket desde el kit: el técnico prioriza lo que de verdad está caído</w:t>
            </w:r>
          </w:p>
        </w:tc>
      </w:tr>
      <w:tr>
        <w:tc>
          <w:tcPr>
            <w:tcW w:type="dxa" w:w="2041"/>
            <w:shd w:fill="F2F2F2" w:val="clear"/>
          </w:tcPr>
          <w:p>
            <w:pPr>
              <w:spacing w:after="0" w:before="0" w:line="240" w:lineRule="auto"/>
            </w:pPr>
            <w:r/>
            <w:r>
              <w:rPr>
                <w:rFonts w:ascii="Times New Roman" w:hAnsi="Times New Roman" w:cs="Times New Roman" w:eastAsia="Times New Roman"/>
                <w:b w:val="0"/>
                <w:i w:val="0"/>
                <w:sz w:val="18"/>
              </w:rPr>
              <w:t>Desarrollo económico limitado</w:t>
            </w:r>
          </w:p>
        </w:tc>
        <w:tc>
          <w:tcPr>
            <w:tcW w:type="dxa" w:w="3515"/>
            <w:shd w:fill="F2F2F2" w:val="clear"/>
          </w:tcPr>
          <w:p>
            <w:pPr>
              <w:spacing w:after="0" w:before="0" w:line="240" w:lineRule="auto"/>
            </w:pPr>
            <w:r/>
            <w:r>
              <w:rPr>
                <w:rFonts w:ascii="Times New Roman" w:hAnsi="Times New Roman" w:cs="Times New Roman" w:eastAsia="Times New Roman"/>
                <w:b w:val="0"/>
                <w:i w:val="0"/>
                <w:sz w:val="18"/>
              </w:rPr>
              <w:t>Sin energía estable no hay escuela ni taller; sin dato, la dirección no sabe dónde intervenir</w:t>
            </w:r>
          </w:p>
        </w:tc>
        <w:tc>
          <w:tcPr>
            <w:tcW w:type="dxa" w:w="3515"/>
            <w:shd w:fill="F2F2F2" w:val="clear"/>
          </w:tcPr>
          <w:p>
            <w:pPr>
              <w:spacing w:after="0" w:before="0" w:line="240" w:lineRule="auto"/>
            </w:pPr>
            <w:r/>
            <w:r>
              <w:rPr>
                <w:rFonts w:ascii="Times New Roman" w:hAnsi="Times New Roman" w:cs="Times New Roman" w:eastAsia="Times New Roman"/>
                <w:b w:val="0"/>
                <w:i w:val="0"/>
                <w:sz w:val="18"/>
              </w:rPr>
              <w:t>Tablero simple para soporte local: menos tiempo buscando el kit, más tiempo reparando</w:t>
            </w:r>
          </w:p>
        </w:tc>
      </w:tr>
      <w:tr>
        <w:tc>
          <w:tcPr>
            <w:tcW w:type="dxa" w:w="2041"/>
          </w:tcPr>
          <w:p>
            <w:pPr>
              <w:spacing w:after="0" w:before="0" w:line="240" w:lineRule="auto"/>
            </w:pPr>
            <w:r/>
            <w:r>
              <w:rPr>
                <w:rFonts w:ascii="Times New Roman" w:hAnsi="Times New Roman" w:cs="Times New Roman" w:eastAsia="Times New Roman"/>
                <w:b w:val="0"/>
                <w:i w:val="0"/>
                <w:sz w:val="18"/>
              </w:rPr>
              <w:t>Dependencia de fósiles</w:t>
            </w:r>
          </w:p>
        </w:tc>
        <w:tc>
          <w:tcPr>
            <w:tcW w:type="dxa" w:w="3515"/>
          </w:tcPr>
          <w:p>
            <w:pPr>
              <w:spacing w:after="0" w:before="0" w:line="240" w:lineRule="auto"/>
            </w:pPr>
            <w:r/>
            <w:r>
              <w:rPr>
                <w:rFonts w:ascii="Times New Roman" w:hAnsi="Times New Roman" w:cs="Times New Roman" w:eastAsia="Times New Roman"/>
                <w:b w:val="0"/>
                <w:i w:val="0"/>
                <w:sz w:val="18"/>
              </w:rPr>
              <w:t>Si el kit inactivo sigue en el inventario, el piloto miente el desplazamiento de diésel</w:t>
            </w:r>
          </w:p>
        </w:tc>
        <w:tc>
          <w:tcPr>
            <w:tcW w:type="dxa" w:w="3515"/>
          </w:tcPr>
          <w:p>
            <w:pPr>
              <w:spacing w:after="0" w:before="0" w:line="240" w:lineRule="auto"/>
            </w:pPr>
            <w:r/>
            <w:r>
              <w:rPr>
                <w:rFonts w:ascii="Times New Roman" w:hAnsi="Times New Roman" w:cs="Times New Roman" w:eastAsia="Times New Roman"/>
                <w:b w:val="0"/>
                <w:i w:val="0"/>
                <w:sz w:val="18"/>
              </w:rPr>
              <w:t>La baja saca el kit del activo. El reporte de impacto no cuenta fantasmas</w:t>
            </w:r>
          </w:p>
        </w:tc>
      </w:tr>
    </w:tbl>
    <w:p>
      <w:pPr>
        <w:spacing w:after="80"/>
      </w:pPr>
    </w:p>
    <w:p>
      <w:pPr>
        <w:spacing w:before="40" w:after="160" w:line="240" w:lineRule="auto"/>
        <w:ind w:firstLine="0"/>
        <w:jc w:val="center"/>
      </w:pPr>
      <w:r>
        <w:rPr>
          <w:rFonts w:ascii="Times New Roman" w:hAnsi="Times New Roman" w:cs="Times New Roman" w:eastAsia="Times New Roman"/>
          <w:b w:val="0"/>
          <w:i/>
          <w:color w:val="444444"/>
          <w:sz w:val="18"/>
        </w:rPr>
        <w:t>Tabla 3. De la problemática de negocio a lo que Kiran mejora (sin fabricar paneles).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1814"/>
            <w:shd w:fill="10263D" w:val="clear"/>
          </w:tcPr>
          <w:p>
            <w:pPr>
              <w:spacing w:after="0" w:before="0" w:line="240" w:lineRule="auto"/>
            </w:pPr>
            <w:r/>
            <w:r>
              <w:rPr>
                <w:rFonts w:ascii="Times New Roman" w:hAnsi="Times New Roman" w:cs="Times New Roman" w:eastAsia="Times New Roman"/>
                <w:b/>
                <w:i w:val="0"/>
                <w:color w:val="FFFFFF"/>
                <w:sz w:val="18"/>
              </w:rPr>
              <w:t>Interesado</w:t>
            </w:r>
          </w:p>
        </w:tc>
        <w:tc>
          <w:tcPr>
            <w:tcW w:type="dxa" w:w="2041"/>
            <w:shd w:fill="10263D" w:val="clear"/>
          </w:tcPr>
          <w:p>
            <w:pPr>
              <w:spacing w:after="0" w:before="0" w:line="240" w:lineRule="auto"/>
            </w:pPr>
            <w:r/>
            <w:r>
              <w:rPr>
                <w:rFonts w:ascii="Times New Roman" w:hAnsi="Times New Roman" w:cs="Times New Roman" w:eastAsia="Times New Roman"/>
                <w:b/>
                <w:i w:val="0"/>
                <w:color w:val="FFFFFF"/>
                <w:sz w:val="18"/>
              </w:rPr>
              <w:t>Trabajo que necesita hacer</w:t>
            </w:r>
          </w:p>
        </w:tc>
        <w:tc>
          <w:tcPr>
            <w:tcW w:type="dxa" w:w="2494"/>
            <w:shd w:fill="10263D" w:val="clear"/>
          </w:tcPr>
          <w:p>
            <w:pPr>
              <w:spacing w:after="0" w:before="0" w:line="240" w:lineRule="auto"/>
            </w:pPr>
            <w:r/>
            <w:r>
              <w:rPr>
                <w:rFonts w:ascii="Times New Roman" w:hAnsi="Times New Roman" w:cs="Times New Roman" w:eastAsia="Times New Roman"/>
                <w:b/>
                <w:i w:val="0"/>
                <w:color w:val="FFFFFF"/>
                <w:sz w:val="18"/>
              </w:rPr>
              <w:t>Dolor hoy</w:t>
            </w:r>
          </w:p>
        </w:tc>
        <w:tc>
          <w:tcPr>
            <w:tcW w:type="dxa" w:w="2721"/>
            <w:shd w:fill="10263D" w:val="clear"/>
          </w:tcPr>
          <w:p>
            <w:pPr>
              <w:spacing w:after="0" w:before="0" w:line="240" w:lineRule="auto"/>
            </w:pPr>
            <w:r/>
            <w:r>
              <w:rPr>
                <w:rFonts w:ascii="Times New Roman" w:hAnsi="Times New Roman" w:cs="Times New Roman" w:eastAsia="Times New Roman"/>
                <w:b/>
                <w:i w:val="0"/>
                <w:color w:val="FFFFFF"/>
                <w:sz w:val="18"/>
              </w:rPr>
              <w:t>Valor que le entrega el piloto</w:t>
            </w:r>
          </w:p>
        </w:tc>
      </w:tr>
      <w:tr>
        <w:tc>
          <w:tcPr>
            <w:tcW w:type="dxa" w:w="1814"/>
          </w:tcPr>
          <w:p>
            <w:pPr>
              <w:spacing w:after="0" w:before="0" w:line="240" w:lineRule="auto"/>
            </w:pPr>
            <w:r/>
            <w:r>
              <w:rPr>
                <w:rFonts w:ascii="Times New Roman" w:hAnsi="Times New Roman" w:cs="Times New Roman" w:eastAsia="Times New Roman"/>
                <w:b w:val="0"/>
                <w:i w:val="0"/>
                <w:sz w:val="18"/>
              </w:rPr>
              <w:t>Soporte local</w:t>
            </w:r>
          </w:p>
        </w:tc>
        <w:tc>
          <w:tcPr>
            <w:tcW w:type="dxa" w:w="2041"/>
          </w:tcPr>
          <w:p>
            <w:pPr>
              <w:spacing w:after="0" w:before="0" w:line="240" w:lineRule="auto"/>
            </w:pPr>
            <w:r/>
            <w:r>
              <w:rPr>
                <w:rFonts w:ascii="Times New Roman" w:hAnsi="Times New Roman" w:cs="Times New Roman" w:eastAsia="Times New Roman"/>
                <w:b w:val="0"/>
                <w:i w:val="0"/>
                <w:sz w:val="18"/>
              </w:rPr>
              <w:t>Encontrar y reparar kits</w:t>
            </w:r>
          </w:p>
        </w:tc>
        <w:tc>
          <w:tcPr>
            <w:tcW w:type="dxa" w:w="2494"/>
          </w:tcPr>
          <w:p>
            <w:pPr>
              <w:spacing w:after="0" w:before="0" w:line="240" w:lineRule="auto"/>
            </w:pPr>
            <w:r/>
            <w:r>
              <w:rPr>
                <w:rFonts w:ascii="Times New Roman" w:hAnsi="Times New Roman" w:cs="Times New Roman" w:eastAsia="Times New Roman"/>
                <w:b w:val="0"/>
                <w:i w:val="0"/>
                <w:sz w:val="18"/>
              </w:rPr>
              <w:t>Lista informal, WhatsApp, no sabe qué está en falla</w:t>
            </w:r>
          </w:p>
        </w:tc>
        <w:tc>
          <w:tcPr>
            <w:tcW w:type="dxa" w:w="2721"/>
          </w:tcPr>
          <w:p>
            <w:pPr>
              <w:spacing w:after="0" w:before="0" w:line="240" w:lineRule="auto"/>
            </w:pPr>
            <w:r/>
            <w:r>
              <w:rPr>
                <w:rFonts w:ascii="Times New Roman" w:hAnsi="Times New Roman" w:cs="Times New Roman" w:eastAsia="Times New Roman"/>
                <w:b w:val="0"/>
                <w:i w:val="0"/>
                <w:sz w:val="18"/>
              </w:rPr>
              <w:t>Tablero y ticket asignable, pensados para el técnico en terreno</w:t>
            </w:r>
          </w:p>
        </w:tc>
      </w:tr>
      <w:tr>
        <w:tc>
          <w:tcPr>
            <w:tcW w:type="dxa" w:w="1814"/>
            <w:shd w:fill="F2F2F2" w:val="clear"/>
          </w:tcPr>
          <w:p>
            <w:pPr>
              <w:spacing w:after="0" w:before="0" w:line="240" w:lineRule="auto"/>
            </w:pPr>
            <w:r/>
            <w:r>
              <w:rPr>
                <w:rFonts w:ascii="Times New Roman" w:hAnsi="Times New Roman" w:cs="Times New Roman" w:eastAsia="Times New Roman"/>
                <w:b w:val="0"/>
                <w:i w:val="0"/>
                <w:sz w:val="18"/>
              </w:rPr>
              <w:t>Dirección / empresa social</w:t>
            </w:r>
          </w:p>
        </w:tc>
        <w:tc>
          <w:tcPr>
            <w:tcW w:type="dxa" w:w="2041"/>
            <w:shd w:fill="F2F2F2" w:val="clear"/>
          </w:tcPr>
          <w:p>
            <w:pPr>
              <w:spacing w:after="0" w:before="0" w:line="240" w:lineRule="auto"/>
            </w:pPr>
            <w:r/>
            <w:r>
              <w:rPr>
                <w:rFonts w:ascii="Times New Roman" w:hAnsi="Times New Roman" w:cs="Times New Roman" w:eastAsia="Times New Roman"/>
                <w:b w:val="0"/>
                <w:i w:val="0"/>
                <w:sz w:val="18"/>
              </w:rPr>
              <w:t>Operar el piloto y no mentir el activo</w:t>
            </w:r>
          </w:p>
        </w:tc>
        <w:tc>
          <w:tcPr>
            <w:tcW w:type="dxa" w:w="2494"/>
            <w:shd w:fill="F2F2F2" w:val="clear"/>
          </w:tcPr>
          <w:p>
            <w:pPr>
              <w:spacing w:after="0" w:before="0" w:line="240" w:lineRule="auto"/>
            </w:pPr>
            <w:r/>
            <w:r>
              <w:rPr>
                <w:rFonts w:ascii="Times New Roman" w:hAnsi="Times New Roman" w:cs="Times New Roman" w:eastAsia="Times New Roman"/>
                <w:b w:val="0"/>
                <w:i w:val="0"/>
                <w:sz w:val="18"/>
              </w:rPr>
              <w:t>Kits instalados que dejan de aparecer en el seguimiento</w:t>
            </w:r>
          </w:p>
        </w:tc>
        <w:tc>
          <w:tcPr>
            <w:tcW w:type="dxa" w:w="2721"/>
            <w:shd w:fill="F2F2F2" w:val="clear"/>
          </w:tcPr>
          <w:p>
            <w:pPr>
              <w:spacing w:after="0" w:before="0" w:line="240" w:lineRule="auto"/>
            </w:pPr>
            <w:r/>
            <w:r>
              <w:rPr>
                <w:rFonts w:ascii="Times New Roman" w:hAnsi="Times New Roman" w:cs="Times New Roman" w:eastAsia="Times New Roman"/>
                <w:b w:val="0"/>
                <w:i w:val="0"/>
                <w:sz w:val="18"/>
              </w:rPr>
              <w:t>Inventario vivo: activo, falla o baja, con dueño (hogar)</w:t>
            </w:r>
          </w:p>
        </w:tc>
      </w:tr>
      <w:tr>
        <w:tc>
          <w:tcPr>
            <w:tcW w:type="dxa" w:w="1814"/>
          </w:tcPr>
          <w:p>
            <w:pPr>
              <w:spacing w:after="0" w:before="0" w:line="240" w:lineRule="auto"/>
            </w:pPr>
            <w:r/>
            <w:r>
              <w:rPr>
                <w:rFonts w:ascii="Times New Roman" w:hAnsi="Times New Roman" w:cs="Times New Roman" w:eastAsia="Times New Roman"/>
                <w:b w:val="0"/>
                <w:i w:val="0"/>
                <w:sz w:val="18"/>
              </w:rPr>
              <w:t>Inversores y donantes</w:t>
            </w:r>
          </w:p>
        </w:tc>
        <w:tc>
          <w:tcPr>
            <w:tcW w:type="dxa" w:w="2041"/>
          </w:tcPr>
          <w:p>
            <w:pPr>
              <w:spacing w:after="0" w:before="0" w:line="240" w:lineRule="auto"/>
            </w:pPr>
            <w:r/>
            <w:r>
              <w:rPr>
                <w:rFonts w:ascii="Times New Roman" w:hAnsi="Times New Roman" w:cs="Times New Roman" w:eastAsia="Times New Roman"/>
                <w:b w:val="0"/>
                <w:i w:val="0"/>
                <w:sz w:val="18"/>
              </w:rPr>
              <w:t>Ver evidencia de impacto</w:t>
            </w:r>
          </w:p>
        </w:tc>
        <w:tc>
          <w:tcPr>
            <w:tcW w:type="dxa" w:w="2494"/>
          </w:tcPr>
          <w:p>
            <w:pPr>
              <w:spacing w:after="0" w:before="0" w:line="240" w:lineRule="auto"/>
            </w:pPr>
            <w:r/>
            <w:r>
              <w:rPr>
                <w:rFonts w:ascii="Times New Roman" w:hAnsi="Times New Roman" w:cs="Times New Roman" w:eastAsia="Times New Roman"/>
                <w:b w:val="0"/>
                <w:i w:val="0"/>
                <w:sz w:val="18"/>
              </w:rPr>
              <w:t>Informes de intención, sin dato de operación</w:t>
            </w:r>
          </w:p>
        </w:tc>
        <w:tc>
          <w:tcPr>
            <w:tcW w:type="dxa" w:w="2721"/>
          </w:tcPr>
          <w:p>
            <w:pPr>
              <w:spacing w:after="0" w:before="0" w:line="240" w:lineRule="auto"/>
            </w:pPr>
            <w:r/>
            <w:r>
              <w:rPr>
                <w:rFonts w:ascii="Times New Roman" w:hAnsi="Times New Roman" w:cs="Times New Roman" w:eastAsia="Times New Roman"/>
                <w:b w:val="0"/>
                <w:i w:val="0"/>
                <w:sz w:val="18"/>
              </w:rPr>
              <w:t>Reporte periódico alimentado por tickets y estados reales</w:t>
            </w:r>
          </w:p>
        </w:tc>
      </w:tr>
      <w:tr>
        <w:tc>
          <w:tcPr>
            <w:tcW w:type="dxa" w:w="1814"/>
            <w:shd w:fill="F2F2F2" w:val="clear"/>
          </w:tcPr>
          <w:p>
            <w:pPr>
              <w:spacing w:after="0" w:before="0" w:line="240" w:lineRule="auto"/>
            </w:pPr>
            <w:r/>
            <w:r>
              <w:rPr>
                <w:rFonts w:ascii="Times New Roman" w:hAnsi="Times New Roman" w:cs="Times New Roman" w:eastAsia="Times New Roman"/>
                <w:b w:val="0"/>
                <w:i w:val="0"/>
                <w:sz w:val="18"/>
              </w:rPr>
              <w:t>Comunidad / hogares</w:t>
            </w:r>
          </w:p>
        </w:tc>
        <w:tc>
          <w:tcPr>
            <w:tcW w:type="dxa" w:w="2041"/>
            <w:shd w:fill="F2F2F2" w:val="clear"/>
          </w:tcPr>
          <w:p>
            <w:pPr>
              <w:spacing w:after="0" w:before="0" w:line="240" w:lineRule="auto"/>
            </w:pPr>
            <w:r/>
            <w:r>
              <w:rPr>
                <w:rFonts w:ascii="Times New Roman" w:hAnsi="Times New Roman" w:cs="Times New Roman" w:eastAsia="Times New Roman"/>
                <w:b w:val="0"/>
                <w:i w:val="0"/>
                <w:sz w:val="18"/>
              </w:rPr>
              <w:t>Tener luz que dure</w:t>
            </w:r>
          </w:p>
        </w:tc>
        <w:tc>
          <w:tcPr>
            <w:tcW w:type="dxa" w:w="2494"/>
            <w:shd w:fill="F2F2F2" w:val="clear"/>
          </w:tcPr>
          <w:p>
            <w:pPr>
              <w:spacing w:after="0" w:before="0" w:line="240" w:lineRule="auto"/>
            </w:pPr>
            <w:r/>
            <w:r>
              <w:rPr>
                <w:rFonts w:ascii="Times New Roman" w:hAnsi="Times New Roman" w:cs="Times New Roman" w:eastAsia="Times New Roman"/>
                <w:b w:val="0"/>
                <w:i w:val="0"/>
                <w:sz w:val="18"/>
              </w:rPr>
              <w:t>Esperan sin visibilidad de la falla</w:t>
            </w:r>
          </w:p>
        </w:tc>
        <w:tc>
          <w:tcPr>
            <w:tcW w:type="dxa" w:w="2721"/>
            <w:shd w:fill="F2F2F2" w:val="clear"/>
          </w:tcPr>
          <w:p>
            <w:pPr>
              <w:spacing w:after="0" w:before="0" w:line="240" w:lineRule="auto"/>
            </w:pPr>
            <w:r/>
            <w:r>
              <w:rPr>
                <w:rFonts w:ascii="Times New Roman" w:hAnsi="Times New Roman" w:cs="Times New Roman" w:eastAsia="Times New Roman"/>
                <w:b w:val="0"/>
                <w:i w:val="0"/>
                <w:sz w:val="18"/>
              </w:rPr>
              <w:t>Efecto esperado: menos horas sin energía si la mantención se prioriza (indirecto)</w:t>
            </w:r>
          </w:p>
        </w:tc>
      </w:tr>
    </w:tbl>
    <w:p>
      <w:pPr>
        <w:spacing w:after="80"/>
      </w:pPr>
    </w:p>
    <w:p>
      <w:pPr>
        <w:spacing w:before="40" w:after="160" w:line="240" w:lineRule="auto"/>
        <w:ind w:firstLine="0"/>
        <w:jc w:val="center"/>
      </w:pPr>
      <w:r>
        <w:rPr>
          <w:rFonts w:ascii="Times New Roman" w:hAnsi="Times New Roman" w:cs="Times New Roman" w:eastAsia="Times New Roman"/>
          <w:b w:val="0"/>
          <w:i/>
          <w:color w:val="444444"/>
          <w:sz w:val="18"/>
        </w:rPr>
        <w:t>Tabla 4. Propuesta de valor por interesado.</w:t>
      </w:r>
    </w:p>
    <w:p>
      <w:pPr>
        <w:spacing w:line="360" w:lineRule="auto" w:after="120" w:before="0"/>
        <w:ind w:firstLine="425"/>
        <w:jc w:val="both"/>
      </w:pPr>
      <w:r>
        <w:rPr>
          <w:rFonts w:ascii="Times New Roman" w:hAnsi="Times New Roman" w:cs="Times New Roman" w:eastAsia="Times New Roman"/>
          <w:b w:val="0"/>
          <w:i w:val="0"/>
          <w:sz w:val="24"/>
        </w:rPr>
        <w:t>Sobre el pedido original no se agrega una app para cada familia ni sensores masivos. Lo que sí se agrega, sin salir del piloto, es la cadena kit-estado-ticket-indicador, la carga por lotes cuando no hay señal, y el cuidado de quién ve datos de un hogar.</w:t>
      </w:r>
    </w:p>
    <w:p>
      <w:pPr>
        <w:spacing w:line="276" w:lineRule="auto" w:before="200" w:after="80"/>
        <w:ind w:firstLine="0"/>
        <w:jc w:val="left"/>
        <w:pBdr>
          <w:bottom w:val="single" w:sz="8" w:space="6" w:color="10263D"/>
        </w:pBdr>
      </w:pPr>
      <w:r>
        <w:rPr>
          <w:rFonts w:ascii="Times New Roman" w:hAnsi="Times New Roman" w:cs="Times New Roman" w:eastAsia="Times New Roman"/>
          <w:b/>
          <w:i w:val="0"/>
          <w:color w:val="10263D"/>
          <w:sz w:val="26"/>
        </w:rPr>
        <w:t>3. Alcance, EDT, cronograma, recursos y costos</w:t>
      </w:r>
    </w:p>
    <w:p>
      <w:pPr>
        <w:spacing w:line="360" w:lineRule="auto" w:after="120" w:before="0"/>
        <w:ind w:firstLine="425"/>
        <w:jc w:val="both"/>
      </w:pPr>
      <w:r>
        <w:rPr>
          <w:rFonts w:ascii="Times New Roman" w:hAnsi="Times New Roman" w:cs="Times New Roman" w:eastAsia="Times New Roman"/>
          <w:b w:val="0"/>
          <w:i w:val="0"/>
          <w:sz w:val="24"/>
        </w:rPr>
        <w:t>El producto es Kiran: un sistema web para una comunidad piloto, con carga por lotes si la red falla. Lo damos por bueno si se cumplen tres cosas. Uno: cada kit tiene hogar y estado (activo, en falla o dado de baja), y la baja saca el kit del activo. Dos: un ticket nace desde un kit en falla y se puede asignar al soporte local. Tres: un reporte mensual exportable llega a patrocinadores con datos de operación real, no de una demostración vacía.</w:t>
      </w:r>
    </w:p>
    <w:p>
      <w:pPr>
        <w:spacing w:line="360" w:lineRule="auto" w:after="120" w:before="0"/>
        <w:ind w:firstLine="425"/>
        <w:jc w:val="both"/>
      </w:pPr>
      <w:r>
        <w:rPr>
          <w:rFonts w:ascii="Times New Roman" w:hAnsi="Times New Roman" w:cs="Times New Roman" w:eastAsia="Times New Roman"/>
          <w:b w:val="0"/>
          <w:i w:val="0"/>
          <w:sz w:val="24"/>
        </w:rPr>
        <w:t>Entregamos los cuatro módulos, un documento de roles y privacidad, una capacitación corta al soporte local, este plan y la línea base en Project Libre. Lo que aprieta: US$ 20.700, cuatro personas más un técnico local, la conectividad y la fecha del primer reporte a donantes. Damos por cierto, mientras no se demuestre lo contrario, que hay comunidad piloto, que hay al menos un técnico, que los inversores aceptan indicadores simples y que existe un procedimiento de carga sin señal permanente. Si uno de esos supuestos cae, deja de ser sorpresa y pasa a ser un riesgo.</w:t>
      </w:r>
    </w:p>
    <w:p>
      <w:pPr>
        <w:spacing w:line="360" w:lineRule="auto" w:after="120" w:before="0"/>
        <w:ind w:firstLine="425"/>
        <w:jc w:val="both"/>
      </w:pPr>
      <w:r>
        <w:rPr>
          <w:rFonts w:ascii="Times New Roman" w:hAnsi="Times New Roman" w:cs="Times New Roman" w:eastAsia="Times New Roman"/>
          <w:b w:val="0"/>
          <w:i w:val="0"/>
          <w:sz w:val="24"/>
        </w:rPr>
        <w:t>Queda fuera, a propósito: fabricar o instalar paneles, tendido eléctrico, microfinanzas, expansión a otras regiones, una app ciudadana y la operación continua después del piloto. Lo que no está en la EDT no se hace. Si alguien lo pide después, entra por control de cambios.</w:t>
      </w:r>
    </w:p>
    <w:p>
      <w:pPr>
        <w:spacing w:line="360" w:lineRule="auto" w:after="120" w:before="0"/>
        <w:ind w:firstLine="425"/>
        <w:jc w:val="both"/>
      </w:pPr>
      <w:r>
        <w:rPr>
          <w:rFonts w:ascii="Times New Roman" w:hAnsi="Times New Roman" w:cs="Times New Roman" w:eastAsia="Times New Roman"/>
          <w:b w:val="0"/>
          <w:i w:val="0"/>
          <w:sz w:val="24"/>
        </w:rPr>
        <w:t>Antes de llenar el inventario con campos de oficina, vamos a preguntar por separado al técnico, al partner y a dirección (técnica Delphi: consenso en anónimo, para que no gane solo quien habla más fuerte en la reunión).</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850"/>
            <w:shd w:fill="10263D" w:val="clear"/>
          </w:tcPr>
          <w:p>
            <w:pPr>
              <w:spacing w:after="0" w:before="0" w:line="240" w:lineRule="auto"/>
            </w:pPr>
            <w:r/>
            <w:r>
              <w:rPr>
                <w:rFonts w:ascii="Times New Roman" w:hAnsi="Times New Roman" w:cs="Times New Roman" w:eastAsia="Times New Roman"/>
                <w:b/>
                <w:i w:val="0"/>
                <w:color w:val="FFFFFF"/>
                <w:sz w:val="18"/>
              </w:rPr>
              <w:t>EDT</w:t>
            </w:r>
          </w:p>
        </w:tc>
        <w:tc>
          <w:tcPr>
            <w:tcW w:type="dxa" w:w="2948"/>
            <w:shd w:fill="10263D" w:val="clear"/>
          </w:tcPr>
          <w:p>
            <w:pPr>
              <w:spacing w:after="0" w:before="0" w:line="240" w:lineRule="auto"/>
            </w:pPr>
            <w:r/>
            <w:r>
              <w:rPr>
                <w:rFonts w:ascii="Times New Roman" w:hAnsi="Times New Roman" w:cs="Times New Roman" w:eastAsia="Times New Roman"/>
                <w:b/>
                <w:i w:val="0"/>
                <w:color w:val="FFFFFF"/>
                <w:sz w:val="18"/>
              </w:rPr>
              <w:t>Cuenta de control</w:t>
            </w:r>
          </w:p>
        </w:tc>
        <w:tc>
          <w:tcPr>
            <w:tcW w:type="dxa" w:w="5272"/>
            <w:shd w:fill="10263D" w:val="clear"/>
          </w:tcPr>
          <w:p>
            <w:pPr>
              <w:spacing w:after="0" w:before="0" w:line="240" w:lineRule="auto"/>
            </w:pPr>
            <w:r/>
            <w:r>
              <w:rPr>
                <w:rFonts w:ascii="Times New Roman" w:hAnsi="Times New Roman" w:cs="Times New Roman" w:eastAsia="Times New Roman"/>
                <w:b/>
                <w:i w:val="0"/>
                <w:color w:val="FFFFFF"/>
                <w:sz w:val="18"/>
              </w:rPr>
              <w:t>Paquetes de trabajo</w:t>
            </w:r>
          </w:p>
        </w:tc>
      </w:tr>
      <w:tr>
        <w:tc>
          <w:tcPr>
            <w:tcW w:type="dxa" w:w="850"/>
          </w:tcPr>
          <w:p>
            <w:pPr>
              <w:spacing w:after="0" w:before="0" w:line="240" w:lineRule="auto"/>
            </w:pPr>
            <w:r/>
            <w:r>
              <w:rPr>
                <w:rFonts w:ascii="Times New Roman" w:hAnsi="Times New Roman" w:cs="Times New Roman" w:eastAsia="Times New Roman"/>
                <w:b w:val="0"/>
                <w:i w:val="0"/>
                <w:sz w:val="18"/>
              </w:rPr>
              <w:t>1</w:t>
            </w:r>
          </w:p>
        </w:tc>
        <w:tc>
          <w:tcPr>
            <w:tcW w:type="dxa" w:w="2948"/>
          </w:tcPr>
          <w:p>
            <w:pPr>
              <w:spacing w:after="0" w:before="0" w:line="240" w:lineRule="auto"/>
            </w:pPr>
            <w:r/>
            <w:r>
              <w:rPr>
                <w:rFonts w:ascii="Times New Roman" w:hAnsi="Times New Roman" w:cs="Times New Roman" w:eastAsia="Times New Roman"/>
                <w:b w:val="0"/>
                <w:i w:val="0"/>
                <w:sz w:val="18"/>
              </w:rPr>
              <w:t>Dirección del proyecto</w:t>
            </w:r>
          </w:p>
        </w:tc>
        <w:tc>
          <w:tcPr>
            <w:tcW w:type="dxa" w:w="5272"/>
          </w:tcPr>
          <w:p>
            <w:pPr>
              <w:spacing w:after="0" w:before="0" w:line="240" w:lineRule="auto"/>
            </w:pPr>
            <w:r/>
            <w:r>
              <w:rPr>
                <w:rFonts w:ascii="Times New Roman" w:hAnsi="Times New Roman" w:cs="Times New Roman" w:eastAsia="Times New Roman"/>
                <w:b w:val="0"/>
                <w:i w:val="0"/>
                <w:sz w:val="18"/>
              </w:rPr>
              <w:t>1.1 Acta e interesados; 1.2 Plan y línea base; 1.3 Riesgos y comunicación</w:t>
            </w:r>
          </w:p>
        </w:tc>
      </w:tr>
      <w:tr>
        <w:tc>
          <w:tcPr>
            <w:tcW w:type="dxa" w:w="850"/>
            <w:shd w:fill="F2F2F2" w:val="clear"/>
          </w:tcPr>
          <w:p>
            <w:pPr>
              <w:spacing w:after="0" w:before="0" w:line="240" w:lineRule="auto"/>
            </w:pPr>
            <w:r/>
            <w:r>
              <w:rPr>
                <w:rFonts w:ascii="Times New Roman" w:hAnsi="Times New Roman" w:cs="Times New Roman" w:eastAsia="Times New Roman"/>
                <w:b w:val="0"/>
                <w:i w:val="0"/>
                <w:sz w:val="18"/>
              </w:rPr>
              <w:t>2</w:t>
            </w:r>
          </w:p>
        </w:tc>
        <w:tc>
          <w:tcPr>
            <w:tcW w:type="dxa" w:w="2948"/>
            <w:shd w:fill="F2F2F2" w:val="clear"/>
          </w:tcPr>
          <w:p>
            <w:pPr>
              <w:spacing w:after="0" w:before="0" w:line="240" w:lineRule="auto"/>
            </w:pPr>
            <w:r/>
            <w:r>
              <w:rPr>
                <w:rFonts w:ascii="Times New Roman" w:hAnsi="Times New Roman" w:cs="Times New Roman" w:eastAsia="Times New Roman"/>
                <w:b w:val="0"/>
                <w:i w:val="0"/>
                <w:sz w:val="18"/>
              </w:rPr>
              <w:t>Inventario de kits y hogares</w:t>
            </w:r>
          </w:p>
        </w:tc>
        <w:tc>
          <w:tcPr>
            <w:tcW w:type="dxa" w:w="5272"/>
            <w:shd w:fill="F2F2F2" w:val="clear"/>
          </w:tcPr>
          <w:p>
            <w:pPr>
              <w:spacing w:after="0" w:before="0" w:line="240" w:lineRule="auto"/>
            </w:pPr>
            <w:r/>
            <w:r>
              <w:rPr>
                <w:rFonts w:ascii="Times New Roman" w:hAnsi="Times New Roman" w:cs="Times New Roman" w:eastAsia="Times New Roman"/>
                <w:b w:val="0"/>
                <w:i w:val="0"/>
                <w:sz w:val="18"/>
              </w:rPr>
              <w:t>2.1 Modelo de datos; 2.2 Estados; 2.3 Carga inicial; 2.4 Validación local</w:t>
            </w:r>
          </w:p>
        </w:tc>
      </w:tr>
      <w:tr>
        <w:tc>
          <w:tcPr>
            <w:tcW w:type="dxa" w:w="850"/>
          </w:tcPr>
          <w:p>
            <w:pPr>
              <w:spacing w:after="0" w:before="0" w:line="240" w:lineRule="auto"/>
            </w:pPr>
            <w:r/>
            <w:r>
              <w:rPr>
                <w:rFonts w:ascii="Times New Roman" w:hAnsi="Times New Roman" w:cs="Times New Roman" w:eastAsia="Times New Roman"/>
                <w:b w:val="0"/>
                <w:i w:val="0"/>
                <w:sz w:val="18"/>
              </w:rPr>
              <w:t>3</w:t>
            </w:r>
          </w:p>
        </w:tc>
        <w:tc>
          <w:tcPr>
            <w:tcW w:type="dxa" w:w="2948"/>
          </w:tcPr>
          <w:p>
            <w:pPr>
              <w:spacing w:after="0" w:before="0" w:line="240" w:lineRule="auto"/>
            </w:pPr>
            <w:r/>
            <w:r>
              <w:rPr>
                <w:rFonts w:ascii="Times New Roman" w:hAnsi="Times New Roman" w:cs="Times New Roman" w:eastAsia="Times New Roman"/>
                <w:b w:val="0"/>
                <w:i w:val="0"/>
                <w:sz w:val="18"/>
              </w:rPr>
              <w:t>Tablero operativo</w:t>
            </w:r>
          </w:p>
        </w:tc>
        <w:tc>
          <w:tcPr>
            <w:tcW w:type="dxa" w:w="5272"/>
          </w:tcPr>
          <w:p>
            <w:pPr>
              <w:spacing w:after="0" w:before="0" w:line="240" w:lineRule="auto"/>
            </w:pPr>
            <w:r/>
            <w:r>
              <w:rPr>
                <w:rFonts w:ascii="Times New Roman" w:hAnsi="Times New Roman" w:cs="Times New Roman" w:eastAsia="Times New Roman"/>
                <w:b w:val="0"/>
                <w:i w:val="0"/>
                <w:sz w:val="18"/>
              </w:rPr>
              <w:t>3.1 Vista general; 3.2 Vista individual; 3.3 Indicadores; 3.4 Ajustes de usabilidad</w:t>
            </w:r>
          </w:p>
        </w:tc>
      </w:tr>
      <w:tr>
        <w:tc>
          <w:tcPr>
            <w:tcW w:type="dxa" w:w="850"/>
            <w:shd w:fill="F2F2F2" w:val="clear"/>
          </w:tcPr>
          <w:p>
            <w:pPr>
              <w:spacing w:after="0" w:before="0" w:line="240" w:lineRule="auto"/>
            </w:pPr>
            <w:r/>
            <w:r>
              <w:rPr>
                <w:rFonts w:ascii="Times New Roman" w:hAnsi="Times New Roman" w:cs="Times New Roman" w:eastAsia="Times New Roman"/>
                <w:b w:val="0"/>
                <w:i w:val="0"/>
                <w:sz w:val="18"/>
              </w:rPr>
              <w:t>4</w:t>
            </w:r>
          </w:p>
        </w:tc>
        <w:tc>
          <w:tcPr>
            <w:tcW w:type="dxa" w:w="2948"/>
            <w:shd w:fill="F2F2F2" w:val="clear"/>
          </w:tcPr>
          <w:p>
            <w:pPr>
              <w:spacing w:after="0" w:before="0" w:line="240" w:lineRule="auto"/>
            </w:pPr>
            <w:r/>
            <w:r>
              <w:rPr>
                <w:rFonts w:ascii="Times New Roman" w:hAnsi="Times New Roman" w:cs="Times New Roman" w:eastAsia="Times New Roman"/>
                <w:b w:val="0"/>
                <w:i w:val="0"/>
                <w:sz w:val="18"/>
              </w:rPr>
              <w:t>Monitoreo, tickets y mantención</w:t>
            </w:r>
          </w:p>
        </w:tc>
        <w:tc>
          <w:tcPr>
            <w:tcW w:type="dxa" w:w="5272"/>
            <w:shd w:fill="F2F2F2" w:val="clear"/>
          </w:tcPr>
          <w:p>
            <w:pPr>
              <w:spacing w:after="0" w:before="0" w:line="240" w:lineRule="auto"/>
            </w:pPr>
            <w:r/>
            <w:r>
              <w:rPr>
                <w:rFonts w:ascii="Times New Roman" w:hAnsi="Times New Roman" w:cs="Times New Roman" w:eastAsia="Times New Roman"/>
                <w:b w:val="0"/>
                <w:i w:val="0"/>
                <w:sz w:val="18"/>
              </w:rPr>
              <w:t>4.1 Rendimiento; 4.2 Flujo de tickets; 4.3 Asignación; 4.4 Prueba en terreno</w:t>
            </w:r>
          </w:p>
        </w:tc>
      </w:tr>
      <w:tr>
        <w:tc>
          <w:tcPr>
            <w:tcW w:type="dxa" w:w="850"/>
          </w:tcPr>
          <w:p>
            <w:pPr>
              <w:spacing w:after="0" w:before="0" w:line="240" w:lineRule="auto"/>
            </w:pPr>
            <w:r/>
            <w:r>
              <w:rPr>
                <w:rFonts w:ascii="Times New Roman" w:hAnsi="Times New Roman" w:cs="Times New Roman" w:eastAsia="Times New Roman"/>
                <w:b w:val="0"/>
                <w:i w:val="0"/>
                <w:sz w:val="18"/>
              </w:rPr>
              <w:t>5</w:t>
            </w:r>
          </w:p>
        </w:tc>
        <w:tc>
          <w:tcPr>
            <w:tcW w:type="dxa" w:w="2948"/>
          </w:tcPr>
          <w:p>
            <w:pPr>
              <w:spacing w:after="0" w:before="0" w:line="240" w:lineRule="auto"/>
            </w:pPr>
            <w:r/>
            <w:r>
              <w:rPr>
                <w:rFonts w:ascii="Times New Roman" w:hAnsi="Times New Roman" w:cs="Times New Roman" w:eastAsia="Times New Roman"/>
                <w:b w:val="0"/>
                <w:i w:val="0"/>
                <w:sz w:val="18"/>
              </w:rPr>
              <w:t>Impacto y reportes</w:t>
            </w:r>
          </w:p>
        </w:tc>
        <w:tc>
          <w:tcPr>
            <w:tcW w:type="dxa" w:w="5272"/>
          </w:tcPr>
          <w:p>
            <w:pPr>
              <w:spacing w:after="0" w:before="0" w:line="240" w:lineRule="auto"/>
            </w:pPr>
            <w:r/>
            <w:r>
              <w:rPr>
                <w:rFonts w:ascii="Times New Roman" w:hAnsi="Times New Roman" w:cs="Times New Roman" w:eastAsia="Times New Roman"/>
                <w:b w:val="0"/>
                <w:i w:val="0"/>
                <w:sz w:val="18"/>
              </w:rPr>
              <w:t>5.1 Indicadores; 5.2 Informe periódico; 5.3 Exportación; 5.4 Primera entrega</w:t>
            </w:r>
          </w:p>
        </w:tc>
      </w:tr>
      <w:tr>
        <w:tc>
          <w:tcPr>
            <w:tcW w:type="dxa" w:w="850"/>
            <w:shd w:fill="F2F2F2" w:val="clear"/>
          </w:tcPr>
          <w:p>
            <w:pPr>
              <w:spacing w:after="0" w:before="0" w:line="240" w:lineRule="auto"/>
            </w:pPr>
            <w:r/>
            <w:r>
              <w:rPr>
                <w:rFonts w:ascii="Times New Roman" w:hAnsi="Times New Roman" w:cs="Times New Roman" w:eastAsia="Times New Roman"/>
                <w:b w:val="0"/>
                <w:i w:val="0"/>
                <w:sz w:val="18"/>
              </w:rPr>
              <w:t>6</w:t>
            </w:r>
          </w:p>
        </w:tc>
        <w:tc>
          <w:tcPr>
            <w:tcW w:type="dxa" w:w="2948"/>
            <w:shd w:fill="F2F2F2" w:val="clear"/>
          </w:tcPr>
          <w:p>
            <w:pPr>
              <w:spacing w:after="0" w:before="0" w:line="240" w:lineRule="auto"/>
            </w:pPr>
            <w:r/>
            <w:r>
              <w:rPr>
                <w:rFonts w:ascii="Times New Roman" w:hAnsi="Times New Roman" w:cs="Times New Roman" w:eastAsia="Times New Roman"/>
                <w:b w:val="0"/>
                <w:i w:val="0"/>
                <w:sz w:val="18"/>
              </w:rPr>
              <w:t>Privacidad, accesos y despliegue</w:t>
            </w:r>
          </w:p>
        </w:tc>
        <w:tc>
          <w:tcPr>
            <w:tcW w:type="dxa" w:w="5272"/>
            <w:shd w:fill="F2F2F2" w:val="clear"/>
          </w:tcPr>
          <w:p>
            <w:pPr>
              <w:spacing w:after="0" w:before="0" w:line="240" w:lineRule="auto"/>
            </w:pPr>
            <w:r/>
            <w:r>
              <w:rPr>
                <w:rFonts w:ascii="Times New Roman" w:hAnsi="Times New Roman" w:cs="Times New Roman" w:eastAsia="Times New Roman"/>
                <w:b w:val="0"/>
                <w:i w:val="0"/>
                <w:sz w:val="18"/>
              </w:rPr>
              <w:t>6.1 Roles; 6.2 Datos de hogares; 6.3 Ambiente; 6.4 Puesta en marcha</w:t>
            </w:r>
          </w:p>
        </w:tc>
      </w:tr>
      <w:tr>
        <w:tc>
          <w:tcPr>
            <w:tcW w:type="dxa" w:w="850"/>
          </w:tcPr>
          <w:p>
            <w:pPr>
              <w:spacing w:after="0" w:before="0" w:line="240" w:lineRule="auto"/>
            </w:pPr>
            <w:r/>
            <w:r>
              <w:rPr>
                <w:rFonts w:ascii="Times New Roman" w:hAnsi="Times New Roman" w:cs="Times New Roman" w:eastAsia="Times New Roman"/>
                <w:b w:val="0"/>
                <w:i w:val="0"/>
                <w:sz w:val="18"/>
              </w:rPr>
              <w:t>7</w:t>
            </w:r>
          </w:p>
        </w:tc>
        <w:tc>
          <w:tcPr>
            <w:tcW w:type="dxa" w:w="2948"/>
          </w:tcPr>
          <w:p>
            <w:pPr>
              <w:spacing w:after="0" w:before="0" w:line="240" w:lineRule="auto"/>
            </w:pPr>
            <w:r/>
            <w:r>
              <w:rPr>
                <w:rFonts w:ascii="Times New Roman" w:hAnsi="Times New Roman" w:cs="Times New Roman" w:eastAsia="Times New Roman"/>
                <w:b w:val="0"/>
                <w:i w:val="0"/>
                <w:sz w:val="18"/>
              </w:rPr>
              <w:t>Capacitación y transición</w:t>
            </w:r>
          </w:p>
        </w:tc>
        <w:tc>
          <w:tcPr>
            <w:tcW w:type="dxa" w:w="5272"/>
          </w:tcPr>
          <w:p>
            <w:pPr>
              <w:spacing w:after="0" w:before="0" w:line="240" w:lineRule="auto"/>
            </w:pPr>
            <w:r/>
            <w:r>
              <w:rPr>
                <w:rFonts w:ascii="Times New Roman" w:hAnsi="Times New Roman" w:cs="Times New Roman" w:eastAsia="Times New Roman"/>
                <w:b w:val="0"/>
                <w:i w:val="0"/>
                <w:sz w:val="18"/>
              </w:rPr>
              <w:t>7.1 Material; 7.2 Taller; 7.3 Traspaso operativo</w:t>
            </w:r>
          </w:p>
        </w:tc>
      </w:tr>
    </w:tbl>
    <w:p>
      <w:pPr>
        <w:spacing w:after="80"/>
      </w:pPr>
    </w:p>
    <w:p>
      <w:pPr>
        <w:spacing w:before="40" w:after="160" w:line="240" w:lineRule="auto"/>
        <w:ind w:firstLine="0"/>
        <w:jc w:val="center"/>
      </w:pPr>
      <w:r>
        <w:rPr>
          <w:rFonts w:ascii="Times New Roman" w:hAnsi="Times New Roman" w:cs="Times New Roman" w:eastAsia="Times New Roman"/>
          <w:b w:val="0"/>
          <w:i/>
          <w:color w:val="444444"/>
          <w:sz w:val="18"/>
        </w:rPr>
        <w:t>Tabla 5. EDT de primer nivel (el 100 % del trabajo acordado).</w:t>
      </w:r>
    </w:p>
    <w:p>
      <w:pPr>
        <w:spacing w:line="360" w:lineRule="auto" w:after="120" w:before="0"/>
        <w:ind w:firstLine="425"/>
        <w:jc w:val="both"/>
      </w:pPr>
      <w:r>
        <w:rPr>
          <w:rFonts w:ascii="Times New Roman" w:hAnsi="Times New Roman" w:cs="Times New Roman" w:eastAsia="Times New Roman"/>
          <w:b w:val="0"/>
          <w:i w:val="0"/>
          <w:sz w:val="24"/>
        </w:rPr>
        <w:t>La EDT cubre el 100 % del trabajo del piloto. La estructura sola no alcanza: cada paquete necesita ficha (criterio, responsable, duración y costo). Acá van dos de la ruta crítica:</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1928"/>
            <w:shd w:fill="10263D" w:val="clear"/>
          </w:tcPr>
          <w:p>
            <w:pPr>
              <w:spacing w:after="0" w:before="0" w:line="240" w:lineRule="auto"/>
            </w:pPr>
            <w:r/>
            <w:r>
              <w:rPr>
                <w:rFonts w:ascii="Times New Roman" w:hAnsi="Times New Roman" w:cs="Times New Roman" w:eastAsia="Times New Roman"/>
                <w:b/>
                <w:i w:val="0"/>
                <w:color w:val="FFFFFF"/>
                <w:sz w:val="18"/>
              </w:rPr>
              <w:t>Campo</w:t>
            </w:r>
          </w:p>
        </w:tc>
        <w:tc>
          <w:tcPr>
            <w:tcW w:type="dxa" w:w="3572"/>
            <w:shd w:fill="10263D" w:val="clear"/>
          </w:tcPr>
          <w:p>
            <w:pPr>
              <w:spacing w:after="0" w:before="0" w:line="240" w:lineRule="auto"/>
            </w:pPr>
            <w:r/>
            <w:r>
              <w:rPr>
                <w:rFonts w:ascii="Times New Roman" w:hAnsi="Times New Roman" w:cs="Times New Roman" w:eastAsia="Times New Roman"/>
                <w:b/>
                <w:i w:val="0"/>
                <w:color w:val="FFFFFF"/>
                <w:sz w:val="18"/>
              </w:rPr>
              <w:t>2.3 Carga inicial del piloto</w:t>
            </w:r>
          </w:p>
        </w:tc>
        <w:tc>
          <w:tcPr>
            <w:tcW w:type="dxa" w:w="3572"/>
            <w:shd w:fill="10263D" w:val="clear"/>
          </w:tcPr>
          <w:p>
            <w:pPr>
              <w:spacing w:after="0" w:before="0" w:line="240" w:lineRule="auto"/>
            </w:pPr>
            <w:r/>
            <w:r>
              <w:rPr>
                <w:rFonts w:ascii="Times New Roman" w:hAnsi="Times New Roman" w:cs="Times New Roman" w:eastAsia="Times New Roman"/>
                <w:b/>
                <w:i w:val="0"/>
                <w:color w:val="FFFFFF"/>
                <w:sz w:val="18"/>
              </w:rPr>
              <w:t>3.1 Vista general de la comunidad</w:t>
            </w:r>
          </w:p>
        </w:tc>
      </w:tr>
      <w:tr>
        <w:tc>
          <w:tcPr>
            <w:tcW w:type="dxa" w:w="1928"/>
          </w:tcPr>
          <w:p>
            <w:pPr>
              <w:spacing w:after="0" w:before="0" w:line="240" w:lineRule="auto"/>
            </w:pPr>
            <w:r/>
            <w:r>
              <w:rPr>
                <w:rFonts w:ascii="Times New Roman" w:hAnsi="Times New Roman" w:cs="Times New Roman" w:eastAsia="Times New Roman"/>
                <w:b w:val="0"/>
                <w:i w:val="0"/>
                <w:sz w:val="18"/>
              </w:rPr>
              <w:t>Cuenta de control</w:t>
            </w:r>
          </w:p>
        </w:tc>
        <w:tc>
          <w:tcPr>
            <w:tcW w:type="dxa" w:w="3572"/>
          </w:tcPr>
          <w:p>
            <w:pPr>
              <w:spacing w:after="0" w:before="0" w:line="240" w:lineRule="auto"/>
            </w:pPr>
            <w:r/>
            <w:r>
              <w:rPr>
                <w:rFonts w:ascii="Times New Roman" w:hAnsi="Times New Roman" w:cs="Times New Roman" w:eastAsia="Times New Roman"/>
                <w:b w:val="0"/>
                <w:i w:val="0"/>
                <w:sz w:val="18"/>
              </w:rPr>
              <w:t>2 Inventario</w:t>
            </w:r>
          </w:p>
        </w:tc>
        <w:tc>
          <w:tcPr>
            <w:tcW w:type="dxa" w:w="3572"/>
          </w:tcPr>
          <w:p>
            <w:pPr>
              <w:spacing w:after="0" w:before="0" w:line="240" w:lineRule="auto"/>
            </w:pPr>
            <w:r/>
            <w:r>
              <w:rPr>
                <w:rFonts w:ascii="Times New Roman" w:hAnsi="Times New Roman" w:cs="Times New Roman" w:eastAsia="Times New Roman"/>
                <w:b w:val="0"/>
                <w:i w:val="0"/>
                <w:sz w:val="18"/>
              </w:rPr>
              <w:t>3 Tablero operativo</w:t>
            </w:r>
          </w:p>
        </w:tc>
      </w:tr>
      <w:tr>
        <w:tc>
          <w:tcPr>
            <w:tcW w:type="dxa" w:w="1928"/>
            <w:shd w:fill="F2F2F2" w:val="clear"/>
          </w:tcPr>
          <w:p>
            <w:pPr>
              <w:spacing w:after="0" w:before="0" w:line="240" w:lineRule="auto"/>
            </w:pPr>
            <w:r/>
            <w:r>
              <w:rPr>
                <w:rFonts w:ascii="Times New Roman" w:hAnsi="Times New Roman" w:cs="Times New Roman" w:eastAsia="Times New Roman"/>
                <w:b w:val="0"/>
                <w:i w:val="0"/>
                <w:sz w:val="18"/>
              </w:rPr>
              <w:t>Responsable</w:t>
            </w:r>
          </w:p>
        </w:tc>
        <w:tc>
          <w:tcPr>
            <w:tcW w:type="dxa" w:w="3572"/>
            <w:shd w:fill="F2F2F2" w:val="clear"/>
          </w:tcPr>
          <w:p>
            <w:pPr>
              <w:spacing w:after="0" w:before="0" w:line="240" w:lineRule="auto"/>
            </w:pPr>
            <w:r/>
            <w:r>
              <w:rPr>
                <w:rFonts w:ascii="Times New Roman" w:hAnsi="Times New Roman" w:cs="Times New Roman" w:eastAsia="Times New Roman"/>
                <w:b w:val="0"/>
                <w:i w:val="0"/>
                <w:sz w:val="18"/>
              </w:rPr>
              <w:t>Nicolás Barra (backend) + soporte local</w:t>
            </w:r>
          </w:p>
        </w:tc>
        <w:tc>
          <w:tcPr>
            <w:tcW w:type="dxa" w:w="3572"/>
            <w:shd w:fill="F2F2F2" w:val="clear"/>
          </w:tcPr>
          <w:p>
            <w:pPr>
              <w:spacing w:after="0" w:before="0" w:line="240" w:lineRule="auto"/>
            </w:pPr>
            <w:r/>
            <w:r>
              <w:rPr>
                <w:rFonts w:ascii="Times New Roman" w:hAnsi="Times New Roman" w:cs="Times New Roman" w:eastAsia="Times New Roman"/>
                <w:b w:val="0"/>
                <w:i w:val="0"/>
                <w:sz w:val="18"/>
              </w:rPr>
              <w:t>Giannina Guerrero (directora / frontend)</w:t>
            </w:r>
          </w:p>
        </w:tc>
      </w:tr>
      <w:tr>
        <w:tc>
          <w:tcPr>
            <w:tcW w:type="dxa" w:w="1928"/>
          </w:tcPr>
          <w:p>
            <w:pPr>
              <w:spacing w:after="0" w:before="0" w:line="240" w:lineRule="auto"/>
            </w:pPr>
            <w:r/>
            <w:r>
              <w:rPr>
                <w:rFonts w:ascii="Times New Roman" w:hAnsi="Times New Roman" w:cs="Times New Roman" w:eastAsia="Times New Roman"/>
                <w:b w:val="0"/>
                <w:i w:val="0"/>
                <w:sz w:val="18"/>
              </w:rPr>
              <w:t>Criterio de aceptación</w:t>
            </w:r>
          </w:p>
        </w:tc>
        <w:tc>
          <w:tcPr>
            <w:tcW w:type="dxa" w:w="3572"/>
          </w:tcPr>
          <w:p>
            <w:pPr>
              <w:spacing w:after="0" w:before="0" w:line="240" w:lineRule="auto"/>
            </w:pPr>
            <w:r/>
            <w:r>
              <w:rPr>
                <w:rFonts w:ascii="Times New Roman" w:hAnsi="Times New Roman" w:cs="Times New Roman" w:eastAsia="Times New Roman"/>
                <w:b w:val="0"/>
                <w:i w:val="0"/>
                <w:sz w:val="18"/>
              </w:rPr>
              <w:t>Los kits del piloto están cargados con hogar, comunidad y estado inicial verificable.</w:t>
            </w:r>
          </w:p>
        </w:tc>
        <w:tc>
          <w:tcPr>
            <w:tcW w:type="dxa" w:w="3572"/>
          </w:tcPr>
          <w:p>
            <w:pPr>
              <w:spacing w:after="0" w:before="0" w:line="240" w:lineRule="auto"/>
            </w:pPr>
            <w:r/>
            <w:r>
              <w:rPr>
                <w:rFonts w:ascii="Times New Roman" w:hAnsi="Times New Roman" w:cs="Times New Roman" w:eastAsia="Times New Roman"/>
                <w:b w:val="0"/>
                <w:i w:val="0"/>
                <w:sz w:val="18"/>
              </w:rPr>
              <w:t>El técnico ve, en una pantalla, recuento de kits por estado y acceso al detalle.</w:t>
            </w:r>
          </w:p>
        </w:tc>
      </w:tr>
      <w:tr>
        <w:tc>
          <w:tcPr>
            <w:tcW w:type="dxa" w:w="1928"/>
            <w:shd w:fill="F2F2F2" w:val="clear"/>
          </w:tcPr>
          <w:p>
            <w:pPr>
              <w:spacing w:after="0" w:before="0" w:line="240" w:lineRule="auto"/>
            </w:pPr>
            <w:r/>
            <w:r>
              <w:rPr>
                <w:rFonts w:ascii="Times New Roman" w:hAnsi="Times New Roman" w:cs="Times New Roman" w:eastAsia="Times New Roman"/>
                <w:b w:val="0"/>
                <w:i w:val="0"/>
                <w:sz w:val="18"/>
              </w:rPr>
              <w:t>Supuesto</w:t>
            </w:r>
          </w:p>
        </w:tc>
        <w:tc>
          <w:tcPr>
            <w:tcW w:type="dxa" w:w="3572"/>
            <w:shd w:fill="F2F2F2" w:val="clear"/>
          </w:tcPr>
          <w:p>
            <w:pPr>
              <w:spacing w:after="0" w:before="0" w:line="240" w:lineRule="auto"/>
            </w:pPr>
            <w:r/>
            <w:r>
              <w:rPr>
                <w:rFonts w:ascii="Times New Roman" w:hAnsi="Times New Roman" w:cs="Times New Roman" w:eastAsia="Times New Roman"/>
                <w:b w:val="0"/>
                <w:i w:val="0"/>
                <w:sz w:val="18"/>
              </w:rPr>
              <w:t>El técnico entrega el listado maestro a tiempo.</w:t>
            </w:r>
          </w:p>
        </w:tc>
        <w:tc>
          <w:tcPr>
            <w:tcW w:type="dxa" w:w="3572"/>
            <w:shd w:fill="F2F2F2" w:val="clear"/>
          </w:tcPr>
          <w:p>
            <w:pPr>
              <w:spacing w:after="0" w:before="0" w:line="240" w:lineRule="auto"/>
            </w:pPr>
            <w:r/>
            <w:r>
              <w:rPr>
                <w:rFonts w:ascii="Times New Roman" w:hAnsi="Times New Roman" w:cs="Times New Roman" w:eastAsia="Times New Roman"/>
                <w:b w:val="0"/>
                <w:i w:val="0"/>
                <w:sz w:val="18"/>
              </w:rPr>
              <w:t>La carga 2.3 ya ocurrió; si no, el tablero es una demo vacía.</w:t>
            </w:r>
          </w:p>
        </w:tc>
      </w:tr>
      <w:tr>
        <w:tc>
          <w:tcPr>
            <w:tcW w:type="dxa" w:w="1928"/>
          </w:tcPr>
          <w:p>
            <w:pPr>
              <w:spacing w:after="0" w:before="0" w:line="240" w:lineRule="auto"/>
            </w:pPr>
            <w:r/>
            <w:r>
              <w:rPr>
                <w:rFonts w:ascii="Times New Roman" w:hAnsi="Times New Roman" w:cs="Times New Roman" w:eastAsia="Times New Roman"/>
                <w:b w:val="0"/>
                <w:i w:val="0"/>
                <w:sz w:val="18"/>
              </w:rPr>
              <w:t>Duración</w:t>
            </w:r>
          </w:p>
        </w:tc>
        <w:tc>
          <w:tcPr>
            <w:tcW w:type="dxa" w:w="3572"/>
          </w:tcPr>
          <w:p>
            <w:pPr>
              <w:spacing w:after="0" w:before="0" w:line="240" w:lineRule="auto"/>
            </w:pPr>
            <w:r/>
            <w:r>
              <w:rPr>
                <w:rFonts w:ascii="Times New Roman" w:hAnsi="Times New Roman" w:cs="Times New Roman" w:eastAsia="Times New Roman"/>
                <w:b w:val="0"/>
                <w:i w:val="0"/>
                <w:sz w:val="18"/>
              </w:rPr>
              <w:t>6 días hábiles</w:t>
            </w:r>
          </w:p>
        </w:tc>
        <w:tc>
          <w:tcPr>
            <w:tcW w:type="dxa" w:w="3572"/>
          </w:tcPr>
          <w:p>
            <w:pPr>
              <w:spacing w:after="0" w:before="0" w:line="240" w:lineRule="auto"/>
            </w:pPr>
            <w:r/>
            <w:r>
              <w:rPr>
                <w:rFonts w:ascii="Times New Roman" w:hAnsi="Times New Roman" w:cs="Times New Roman" w:eastAsia="Times New Roman"/>
                <w:b w:val="0"/>
                <w:i w:val="0"/>
                <w:sz w:val="18"/>
              </w:rPr>
              <w:t>8 días hábiles</w:t>
            </w:r>
          </w:p>
        </w:tc>
      </w:tr>
      <w:tr>
        <w:tc>
          <w:tcPr>
            <w:tcW w:type="dxa" w:w="1928"/>
            <w:shd w:fill="F2F2F2" w:val="clear"/>
          </w:tcPr>
          <w:p>
            <w:pPr>
              <w:spacing w:after="0" w:before="0" w:line="240" w:lineRule="auto"/>
            </w:pPr>
            <w:r/>
            <w:r>
              <w:rPr>
                <w:rFonts w:ascii="Times New Roman" w:hAnsi="Times New Roman" w:cs="Times New Roman" w:eastAsia="Times New Roman"/>
                <w:b w:val="0"/>
                <w:i w:val="0"/>
                <w:sz w:val="18"/>
              </w:rPr>
              <w:t>Hito asociado</w:t>
            </w:r>
          </w:p>
        </w:tc>
        <w:tc>
          <w:tcPr>
            <w:tcW w:type="dxa" w:w="3572"/>
            <w:shd w:fill="F2F2F2" w:val="clear"/>
          </w:tcPr>
          <w:p>
            <w:pPr>
              <w:spacing w:after="0" w:before="0" w:line="240" w:lineRule="auto"/>
            </w:pPr>
            <w:r/>
            <w:r>
              <w:rPr>
                <w:rFonts w:ascii="Times New Roman" w:hAnsi="Times New Roman" w:cs="Times New Roman" w:eastAsia="Times New Roman"/>
                <w:b w:val="0"/>
                <w:i w:val="0"/>
                <w:sz w:val="18"/>
              </w:rPr>
              <w:t>Inventario validado (19 de octubre de 2026)</w:t>
            </w:r>
          </w:p>
        </w:tc>
        <w:tc>
          <w:tcPr>
            <w:tcW w:type="dxa" w:w="3572"/>
            <w:shd w:fill="F2F2F2" w:val="clear"/>
          </w:tcPr>
          <w:p>
            <w:pPr>
              <w:spacing w:after="0" w:before="0" w:line="240" w:lineRule="auto"/>
            </w:pPr>
            <w:r/>
            <w:r>
              <w:rPr>
                <w:rFonts w:ascii="Times New Roman" w:hAnsi="Times New Roman" w:cs="Times New Roman" w:eastAsia="Times New Roman"/>
                <w:b w:val="0"/>
                <w:i w:val="0"/>
                <w:sz w:val="18"/>
              </w:rPr>
              <w:t>Tablero usable (9 de noviembre de 2026)</w:t>
            </w:r>
          </w:p>
        </w:tc>
      </w:tr>
      <w:tr>
        <w:tc>
          <w:tcPr>
            <w:tcW w:type="dxa" w:w="1928"/>
          </w:tcPr>
          <w:p>
            <w:pPr>
              <w:spacing w:after="0" w:before="0" w:line="240" w:lineRule="auto"/>
            </w:pPr>
            <w:r/>
            <w:r>
              <w:rPr>
                <w:rFonts w:ascii="Times New Roman" w:hAnsi="Times New Roman" w:cs="Times New Roman" w:eastAsia="Times New Roman"/>
                <w:b w:val="0"/>
                <w:i w:val="0"/>
                <w:sz w:val="18"/>
              </w:rPr>
              <w:t>Costo directo est.</w:t>
            </w:r>
          </w:p>
        </w:tc>
        <w:tc>
          <w:tcPr>
            <w:tcW w:type="dxa" w:w="3572"/>
          </w:tcPr>
          <w:p>
            <w:pPr>
              <w:spacing w:after="0" w:before="0" w:line="240" w:lineRule="auto"/>
            </w:pPr>
            <w:r/>
            <w:r>
              <w:rPr>
                <w:rFonts w:ascii="Times New Roman" w:hAnsi="Times New Roman" w:cs="Times New Roman" w:eastAsia="Times New Roman"/>
                <w:b w:val="0"/>
                <w:i w:val="0"/>
                <w:sz w:val="18"/>
              </w:rPr>
              <w:t>US$ 1.240 (carga + validación parcial)</w:t>
            </w:r>
          </w:p>
        </w:tc>
        <w:tc>
          <w:tcPr>
            <w:tcW w:type="dxa" w:w="3572"/>
          </w:tcPr>
          <w:p>
            <w:pPr>
              <w:spacing w:after="0" w:before="0" w:line="240" w:lineRule="auto"/>
            </w:pPr>
            <w:r/>
            <w:r>
              <w:rPr>
                <w:rFonts w:ascii="Times New Roman" w:hAnsi="Times New Roman" w:cs="Times New Roman" w:eastAsia="Times New Roman"/>
                <w:b w:val="0"/>
                <w:i w:val="0"/>
                <w:sz w:val="18"/>
              </w:rPr>
              <w:t>US$ 1.360 (frontend del tablero)</w:t>
            </w:r>
          </w:p>
        </w:tc>
      </w:tr>
    </w:tbl>
    <w:p>
      <w:pPr>
        <w:spacing w:after="80"/>
      </w:pPr>
    </w:p>
    <w:p>
      <w:pPr>
        <w:spacing w:before="40" w:after="160" w:line="240" w:lineRule="auto"/>
        <w:ind w:firstLine="0"/>
        <w:jc w:val="center"/>
      </w:pPr>
      <w:r>
        <w:rPr>
          <w:rFonts w:ascii="Times New Roman" w:hAnsi="Times New Roman" w:cs="Times New Roman" w:eastAsia="Times New Roman"/>
          <w:b w:val="0"/>
          <w:i/>
          <w:color w:val="444444"/>
          <w:sz w:val="18"/>
        </w:rPr>
        <w:t>Tabla 6. Extracto del diccionario de la EDT.</w:t>
      </w:r>
    </w:p>
    <w:p>
      <w:pPr>
        <w:spacing w:line="360" w:lineRule="auto" w:after="120" w:before="0"/>
        <w:ind w:firstLine="425"/>
        <w:jc w:val="both"/>
      </w:pPr>
      <w:r>
        <w:rPr>
          <w:rFonts w:ascii="Times New Roman" w:hAnsi="Times New Roman" w:cs="Times New Roman" w:eastAsia="Times New Roman"/>
          <w:b w:val="0"/>
          <w:i w:val="0"/>
          <w:sz w:val="24"/>
        </w:rPr>
        <w:t>El calendario se armó dos veces. La primera, con duraciones brutas, como si hubiera gente de sobra. La segunda, con dependencias de término a inicio y semana de lunes a viernes. El número que defendemos es el segundo. El criterio es el camino más largo (método de la ruta crítica, CPM), no lo que se siente más urgente. Sin modelo ni carga de inventario no hay tablero con datos reales. Sin vista de cada kit no hay ticket útil. Sin prueba en terreno el reporte a donantes queda sin dato real. Esa cadena (1.1, 2.1, 2.2, 2.3, 3.1, 3.2, 4.2, 4.3, 4.4, 5.4 y 7.3) dura 63 días hábiles (14 de septiembre de 2026 al 9 de diciembre de 2026). Cualquier atraso ahí mueve el 9 de diciembre, salvo que se consuma reserva (capacidad no comprometida del sprint o PERT de 4.4). La holgura de los otros caminos no salva a esta cadena: holgura y reserva no son lo mismo.</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2041"/>
            <w:shd w:fill="10263D" w:val="clear"/>
          </w:tcPr>
          <w:p>
            <w:pPr>
              <w:spacing w:after="0" w:before="0" w:line="240" w:lineRule="auto"/>
            </w:pPr>
            <w:r/>
            <w:r>
              <w:rPr>
                <w:rFonts w:ascii="Times New Roman" w:hAnsi="Times New Roman" w:cs="Times New Roman" w:eastAsia="Times New Roman"/>
                <w:b/>
                <w:i w:val="0"/>
                <w:color w:val="FFFFFF"/>
                <w:sz w:val="18"/>
              </w:rPr>
              <w:t>Camino</w:t>
            </w:r>
          </w:p>
        </w:tc>
        <w:tc>
          <w:tcPr>
            <w:tcW w:type="dxa" w:w="3061"/>
            <w:shd w:fill="10263D" w:val="clear"/>
          </w:tcPr>
          <w:p>
            <w:pPr>
              <w:spacing w:after="0" w:before="0" w:line="240" w:lineRule="auto"/>
            </w:pPr>
            <w:r/>
            <w:r>
              <w:rPr>
                <w:rFonts w:ascii="Times New Roman" w:hAnsi="Times New Roman" w:cs="Times New Roman" w:eastAsia="Times New Roman"/>
                <w:b/>
                <w:i w:val="0"/>
                <w:color w:val="FFFFFF"/>
                <w:sz w:val="18"/>
              </w:rPr>
              <w:t>Secuencia</w:t>
            </w:r>
          </w:p>
        </w:tc>
        <w:tc>
          <w:tcPr>
            <w:tcW w:type="dxa" w:w="1361"/>
            <w:shd w:fill="10263D" w:val="clear"/>
          </w:tcPr>
          <w:p>
            <w:pPr>
              <w:spacing w:after="0" w:before="0" w:line="240" w:lineRule="auto"/>
            </w:pPr>
            <w:r/>
            <w:r>
              <w:rPr>
                <w:rFonts w:ascii="Times New Roman" w:hAnsi="Times New Roman" w:cs="Times New Roman" w:eastAsia="Times New Roman"/>
                <w:b/>
                <w:i w:val="0"/>
                <w:color w:val="FFFFFF"/>
                <w:sz w:val="18"/>
              </w:rPr>
              <w:t>Duración (días)</w:t>
            </w:r>
          </w:p>
        </w:tc>
        <w:tc>
          <w:tcPr>
            <w:tcW w:type="dxa" w:w="1361"/>
            <w:shd w:fill="10263D" w:val="clear"/>
          </w:tcPr>
          <w:p>
            <w:pPr>
              <w:spacing w:after="0" w:before="0" w:line="240" w:lineRule="auto"/>
            </w:pPr>
            <w:r/>
            <w:r>
              <w:rPr>
                <w:rFonts w:ascii="Times New Roman" w:hAnsi="Times New Roman" w:cs="Times New Roman" w:eastAsia="Times New Roman"/>
                <w:b/>
                <w:i w:val="0"/>
                <w:color w:val="FFFFFF"/>
                <w:sz w:val="18"/>
              </w:rPr>
              <w:t>Holgura (días)</w:t>
            </w:r>
          </w:p>
        </w:tc>
        <w:tc>
          <w:tcPr>
            <w:tcW w:type="dxa" w:w="1247"/>
            <w:shd w:fill="10263D" w:val="clear"/>
          </w:tcPr>
          <w:p>
            <w:pPr>
              <w:spacing w:after="0" w:before="0" w:line="240" w:lineRule="auto"/>
            </w:pPr>
            <w:r/>
            <w:r>
              <w:rPr>
                <w:rFonts w:ascii="Times New Roman" w:hAnsi="Times New Roman" w:cs="Times New Roman" w:eastAsia="Times New Roman"/>
                <w:b/>
                <w:i w:val="0"/>
                <w:color w:val="FFFFFF"/>
                <w:sz w:val="18"/>
              </w:rPr>
              <w:t>¿Crítica?</w:t>
            </w:r>
          </w:p>
        </w:tc>
      </w:tr>
      <w:tr>
        <w:tc>
          <w:tcPr>
            <w:tcW w:type="dxa" w:w="2041"/>
          </w:tcPr>
          <w:p>
            <w:pPr>
              <w:spacing w:after="0" w:before="0" w:line="240" w:lineRule="auto"/>
            </w:pPr>
            <w:r/>
            <w:r>
              <w:rPr>
                <w:rFonts w:ascii="Times New Roman" w:hAnsi="Times New Roman" w:cs="Times New Roman" w:eastAsia="Times New Roman"/>
                <w:b w:val="0"/>
                <w:i w:val="0"/>
                <w:sz w:val="18"/>
              </w:rPr>
              <w:t>A Inventario-tablero-tickets</w:t>
            </w:r>
          </w:p>
        </w:tc>
        <w:tc>
          <w:tcPr>
            <w:tcW w:type="dxa" w:w="3061"/>
          </w:tcPr>
          <w:p>
            <w:pPr>
              <w:spacing w:after="0" w:before="0" w:line="240" w:lineRule="auto"/>
            </w:pPr>
            <w:r/>
            <w:r>
              <w:rPr>
                <w:rFonts w:ascii="Times New Roman" w:hAnsi="Times New Roman" w:cs="Times New Roman" w:eastAsia="Times New Roman"/>
                <w:b w:val="0"/>
                <w:i w:val="0"/>
                <w:sz w:val="18"/>
              </w:rPr>
              <w:t>1.1-2.1-2.2-2.3-3.1-3.2-4.2-4.3-4.4-5.4-7.3</w:t>
            </w:r>
          </w:p>
        </w:tc>
        <w:tc>
          <w:tcPr>
            <w:tcW w:type="dxa" w:w="1361"/>
          </w:tcPr>
          <w:p>
            <w:pPr>
              <w:spacing w:after="0" w:before="0" w:line="240" w:lineRule="auto"/>
            </w:pPr>
            <w:r/>
            <w:r>
              <w:rPr>
                <w:rFonts w:ascii="Times New Roman" w:hAnsi="Times New Roman" w:cs="Times New Roman" w:eastAsia="Times New Roman"/>
                <w:b w:val="0"/>
                <w:i w:val="0"/>
                <w:sz w:val="18"/>
              </w:rPr>
              <w:t>63</w:t>
            </w:r>
          </w:p>
        </w:tc>
        <w:tc>
          <w:tcPr>
            <w:tcW w:type="dxa" w:w="1361"/>
          </w:tcPr>
          <w:p>
            <w:pPr>
              <w:spacing w:after="0" w:before="0" w:line="240" w:lineRule="auto"/>
            </w:pPr>
            <w:r/>
            <w:r>
              <w:rPr>
                <w:rFonts w:ascii="Times New Roman" w:hAnsi="Times New Roman" w:cs="Times New Roman" w:eastAsia="Times New Roman"/>
                <w:b w:val="0"/>
                <w:i w:val="0"/>
                <w:sz w:val="18"/>
              </w:rPr>
              <w:t>0</w:t>
            </w:r>
          </w:p>
        </w:tc>
        <w:tc>
          <w:tcPr>
            <w:tcW w:type="dxa" w:w="1247"/>
          </w:tcPr>
          <w:p>
            <w:pPr>
              <w:spacing w:after="0" w:before="0" w:line="240" w:lineRule="auto"/>
            </w:pPr>
            <w:r/>
            <w:r>
              <w:rPr>
                <w:rFonts w:ascii="Times New Roman" w:hAnsi="Times New Roman" w:cs="Times New Roman" w:eastAsia="Times New Roman"/>
                <w:b w:val="0"/>
                <w:i w:val="0"/>
                <w:sz w:val="18"/>
              </w:rPr>
              <w:t>Sí</w:t>
            </w:r>
          </w:p>
        </w:tc>
      </w:tr>
      <w:tr>
        <w:tc>
          <w:tcPr>
            <w:tcW w:type="dxa" w:w="2041"/>
            <w:shd w:fill="F2F2F2" w:val="clear"/>
          </w:tcPr>
          <w:p>
            <w:pPr>
              <w:spacing w:after="0" w:before="0" w:line="240" w:lineRule="auto"/>
            </w:pPr>
            <w:r/>
            <w:r>
              <w:rPr>
                <w:rFonts w:ascii="Times New Roman" w:hAnsi="Times New Roman" w:cs="Times New Roman" w:eastAsia="Times New Roman"/>
                <w:b w:val="0"/>
                <w:i w:val="0"/>
                <w:sz w:val="18"/>
              </w:rPr>
              <w:t>B Privacidad y despliegue</w:t>
            </w:r>
          </w:p>
        </w:tc>
        <w:tc>
          <w:tcPr>
            <w:tcW w:type="dxa" w:w="3061"/>
            <w:shd w:fill="F2F2F2" w:val="clear"/>
          </w:tcPr>
          <w:p>
            <w:pPr>
              <w:spacing w:after="0" w:before="0" w:line="240" w:lineRule="auto"/>
            </w:pPr>
            <w:r/>
            <w:r>
              <w:rPr>
                <w:rFonts w:ascii="Times New Roman" w:hAnsi="Times New Roman" w:cs="Times New Roman" w:eastAsia="Times New Roman"/>
                <w:b w:val="0"/>
                <w:i w:val="0"/>
                <w:sz w:val="18"/>
              </w:rPr>
              <w:t>1.1-6.1-6.2-6.3-6.4 (4.4 espera a 4.3, no a 6.4)</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23</w:t>
            </w:r>
          </w:p>
        </w:tc>
        <w:tc>
          <w:tcPr>
            <w:tcW w:type="dxa" w:w="1361"/>
            <w:shd w:fill="F2F2F2" w:val="clear"/>
          </w:tcPr>
          <w:p>
            <w:pPr>
              <w:spacing w:after="0" w:before="0" w:line="240" w:lineRule="auto"/>
            </w:pPr>
            <w:r/>
            <w:r>
              <w:rPr>
                <w:rFonts w:ascii="Times New Roman" w:hAnsi="Times New Roman" w:cs="Times New Roman" w:eastAsia="Times New Roman"/>
                <w:b w:val="0"/>
                <w:i w:val="0"/>
                <w:sz w:val="18"/>
              </w:rPr>
              <w:t>23</w:t>
            </w:r>
          </w:p>
        </w:tc>
        <w:tc>
          <w:tcPr>
            <w:tcW w:type="dxa" w:w="1247"/>
            <w:shd w:fill="F2F2F2" w:val="clear"/>
          </w:tcPr>
          <w:p>
            <w:pPr>
              <w:spacing w:after="0" w:before="0" w:line="240" w:lineRule="auto"/>
            </w:pPr>
            <w:r/>
            <w:r>
              <w:rPr>
                <w:rFonts w:ascii="Times New Roman" w:hAnsi="Times New Roman" w:cs="Times New Roman" w:eastAsia="Times New Roman"/>
                <w:b w:val="0"/>
                <w:i w:val="0"/>
                <w:sz w:val="18"/>
              </w:rPr>
              <w:t>No</w:t>
            </w:r>
          </w:p>
        </w:tc>
      </w:tr>
      <w:tr>
        <w:tc>
          <w:tcPr>
            <w:tcW w:type="dxa" w:w="2041"/>
          </w:tcPr>
          <w:p>
            <w:pPr>
              <w:spacing w:after="0" w:before="0" w:line="240" w:lineRule="auto"/>
            </w:pPr>
            <w:r/>
            <w:r>
              <w:rPr>
                <w:rFonts w:ascii="Times New Roman" w:hAnsi="Times New Roman" w:cs="Times New Roman" w:eastAsia="Times New Roman"/>
                <w:b w:val="0"/>
                <w:i w:val="0"/>
                <w:sz w:val="18"/>
              </w:rPr>
              <w:t>C Indicadores de impacto</w:t>
            </w:r>
          </w:p>
        </w:tc>
        <w:tc>
          <w:tcPr>
            <w:tcW w:type="dxa" w:w="3061"/>
          </w:tcPr>
          <w:p>
            <w:pPr>
              <w:spacing w:after="0" w:before="0" w:line="240" w:lineRule="auto"/>
            </w:pPr>
            <w:r/>
            <w:r>
              <w:rPr>
                <w:rFonts w:ascii="Times New Roman" w:hAnsi="Times New Roman" w:cs="Times New Roman" w:eastAsia="Times New Roman"/>
                <w:b w:val="0"/>
                <w:i w:val="0"/>
                <w:sz w:val="18"/>
              </w:rPr>
              <w:t>1.1-5.1-5.2-5.3 (5.4 espera la prueba 4.4)</w:t>
            </w:r>
          </w:p>
        </w:tc>
        <w:tc>
          <w:tcPr>
            <w:tcW w:type="dxa" w:w="1361"/>
          </w:tcPr>
          <w:p>
            <w:pPr>
              <w:spacing w:after="0" w:before="0" w:line="240" w:lineRule="auto"/>
            </w:pPr>
            <w:r/>
            <w:r>
              <w:rPr>
                <w:rFonts w:ascii="Times New Roman" w:hAnsi="Times New Roman" w:cs="Times New Roman" w:eastAsia="Times New Roman"/>
                <w:b w:val="0"/>
                <w:i w:val="0"/>
                <w:sz w:val="18"/>
              </w:rPr>
              <w:t>17</w:t>
            </w:r>
          </w:p>
        </w:tc>
        <w:tc>
          <w:tcPr>
            <w:tcW w:type="dxa" w:w="1361"/>
          </w:tcPr>
          <w:p>
            <w:pPr>
              <w:spacing w:after="0" w:before="0" w:line="240" w:lineRule="auto"/>
            </w:pPr>
            <w:r/>
            <w:r>
              <w:rPr>
                <w:rFonts w:ascii="Times New Roman" w:hAnsi="Times New Roman" w:cs="Times New Roman" w:eastAsia="Times New Roman"/>
                <w:b w:val="0"/>
                <w:i w:val="0"/>
                <w:sz w:val="18"/>
              </w:rPr>
              <w:t>25</w:t>
            </w:r>
          </w:p>
        </w:tc>
        <w:tc>
          <w:tcPr>
            <w:tcW w:type="dxa" w:w="1247"/>
          </w:tcPr>
          <w:p>
            <w:pPr>
              <w:spacing w:after="0" w:before="0" w:line="240" w:lineRule="auto"/>
            </w:pPr>
            <w:r/>
            <w:r>
              <w:rPr>
                <w:rFonts w:ascii="Times New Roman" w:hAnsi="Times New Roman" w:cs="Times New Roman" w:eastAsia="Times New Roman"/>
                <w:b w:val="0"/>
                <w:i w:val="0"/>
                <w:sz w:val="18"/>
              </w:rPr>
              <w:t>No</w:t>
            </w:r>
          </w:p>
        </w:tc>
      </w:tr>
    </w:tbl>
    <w:p>
      <w:pPr>
        <w:spacing w:after="80"/>
      </w:pPr>
    </w:p>
    <w:p>
      <w:pPr>
        <w:spacing w:before="40" w:after="160" w:line="240" w:lineRule="auto"/>
        <w:ind w:firstLine="0"/>
        <w:jc w:val="center"/>
      </w:pPr>
      <w:r>
        <w:rPr>
          <w:rFonts w:ascii="Times New Roman" w:hAnsi="Times New Roman" w:cs="Times New Roman" w:eastAsia="Times New Roman"/>
          <w:b w:val="0"/>
          <w:i/>
          <w:color w:val="444444"/>
          <w:sz w:val="18"/>
        </w:rPr>
        <w:t>Tabla 7. Duración del camino y holgura son columnas distintas. La holgura sale del CPM (paquete 6.4 = 23 d; 5.2/5.3 = 25 d), no de la suma de duraciones.</w:t>
      </w:r>
    </w:p>
    <w:p>
      <w:pPr>
        <w:spacing w:line="360" w:lineRule="auto" w:after="120" w:before="0"/>
        <w:ind w:firstLine="425"/>
        <w:jc w:val="both"/>
      </w:pPr>
      <w:r>
        <w:rPr>
          <w:rFonts w:ascii="Times New Roman" w:hAnsi="Times New Roman" w:cs="Times New Roman" w:eastAsia="Times New Roman"/>
          <w:b w:val="0"/>
          <w:i w:val="0"/>
          <w:sz w:val="24"/>
        </w:rPr>
        <w:t>Holgura y reserva se distinguen como en industria (PMI, 2017). La holgura es el tiempo que una actividad puede atrasarse sin mover el 9 de diciembre: 0 en la ruta crítica; 23 días en 6.4 (privacidad/despliegue); 25 días en 5.2 y 5.3 (indicadores). El camino C dura 17 días: esa suma no es la holgura. En el camino B duración y holgura coinciden en 23; no hay que generalizar esa coincidencia. El margen de fallo de la cadena crítica se diseña aparte, como reserva de contingencia de tiempo: PERT en 4.4 ya incorpora el escenario pesimista (desviación de unos 1,3 días); cada sprint Scrum compromete 8 de 10 días hábiles (20 % de capacidad libre); si una historia no alcanza, vuelve al backlog y el timebox no se estira. El 12 % de contingencia de costo cubre un alargue de terreno (hosting y horas locales). No se mueve el 4 de diciembre.</w:t>
      </w:r>
    </w:p>
    <w:p>
      <w:pPr>
        <w:spacing w:line="360" w:lineRule="auto" w:after="120" w:before="0"/>
        <w:ind w:firstLine="425"/>
        <w:jc w:val="both"/>
      </w:pPr>
      <w:r>
        <w:rPr>
          <w:rFonts w:ascii="Times New Roman" w:hAnsi="Times New Roman" w:cs="Times New Roman" w:eastAsia="Times New Roman"/>
          <w:b w:val="0"/>
          <w:i w:val="0"/>
          <w:sz w:val="24"/>
        </w:rPr>
        <w:t>La prueba 4.4 es el caso típico de esa reserva estadística: 5 / 7 / 13 días; (5 + 4×7 + 13) / 6 = 7,67 y en el Gantt quedan 8. A dirección, hitos. Al equipo, el Gantt de Project Libre.</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685"/>
            <w:shd w:fill="10263D" w:val="clear"/>
          </w:tcPr>
          <w:p>
            <w:pPr>
              <w:spacing w:after="0" w:before="0" w:line="240" w:lineRule="auto"/>
            </w:pPr>
            <w:r/>
            <w:r>
              <w:rPr>
                <w:rFonts w:ascii="Times New Roman" w:hAnsi="Times New Roman" w:cs="Times New Roman" w:eastAsia="Times New Roman"/>
                <w:b/>
                <w:i w:val="0"/>
                <w:color w:val="FFFFFF"/>
                <w:sz w:val="18"/>
              </w:rPr>
              <w:t>Hito</w:t>
            </w:r>
          </w:p>
        </w:tc>
        <w:tc>
          <w:tcPr>
            <w:tcW w:type="dxa" w:w="2551"/>
            <w:shd w:fill="10263D" w:val="clear"/>
          </w:tcPr>
          <w:p>
            <w:pPr>
              <w:spacing w:after="0" w:before="0" w:line="240" w:lineRule="auto"/>
            </w:pPr>
            <w:r/>
            <w:r>
              <w:rPr>
                <w:rFonts w:ascii="Times New Roman" w:hAnsi="Times New Roman" w:cs="Times New Roman" w:eastAsia="Times New Roman"/>
                <w:b/>
                <w:i w:val="0"/>
                <w:color w:val="FFFFFF"/>
                <w:sz w:val="18"/>
              </w:rPr>
              <w:t>Fecha</w:t>
            </w:r>
          </w:p>
        </w:tc>
        <w:tc>
          <w:tcPr>
            <w:tcW w:type="dxa" w:w="2835"/>
            <w:shd w:fill="10263D" w:val="clear"/>
          </w:tcPr>
          <w:p>
            <w:pPr>
              <w:spacing w:after="0" w:before="0" w:line="240" w:lineRule="auto"/>
            </w:pPr>
            <w:r/>
            <w:r>
              <w:rPr>
                <w:rFonts w:ascii="Times New Roman" w:hAnsi="Times New Roman" w:cs="Times New Roman" w:eastAsia="Times New Roman"/>
                <w:b/>
                <w:i w:val="0"/>
                <w:color w:val="FFFFFF"/>
                <w:sz w:val="18"/>
              </w:rPr>
              <w:t>Para quién</w:t>
            </w:r>
          </w:p>
        </w:tc>
      </w:tr>
      <w:tr>
        <w:tc>
          <w:tcPr>
            <w:tcW w:type="dxa" w:w="3685"/>
          </w:tcPr>
          <w:p>
            <w:pPr>
              <w:spacing w:after="0" w:before="0" w:line="240" w:lineRule="auto"/>
            </w:pPr>
            <w:r/>
            <w:r>
              <w:rPr>
                <w:rFonts w:ascii="Times New Roman" w:hAnsi="Times New Roman" w:cs="Times New Roman" w:eastAsia="Times New Roman"/>
                <w:b w:val="0"/>
                <w:i w:val="0"/>
                <w:sz w:val="18"/>
              </w:rPr>
              <w:t>Inventario validado</w:t>
            </w:r>
          </w:p>
        </w:tc>
        <w:tc>
          <w:tcPr>
            <w:tcW w:type="dxa" w:w="2551"/>
          </w:tcPr>
          <w:p>
            <w:pPr>
              <w:spacing w:after="0" w:before="0" w:line="240" w:lineRule="auto"/>
            </w:pPr>
            <w:r/>
            <w:r>
              <w:rPr>
                <w:rFonts w:ascii="Times New Roman" w:hAnsi="Times New Roman" w:cs="Times New Roman" w:eastAsia="Times New Roman"/>
                <w:b w:val="0"/>
                <w:i w:val="0"/>
                <w:sz w:val="18"/>
              </w:rPr>
              <w:t>19 de octubre de 2026</w:t>
            </w:r>
          </w:p>
        </w:tc>
        <w:tc>
          <w:tcPr>
            <w:tcW w:type="dxa" w:w="2835"/>
          </w:tcPr>
          <w:p>
            <w:pPr>
              <w:spacing w:after="0" w:before="0" w:line="240" w:lineRule="auto"/>
            </w:pPr>
            <w:r/>
            <w:r>
              <w:rPr>
                <w:rFonts w:ascii="Times New Roman" w:hAnsi="Times New Roman" w:cs="Times New Roman" w:eastAsia="Times New Roman"/>
                <w:b w:val="0"/>
                <w:i w:val="0"/>
                <w:sz w:val="18"/>
              </w:rPr>
              <w:t>Equipo y soporte local</w:t>
            </w:r>
          </w:p>
        </w:tc>
      </w:tr>
      <w:tr>
        <w:tc>
          <w:tcPr>
            <w:tcW w:type="dxa" w:w="3685"/>
            <w:shd w:fill="F2F2F2" w:val="clear"/>
          </w:tcPr>
          <w:p>
            <w:pPr>
              <w:spacing w:after="0" w:before="0" w:line="240" w:lineRule="auto"/>
            </w:pPr>
            <w:r/>
            <w:r>
              <w:rPr>
                <w:rFonts w:ascii="Times New Roman" w:hAnsi="Times New Roman" w:cs="Times New Roman" w:eastAsia="Times New Roman"/>
                <w:b w:val="0"/>
                <w:i w:val="0"/>
                <w:sz w:val="18"/>
              </w:rPr>
              <w:t>Tablero usable</w:t>
            </w:r>
          </w:p>
        </w:tc>
        <w:tc>
          <w:tcPr>
            <w:tcW w:type="dxa" w:w="2551"/>
            <w:shd w:fill="F2F2F2" w:val="clear"/>
          </w:tcPr>
          <w:p>
            <w:pPr>
              <w:spacing w:after="0" w:before="0" w:line="240" w:lineRule="auto"/>
            </w:pPr>
            <w:r/>
            <w:r>
              <w:rPr>
                <w:rFonts w:ascii="Times New Roman" w:hAnsi="Times New Roman" w:cs="Times New Roman" w:eastAsia="Times New Roman"/>
                <w:b w:val="0"/>
                <w:i w:val="0"/>
                <w:sz w:val="18"/>
              </w:rPr>
              <w:t>9 de noviembre de 2026</w:t>
            </w:r>
          </w:p>
        </w:tc>
        <w:tc>
          <w:tcPr>
            <w:tcW w:type="dxa" w:w="2835"/>
            <w:shd w:fill="F2F2F2" w:val="clear"/>
          </w:tcPr>
          <w:p>
            <w:pPr>
              <w:spacing w:after="0" w:before="0" w:line="240" w:lineRule="auto"/>
            </w:pPr>
            <w:r/>
            <w:r>
              <w:rPr>
                <w:rFonts w:ascii="Times New Roman" w:hAnsi="Times New Roman" w:cs="Times New Roman" w:eastAsia="Times New Roman"/>
                <w:b w:val="0"/>
                <w:i w:val="0"/>
                <w:sz w:val="18"/>
              </w:rPr>
              <w:t>Técnico local y dirección</w:t>
            </w:r>
          </w:p>
        </w:tc>
      </w:tr>
      <w:tr>
        <w:tc>
          <w:tcPr>
            <w:tcW w:type="dxa" w:w="3685"/>
          </w:tcPr>
          <w:p>
            <w:pPr>
              <w:spacing w:after="0" w:before="0" w:line="240" w:lineRule="auto"/>
            </w:pPr>
            <w:r/>
            <w:r>
              <w:rPr>
                <w:rFonts w:ascii="Times New Roman" w:hAnsi="Times New Roman" w:cs="Times New Roman" w:eastAsia="Times New Roman"/>
                <w:b w:val="0"/>
                <w:i w:val="0"/>
                <w:sz w:val="18"/>
              </w:rPr>
              <w:t>Tickets en terreno</w:t>
            </w:r>
          </w:p>
        </w:tc>
        <w:tc>
          <w:tcPr>
            <w:tcW w:type="dxa" w:w="2551"/>
          </w:tcPr>
          <w:p>
            <w:pPr>
              <w:spacing w:after="0" w:before="0" w:line="240" w:lineRule="auto"/>
            </w:pPr>
            <w:r/>
            <w:r>
              <w:rPr>
                <w:rFonts w:ascii="Times New Roman" w:hAnsi="Times New Roman" w:cs="Times New Roman" w:eastAsia="Times New Roman"/>
                <w:b w:val="0"/>
                <w:i w:val="0"/>
                <w:sz w:val="18"/>
              </w:rPr>
              <w:t>1 de diciembre de 2026</w:t>
            </w:r>
          </w:p>
        </w:tc>
        <w:tc>
          <w:tcPr>
            <w:tcW w:type="dxa" w:w="2835"/>
          </w:tcPr>
          <w:p>
            <w:pPr>
              <w:spacing w:after="0" w:before="0" w:line="240" w:lineRule="auto"/>
            </w:pPr>
            <w:r/>
            <w:r>
              <w:rPr>
                <w:rFonts w:ascii="Times New Roman" w:hAnsi="Times New Roman" w:cs="Times New Roman" w:eastAsia="Times New Roman"/>
                <w:b w:val="0"/>
                <w:i w:val="0"/>
                <w:sz w:val="18"/>
              </w:rPr>
              <w:t>Soporte local</w:t>
            </w:r>
          </w:p>
        </w:tc>
      </w:tr>
      <w:tr>
        <w:tc>
          <w:tcPr>
            <w:tcW w:type="dxa" w:w="3685"/>
            <w:shd w:fill="F2F2F2" w:val="clear"/>
          </w:tcPr>
          <w:p>
            <w:pPr>
              <w:spacing w:after="0" w:before="0" w:line="240" w:lineRule="auto"/>
            </w:pPr>
            <w:r/>
            <w:r>
              <w:rPr>
                <w:rFonts w:ascii="Times New Roman" w:hAnsi="Times New Roman" w:cs="Times New Roman" w:eastAsia="Times New Roman"/>
                <w:b w:val="0"/>
                <w:i w:val="0"/>
                <w:sz w:val="18"/>
              </w:rPr>
              <w:t>Primer reporte al patrocinador</w:t>
            </w:r>
          </w:p>
        </w:tc>
        <w:tc>
          <w:tcPr>
            <w:tcW w:type="dxa" w:w="2551"/>
            <w:shd w:fill="F2F2F2" w:val="clear"/>
          </w:tcPr>
          <w:p>
            <w:pPr>
              <w:spacing w:after="0" w:before="0" w:line="240" w:lineRule="auto"/>
            </w:pPr>
            <w:r/>
            <w:r>
              <w:rPr>
                <w:rFonts w:ascii="Times New Roman" w:hAnsi="Times New Roman" w:cs="Times New Roman" w:eastAsia="Times New Roman"/>
                <w:b w:val="0"/>
                <w:i w:val="0"/>
                <w:sz w:val="18"/>
              </w:rPr>
              <w:t>4 de diciembre de 2026</w:t>
            </w:r>
          </w:p>
        </w:tc>
        <w:tc>
          <w:tcPr>
            <w:tcW w:type="dxa" w:w="2835"/>
            <w:shd w:fill="F2F2F2" w:val="clear"/>
          </w:tcPr>
          <w:p>
            <w:pPr>
              <w:spacing w:after="0" w:before="0" w:line="240" w:lineRule="auto"/>
            </w:pPr>
            <w:r/>
            <w:r>
              <w:rPr>
                <w:rFonts w:ascii="Times New Roman" w:hAnsi="Times New Roman" w:cs="Times New Roman" w:eastAsia="Times New Roman"/>
                <w:b w:val="0"/>
                <w:i w:val="0"/>
                <w:sz w:val="18"/>
              </w:rPr>
              <w:t>Inversores y donantes</w:t>
            </w:r>
          </w:p>
        </w:tc>
      </w:tr>
      <w:tr>
        <w:tc>
          <w:tcPr>
            <w:tcW w:type="dxa" w:w="3685"/>
          </w:tcPr>
          <w:p>
            <w:pPr>
              <w:spacing w:after="0" w:before="0" w:line="240" w:lineRule="auto"/>
            </w:pPr>
            <w:r/>
            <w:r>
              <w:rPr>
                <w:rFonts w:ascii="Times New Roman" w:hAnsi="Times New Roman" w:cs="Times New Roman" w:eastAsia="Times New Roman"/>
                <w:b w:val="0"/>
                <w:i w:val="0"/>
                <w:sz w:val="18"/>
              </w:rPr>
              <w:t>Piloto entregado</w:t>
            </w:r>
          </w:p>
        </w:tc>
        <w:tc>
          <w:tcPr>
            <w:tcW w:type="dxa" w:w="2551"/>
          </w:tcPr>
          <w:p>
            <w:pPr>
              <w:spacing w:after="0" w:before="0" w:line="240" w:lineRule="auto"/>
            </w:pPr>
            <w:r/>
            <w:r>
              <w:rPr>
                <w:rFonts w:ascii="Times New Roman" w:hAnsi="Times New Roman" w:cs="Times New Roman" w:eastAsia="Times New Roman"/>
                <w:b w:val="0"/>
                <w:i w:val="0"/>
                <w:sz w:val="18"/>
              </w:rPr>
              <w:t>9 de diciembre de 2026</w:t>
            </w:r>
          </w:p>
        </w:tc>
        <w:tc>
          <w:tcPr>
            <w:tcW w:type="dxa" w:w="2835"/>
          </w:tcPr>
          <w:p>
            <w:pPr>
              <w:spacing w:after="0" w:before="0" w:line="240" w:lineRule="auto"/>
            </w:pPr>
            <w:r/>
            <w:r>
              <w:rPr>
                <w:rFonts w:ascii="Times New Roman" w:hAnsi="Times New Roman" w:cs="Times New Roman" w:eastAsia="Times New Roman"/>
                <w:b w:val="0"/>
                <w:i w:val="0"/>
                <w:sz w:val="18"/>
              </w:rPr>
              <w:t>Dirección / cierre de fase</w:t>
            </w:r>
          </w:p>
        </w:tc>
      </w:tr>
    </w:tbl>
    <w:p>
      <w:pPr>
        <w:spacing w:after="80"/>
      </w:pPr>
    </w:p>
    <w:p>
      <w:pPr>
        <w:spacing w:before="40" w:after="160" w:line="240" w:lineRule="auto"/>
        <w:ind w:firstLine="0"/>
        <w:jc w:val="center"/>
      </w:pPr>
      <w:r>
        <w:rPr>
          <w:rFonts w:ascii="Times New Roman" w:hAnsi="Times New Roman" w:cs="Times New Roman" w:eastAsia="Times New Roman"/>
          <w:b w:val="0"/>
          <w:i/>
          <w:color w:val="444444"/>
          <w:sz w:val="18"/>
        </w:rPr>
        <w:t>Tabla 8. Cronograma de hitos (para dirección).</w:t>
      </w:r>
    </w:p>
    <w:p>
      <w:pPr>
        <w:spacing w:line="360" w:lineRule="auto" w:after="120" w:before="0"/>
        <w:ind w:firstLine="425"/>
        <w:jc w:val="both"/>
      </w:pPr>
      <w:r>
        <w:rPr>
          <w:rFonts w:ascii="Times New Roman" w:hAnsi="Times New Roman" w:cs="Times New Roman" w:eastAsia="Times New Roman"/>
          <w:b w:val="0"/>
          <w:i w:val="0"/>
          <w:sz w:val="24"/>
        </w:rPr>
        <w:t>En personas: Giannina (dirección y tablero), Nicolás (datos e inventario), Ari (nube y despliegue), Skarlett (calidad e impacto) y un técnico local a 0,4 FTE. Ese técnico es el recurso más frágil. Si no carga datos, la ruta crítica se rompe aunque el código esté listo. El desglose de recursos (RBS) se arma en dos tiempos: primero el tipo (personas, tecnología, instalaciones, financieros) y después la cantidad. Personas: cuatro del equipo más el técnico a 0,4 FTE. Tecnología: nube, repositorio, Project Libre, Trello. Instalaciones: punto de carga en la comunidad. El hosting se mueve con el uso (es costo variable y a la vez directo) y por eso entra a la contingencia del 12 %. El estudio de terreno ya pagado (US$ 2.800) no entra a los 20.700 y no decide si seguimos o no.</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1814"/>
            <w:shd w:fill="10263D" w:val="clear"/>
          </w:tcPr>
          <w:p>
            <w:pPr>
              <w:spacing w:after="0" w:before="0" w:line="240" w:lineRule="auto"/>
            </w:pPr>
            <w:r/>
            <w:r>
              <w:rPr>
                <w:rFonts w:ascii="Times New Roman" w:hAnsi="Times New Roman" w:cs="Times New Roman" w:eastAsia="Times New Roman"/>
                <w:b/>
                <w:i w:val="0"/>
                <w:color w:val="FFFFFF"/>
                <w:sz w:val="18"/>
              </w:rPr>
              <w:t>Tipo de costo</w:t>
            </w:r>
          </w:p>
        </w:tc>
        <w:tc>
          <w:tcPr>
            <w:tcW w:type="dxa" w:w="3628"/>
            <w:shd w:fill="10263D" w:val="clear"/>
          </w:tcPr>
          <w:p>
            <w:pPr>
              <w:spacing w:after="0" w:before="0" w:line="240" w:lineRule="auto"/>
            </w:pPr>
            <w:r/>
            <w:r>
              <w:rPr>
                <w:rFonts w:ascii="Times New Roman" w:hAnsi="Times New Roman" w:cs="Times New Roman" w:eastAsia="Times New Roman"/>
                <w:b/>
                <w:i w:val="0"/>
                <w:color w:val="FFFFFF"/>
                <w:sz w:val="18"/>
              </w:rPr>
              <w:t>Ejemplo en el piloto</w:t>
            </w:r>
          </w:p>
        </w:tc>
        <w:tc>
          <w:tcPr>
            <w:tcW w:type="dxa" w:w="3628"/>
            <w:shd w:fill="10263D" w:val="clear"/>
          </w:tcPr>
          <w:p>
            <w:pPr>
              <w:spacing w:after="0" w:before="0" w:line="240" w:lineRule="auto"/>
            </w:pPr>
            <w:r/>
            <w:r>
              <w:rPr>
                <w:rFonts w:ascii="Times New Roman" w:hAnsi="Times New Roman" w:cs="Times New Roman" w:eastAsia="Times New Roman"/>
                <w:b/>
                <w:i w:val="0"/>
                <w:color w:val="FFFFFF"/>
                <w:sz w:val="18"/>
              </w:rPr>
              <w:t>Cómo se trata</w:t>
            </w:r>
          </w:p>
        </w:tc>
      </w:tr>
      <w:tr>
        <w:tc>
          <w:tcPr>
            <w:tcW w:type="dxa" w:w="1814"/>
          </w:tcPr>
          <w:p>
            <w:pPr>
              <w:spacing w:after="0" w:before="0" w:line="240" w:lineRule="auto"/>
            </w:pPr>
            <w:r/>
            <w:r>
              <w:rPr>
                <w:rFonts w:ascii="Times New Roman" w:hAnsi="Times New Roman" w:cs="Times New Roman" w:eastAsia="Times New Roman"/>
                <w:b w:val="0"/>
                <w:i w:val="0"/>
                <w:sz w:val="18"/>
              </w:rPr>
              <w:t>Fijo</w:t>
            </w:r>
          </w:p>
        </w:tc>
        <w:tc>
          <w:tcPr>
            <w:tcW w:type="dxa" w:w="3628"/>
          </w:tcPr>
          <w:p>
            <w:pPr>
              <w:spacing w:after="0" w:before="0" w:line="240" w:lineRule="auto"/>
            </w:pPr>
            <w:r/>
            <w:r>
              <w:rPr>
                <w:rFonts w:ascii="Times New Roman" w:hAnsi="Times New Roman" w:cs="Times New Roman" w:eastAsia="Times New Roman"/>
                <w:b w:val="0"/>
                <w:i w:val="0"/>
                <w:sz w:val="18"/>
              </w:rPr>
              <w:t>Remuneración de la directora (0,5 FTE × 3 meses)</w:t>
            </w:r>
          </w:p>
        </w:tc>
        <w:tc>
          <w:tcPr>
            <w:tcW w:type="dxa" w:w="3628"/>
          </w:tcPr>
          <w:p>
            <w:pPr>
              <w:spacing w:after="0" w:before="0" w:line="240" w:lineRule="auto"/>
            </w:pPr>
            <w:r/>
            <w:r>
              <w:rPr>
                <w:rFonts w:ascii="Times New Roman" w:hAnsi="Times New Roman" w:cs="Times New Roman" w:eastAsia="Times New Roman"/>
                <w:b w:val="0"/>
                <w:i w:val="0"/>
                <w:sz w:val="18"/>
              </w:rPr>
              <w:t>No se mueve con el número de kits. También es directo.</w:t>
            </w:r>
          </w:p>
        </w:tc>
      </w:tr>
      <w:tr>
        <w:tc>
          <w:tcPr>
            <w:tcW w:type="dxa" w:w="1814"/>
            <w:shd w:fill="F2F2F2" w:val="clear"/>
          </w:tcPr>
          <w:p>
            <w:pPr>
              <w:spacing w:after="0" w:before="0" w:line="240" w:lineRule="auto"/>
            </w:pPr>
            <w:r/>
            <w:r>
              <w:rPr>
                <w:rFonts w:ascii="Times New Roman" w:hAnsi="Times New Roman" w:cs="Times New Roman" w:eastAsia="Times New Roman"/>
                <w:b w:val="0"/>
                <w:i w:val="0"/>
                <w:sz w:val="18"/>
              </w:rPr>
              <w:t>Variable</w:t>
            </w:r>
          </w:p>
        </w:tc>
        <w:tc>
          <w:tcPr>
            <w:tcW w:type="dxa" w:w="3628"/>
            <w:shd w:fill="F2F2F2" w:val="clear"/>
          </w:tcPr>
          <w:p>
            <w:pPr>
              <w:spacing w:after="0" w:before="0" w:line="240" w:lineRule="auto"/>
            </w:pPr>
            <w:r/>
            <w:r>
              <w:rPr>
                <w:rFonts w:ascii="Times New Roman" w:hAnsi="Times New Roman" w:cs="Times New Roman" w:eastAsia="Times New Roman"/>
                <w:b w:val="0"/>
                <w:i w:val="0"/>
                <w:sz w:val="18"/>
              </w:rPr>
              <w:t>Hosting y horas de soporte local según uso</w:t>
            </w:r>
          </w:p>
        </w:tc>
        <w:tc>
          <w:tcPr>
            <w:tcW w:type="dxa" w:w="3628"/>
            <w:shd w:fill="F2F2F2" w:val="clear"/>
          </w:tcPr>
          <w:p>
            <w:pPr>
              <w:spacing w:after="0" w:before="0" w:line="240" w:lineRule="auto"/>
            </w:pPr>
            <w:r/>
            <w:r>
              <w:rPr>
                <w:rFonts w:ascii="Times New Roman" w:hAnsi="Times New Roman" w:cs="Times New Roman" w:eastAsia="Times New Roman"/>
                <w:b w:val="0"/>
                <w:i w:val="0"/>
                <w:sz w:val="18"/>
              </w:rPr>
              <w:t>Sube con el volumen; entra a la contingencia.</w:t>
            </w:r>
          </w:p>
        </w:tc>
      </w:tr>
      <w:tr>
        <w:tc>
          <w:tcPr>
            <w:tcW w:type="dxa" w:w="1814"/>
          </w:tcPr>
          <w:p>
            <w:pPr>
              <w:spacing w:after="0" w:before="0" w:line="240" w:lineRule="auto"/>
            </w:pPr>
            <w:r/>
            <w:r>
              <w:rPr>
                <w:rFonts w:ascii="Times New Roman" w:hAnsi="Times New Roman" w:cs="Times New Roman" w:eastAsia="Times New Roman"/>
                <w:b w:val="0"/>
                <w:i w:val="0"/>
                <w:sz w:val="18"/>
              </w:rPr>
              <w:t>Directo</w:t>
            </w:r>
          </w:p>
        </w:tc>
        <w:tc>
          <w:tcPr>
            <w:tcW w:type="dxa" w:w="3628"/>
          </w:tcPr>
          <w:p>
            <w:pPr>
              <w:spacing w:after="0" w:before="0" w:line="240" w:lineRule="auto"/>
            </w:pPr>
            <w:r/>
            <w:r>
              <w:rPr>
                <w:rFonts w:ascii="Times New Roman" w:hAnsi="Times New Roman" w:cs="Times New Roman" w:eastAsia="Times New Roman"/>
                <w:b w:val="0"/>
                <w:i w:val="0"/>
                <w:sz w:val="18"/>
              </w:rPr>
              <w:t>Equipo de desarrollo, nube del piloto, taller</w:t>
            </w:r>
          </w:p>
        </w:tc>
        <w:tc>
          <w:tcPr>
            <w:tcW w:type="dxa" w:w="3628"/>
          </w:tcPr>
          <w:p>
            <w:pPr>
              <w:spacing w:after="0" w:before="0" w:line="240" w:lineRule="auto"/>
            </w:pPr>
            <w:r/>
            <w:r>
              <w:rPr>
                <w:rFonts w:ascii="Times New Roman" w:hAnsi="Times New Roman" w:cs="Times New Roman" w:eastAsia="Times New Roman"/>
                <w:b w:val="0"/>
                <w:i w:val="0"/>
                <w:sz w:val="18"/>
              </w:rPr>
              <w:t>Se atribuye a este piloto (incluye lo fijo del equipo).</w:t>
            </w:r>
          </w:p>
        </w:tc>
      </w:tr>
      <w:tr>
        <w:tc>
          <w:tcPr>
            <w:tcW w:type="dxa" w:w="1814"/>
            <w:shd w:fill="F2F2F2" w:val="clear"/>
          </w:tcPr>
          <w:p>
            <w:pPr>
              <w:spacing w:after="0" w:before="0" w:line="240" w:lineRule="auto"/>
            </w:pPr>
            <w:r/>
            <w:r>
              <w:rPr>
                <w:rFonts w:ascii="Times New Roman" w:hAnsi="Times New Roman" w:cs="Times New Roman" w:eastAsia="Times New Roman"/>
                <w:b w:val="0"/>
                <w:i w:val="0"/>
                <w:sz w:val="18"/>
              </w:rPr>
              <w:t>Indirecto</w:t>
            </w:r>
          </w:p>
        </w:tc>
        <w:tc>
          <w:tcPr>
            <w:tcW w:type="dxa" w:w="3628"/>
            <w:shd w:fill="F2F2F2" w:val="clear"/>
          </w:tcPr>
          <w:p>
            <w:pPr>
              <w:spacing w:after="0" w:before="0" w:line="240" w:lineRule="auto"/>
            </w:pPr>
            <w:r/>
            <w:r>
              <w:rPr>
                <w:rFonts w:ascii="Times New Roman" w:hAnsi="Times New Roman" w:cs="Times New Roman" w:eastAsia="Times New Roman"/>
                <w:b w:val="0"/>
                <w:i w:val="0"/>
                <w:sz w:val="18"/>
              </w:rPr>
              <w:t>Cuota de administración / PMO de la empresa social</w:t>
            </w:r>
          </w:p>
        </w:tc>
        <w:tc>
          <w:tcPr>
            <w:tcW w:type="dxa" w:w="3628"/>
            <w:shd w:fill="F2F2F2" w:val="clear"/>
          </w:tcPr>
          <w:p>
            <w:pPr>
              <w:spacing w:after="0" w:before="0" w:line="240" w:lineRule="auto"/>
            </w:pPr>
            <w:r/>
            <w:r>
              <w:rPr>
                <w:rFonts w:ascii="Times New Roman" w:hAnsi="Times New Roman" w:cs="Times New Roman" w:eastAsia="Times New Roman"/>
                <w:b w:val="0"/>
                <w:i w:val="0"/>
                <w:sz w:val="18"/>
              </w:rPr>
              <w:t>Se prorratea; no es una partida extra del Gantt.</w:t>
            </w:r>
          </w:p>
        </w:tc>
      </w:tr>
      <w:tr>
        <w:tc>
          <w:tcPr>
            <w:tcW w:type="dxa" w:w="1814"/>
          </w:tcPr>
          <w:p>
            <w:pPr>
              <w:spacing w:after="0" w:before="0" w:line="240" w:lineRule="auto"/>
            </w:pPr>
            <w:r/>
            <w:r>
              <w:rPr>
                <w:rFonts w:ascii="Times New Roman" w:hAnsi="Times New Roman" w:cs="Times New Roman" w:eastAsia="Times New Roman"/>
                <w:b w:val="0"/>
                <w:i w:val="0"/>
                <w:sz w:val="18"/>
              </w:rPr>
              <w:t>De oportunidad</w:t>
            </w:r>
          </w:p>
        </w:tc>
        <w:tc>
          <w:tcPr>
            <w:tcW w:type="dxa" w:w="3628"/>
          </w:tcPr>
          <w:p>
            <w:pPr>
              <w:spacing w:after="0" w:before="0" w:line="240" w:lineRule="auto"/>
            </w:pPr>
            <w:r/>
            <w:r>
              <w:rPr>
                <w:rFonts w:ascii="Times New Roman" w:hAnsi="Times New Roman" w:cs="Times New Roman" w:eastAsia="Times New Roman"/>
                <w:b w:val="0"/>
                <w:i w:val="0"/>
                <w:sz w:val="18"/>
              </w:rPr>
              <w:t>No construir un módulo de cobro (excluido)</w:t>
            </w:r>
          </w:p>
        </w:tc>
        <w:tc>
          <w:tcPr>
            <w:tcW w:type="dxa" w:w="3628"/>
          </w:tcPr>
          <w:p>
            <w:pPr>
              <w:spacing w:after="0" w:before="0" w:line="240" w:lineRule="auto"/>
            </w:pPr>
            <w:r/>
            <w:r>
              <w:rPr>
                <w:rFonts w:ascii="Times New Roman" w:hAnsi="Times New Roman" w:cs="Times New Roman" w:eastAsia="Times New Roman"/>
                <w:b w:val="0"/>
                <w:i w:val="0"/>
                <w:sz w:val="18"/>
              </w:rPr>
              <w:t>Valor de la alternativa no elegida; no sale caja.</w:t>
            </w:r>
          </w:p>
        </w:tc>
      </w:tr>
      <w:tr>
        <w:tc>
          <w:tcPr>
            <w:tcW w:type="dxa" w:w="1814"/>
            <w:shd w:fill="F2F2F2" w:val="clear"/>
          </w:tcPr>
          <w:p>
            <w:pPr>
              <w:spacing w:after="0" w:before="0" w:line="240" w:lineRule="auto"/>
            </w:pPr>
            <w:r/>
            <w:r>
              <w:rPr>
                <w:rFonts w:ascii="Times New Roman" w:hAnsi="Times New Roman" w:cs="Times New Roman" w:eastAsia="Times New Roman"/>
                <w:b w:val="0"/>
                <w:i w:val="0"/>
                <w:sz w:val="18"/>
              </w:rPr>
              <w:t>Hundido</w:t>
            </w:r>
          </w:p>
        </w:tc>
        <w:tc>
          <w:tcPr>
            <w:tcW w:type="dxa" w:w="3628"/>
            <w:shd w:fill="F2F2F2" w:val="clear"/>
          </w:tcPr>
          <w:p>
            <w:pPr>
              <w:spacing w:after="0" w:before="0" w:line="240" w:lineRule="auto"/>
            </w:pPr>
            <w:r/>
            <w:r>
              <w:rPr>
                <w:rFonts w:ascii="Times New Roman" w:hAnsi="Times New Roman" w:cs="Times New Roman" w:eastAsia="Times New Roman"/>
                <w:b w:val="0"/>
                <w:i w:val="0"/>
                <w:sz w:val="18"/>
              </w:rPr>
              <w:t>Estudio de terreno ya pagado (US$ 2.800)</w:t>
            </w:r>
          </w:p>
        </w:tc>
        <w:tc>
          <w:tcPr>
            <w:tcW w:type="dxa" w:w="3628"/>
            <w:shd w:fill="F2F2F2" w:val="clear"/>
          </w:tcPr>
          <w:p>
            <w:pPr>
              <w:spacing w:after="0" w:before="0" w:line="240" w:lineRule="auto"/>
            </w:pPr>
            <w:r/>
            <w:r>
              <w:rPr>
                <w:rFonts w:ascii="Times New Roman" w:hAnsi="Times New Roman" w:cs="Times New Roman" w:eastAsia="Times New Roman"/>
                <w:b w:val="0"/>
                <w:i w:val="0"/>
                <w:sz w:val="18"/>
              </w:rPr>
              <w:t>Fuera del techo. No decide continuar o parar.</w:t>
            </w:r>
          </w:p>
        </w:tc>
      </w:tr>
    </w:tbl>
    <w:p>
      <w:pPr>
        <w:spacing w:after="80"/>
      </w:pPr>
    </w:p>
    <w:p>
      <w:pPr>
        <w:spacing w:before="40" w:after="160" w:line="240" w:lineRule="auto"/>
        <w:ind w:firstLine="0"/>
        <w:jc w:val="center"/>
      </w:pPr>
      <w:r>
        <w:rPr>
          <w:rFonts w:ascii="Times New Roman" w:hAnsi="Times New Roman" w:cs="Times New Roman" w:eastAsia="Times New Roman"/>
          <w:b w:val="0"/>
          <w:i/>
          <w:color w:val="444444"/>
          <w:sz w:val="18"/>
        </w:rPr>
        <w:t>Tabla 9. Clasificación de costos: un mismo gasto puede ser, a la vez, fijo y directo. Las filas no se suman entre sí. Techo autorizado: US$ 20.700 (base del piloto + 12 % de contingencia = US$ 1.890). Hundidos excluidos.</w:t>
      </w:r>
    </w:p>
    <w:p>
      <w:pPr>
        <w:spacing w:line="276" w:lineRule="auto" w:before="200" w:after="80"/>
        <w:ind w:firstLine="0"/>
        <w:jc w:val="left"/>
        <w:pBdr>
          <w:bottom w:val="single" w:sz="8" w:space="6" w:color="10263D"/>
        </w:pBdr>
      </w:pPr>
      <w:r>
        <w:rPr>
          <w:rFonts w:ascii="Times New Roman" w:hAnsi="Times New Roman" w:cs="Times New Roman" w:eastAsia="Times New Roman"/>
          <w:b/>
          <w:i w:val="0"/>
          <w:color w:val="10263D"/>
          <w:sz w:val="26"/>
        </w:rPr>
        <w:t>4. Factores ambientales, estándares e impacto en el caso</w:t>
      </w:r>
    </w:p>
    <w:p>
      <w:pPr>
        <w:spacing w:line="360" w:lineRule="auto" w:after="120" w:before="0"/>
        <w:ind w:firstLine="425"/>
        <w:jc w:val="both"/>
      </w:pPr>
      <w:r>
        <w:rPr>
          <w:rFonts w:ascii="Times New Roman" w:hAnsi="Times New Roman" w:cs="Times New Roman" w:eastAsia="Times New Roman"/>
          <w:b w:val="0"/>
          <w:i w:val="0"/>
          <w:sz w:val="24"/>
        </w:rPr>
        <w:t>Hay condiciones que este equipo no maneja y igual entran al plan: la fecha que pide un donante, la señal del pueblo, los datos de una familia. El PMBOK 6.ª las llama factores ambientales de la empresa, o EEF (PMI, 2017). Por dentro nos aprietan el tamaño del equipo, una nube que todavía no es de la organización y una estructura donde conviven empresa social, partner y desarrollo. Por fuera, el financiamiento mixto, la distancia con la comunidad y el marco de privacidad. Lo que sí podemos usar (plantillas de acta y EDT, Trello y este documento) son activos de la organización (OPA). Un donante que adelanta el reporte comprime la actividad 5.4. Un técnico que no carga datos rompe la 2.3 y, con ella, toda la ruta crítica. Por eso los canales se declaran ahora, no al cierre.</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2494"/>
            <w:shd w:fill="10263D" w:val="clear"/>
          </w:tcPr>
          <w:p>
            <w:pPr>
              <w:spacing w:after="0" w:before="0" w:line="240" w:lineRule="auto"/>
            </w:pPr>
            <w:r/>
            <w:r>
              <w:rPr>
                <w:rFonts w:ascii="Times New Roman" w:hAnsi="Times New Roman" w:cs="Times New Roman" w:eastAsia="Times New Roman"/>
                <w:b/>
                <w:i w:val="0"/>
                <w:color w:val="FFFFFF"/>
                <w:sz w:val="18"/>
              </w:rPr>
              <w:t>Factor o estándar</w:t>
            </w:r>
          </w:p>
        </w:tc>
        <w:tc>
          <w:tcPr>
            <w:tcW w:type="dxa" w:w="1814"/>
            <w:shd w:fill="10263D" w:val="clear"/>
          </w:tcPr>
          <w:p>
            <w:pPr>
              <w:spacing w:after="0" w:before="0" w:line="240" w:lineRule="auto"/>
            </w:pPr>
            <w:r/>
            <w:r>
              <w:rPr>
                <w:rFonts w:ascii="Times New Roman" w:hAnsi="Times New Roman" w:cs="Times New Roman" w:eastAsia="Times New Roman"/>
                <w:b/>
                <w:i w:val="0"/>
                <w:color w:val="FFFFFF"/>
                <w:sz w:val="18"/>
              </w:rPr>
              <w:t>Tipo</w:t>
            </w:r>
          </w:p>
        </w:tc>
        <w:tc>
          <w:tcPr>
            <w:tcW w:type="dxa" w:w="4762"/>
            <w:shd w:fill="10263D" w:val="clear"/>
          </w:tcPr>
          <w:p>
            <w:pPr>
              <w:spacing w:after="0" w:before="0" w:line="240" w:lineRule="auto"/>
            </w:pPr>
            <w:r/>
            <w:r>
              <w:rPr>
                <w:rFonts w:ascii="Times New Roman" w:hAnsi="Times New Roman" w:cs="Times New Roman" w:eastAsia="Times New Roman"/>
                <w:b/>
                <w:i w:val="0"/>
                <w:color w:val="FFFFFF"/>
                <w:sz w:val="18"/>
              </w:rPr>
              <w:t>Impacto concreto en el piloto</w:t>
            </w:r>
          </w:p>
        </w:tc>
      </w:tr>
      <w:tr>
        <w:tc>
          <w:tcPr>
            <w:tcW w:type="dxa" w:w="2494"/>
          </w:tcPr>
          <w:p>
            <w:pPr>
              <w:spacing w:after="0" w:before="0" w:line="240" w:lineRule="auto"/>
            </w:pPr>
            <w:r/>
            <w:r>
              <w:rPr>
                <w:rFonts w:ascii="Times New Roman" w:hAnsi="Times New Roman" w:cs="Times New Roman" w:eastAsia="Times New Roman"/>
                <w:b w:val="0"/>
                <w:i w:val="0"/>
                <w:sz w:val="18"/>
              </w:rPr>
              <w:t>Financiamiento mixto (inversores + subvención)</w:t>
            </w:r>
          </w:p>
        </w:tc>
        <w:tc>
          <w:tcPr>
            <w:tcW w:type="dxa" w:w="1814"/>
          </w:tcPr>
          <w:p>
            <w:pPr>
              <w:spacing w:after="0" w:before="0" w:line="240" w:lineRule="auto"/>
            </w:pPr>
            <w:r/>
            <w:r>
              <w:rPr>
                <w:rFonts w:ascii="Times New Roman" w:hAnsi="Times New Roman" w:cs="Times New Roman" w:eastAsia="Times New Roman"/>
                <w:b w:val="0"/>
                <w:i w:val="0"/>
                <w:sz w:val="18"/>
              </w:rPr>
              <w:t>EEF externo financiero</w:t>
            </w:r>
          </w:p>
        </w:tc>
        <w:tc>
          <w:tcPr>
            <w:tcW w:type="dxa" w:w="4762"/>
          </w:tcPr>
          <w:p>
            <w:pPr>
              <w:spacing w:after="0" w:before="0" w:line="240" w:lineRule="auto"/>
            </w:pPr>
            <w:r/>
            <w:r>
              <w:rPr>
                <w:rFonts w:ascii="Times New Roman" w:hAnsi="Times New Roman" w:cs="Times New Roman" w:eastAsia="Times New Roman"/>
                <w:b w:val="0"/>
                <w:i w:val="0"/>
                <w:sz w:val="18"/>
              </w:rPr>
              <w:t>Hitos de reporte 8.4 inamovibles: el cronograma se diseña hacia esa fecha, no al revés.</w:t>
            </w:r>
          </w:p>
        </w:tc>
      </w:tr>
      <w:tr>
        <w:tc>
          <w:tcPr>
            <w:tcW w:type="dxa" w:w="2494"/>
            <w:shd w:fill="F2F2F2" w:val="clear"/>
          </w:tcPr>
          <w:p>
            <w:pPr>
              <w:spacing w:after="0" w:before="0" w:line="240" w:lineRule="auto"/>
            </w:pPr>
            <w:r/>
            <w:r>
              <w:rPr>
                <w:rFonts w:ascii="Times New Roman" w:hAnsi="Times New Roman" w:cs="Times New Roman" w:eastAsia="Times New Roman"/>
                <w:b w:val="0"/>
                <w:i w:val="0"/>
                <w:sz w:val="18"/>
              </w:rPr>
              <w:t>Cultura comunitaria e idioma</w:t>
            </w:r>
          </w:p>
        </w:tc>
        <w:tc>
          <w:tcPr>
            <w:tcW w:type="dxa" w:w="1814"/>
            <w:shd w:fill="F2F2F2" w:val="clear"/>
          </w:tcPr>
          <w:p>
            <w:pPr>
              <w:spacing w:after="0" w:before="0" w:line="240" w:lineRule="auto"/>
            </w:pPr>
            <w:r/>
            <w:r>
              <w:rPr>
                <w:rFonts w:ascii="Times New Roman" w:hAnsi="Times New Roman" w:cs="Times New Roman" w:eastAsia="Times New Roman"/>
                <w:b w:val="0"/>
                <w:i w:val="0"/>
                <w:sz w:val="18"/>
              </w:rPr>
              <w:t>EEF externo social</w:t>
            </w:r>
          </w:p>
        </w:tc>
        <w:tc>
          <w:tcPr>
            <w:tcW w:type="dxa" w:w="4762"/>
            <w:shd w:fill="F2F2F2" w:val="clear"/>
          </w:tcPr>
          <w:p>
            <w:pPr>
              <w:spacing w:after="0" w:before="0" w:line="240" w:lineRule="auto"/>
            </w:pPr>
            <w:r/>
            <w:r>
              <w:rPr>
                <w:rFonts w:ascii="Times New Roman" w:hAnsi="Times New Roman" w:cs="Times New Roman" w:eastAsia="Times New Roman"/>
                <w:b w:val="0"/>
                <w:i w:val="0"/>
                <w:sz w:val="18"/>
              </w:rPr>
              <w:t>Interfaz simple, pocos campos, capacitación 7.x. No se asume una inducción de aplicación urbana.</w:t>
            </w:r>
          </w:p>
        </w:tc>
      </w:tr>
      <w:tr>
        <w:tc>
          <w:tcPr>
            <w:tcW w:type="dxa" w:w="2494"/>
          </w:tcPr>
          <w:p>
            <w:pPr>
              <w:spacing w:after="0" w:before="0" w:line="240" w:lineRule="auto"/>
            </w:pPr>
            <w:r/>
            <w:r>
              <w:rPr>
                <w:rFonts w:ascii="Times New Roman" w:hAnsi="Times New Roman" w:cs="Times New Roman" w:eastAsia="Times New Roman"/>
                <w:b w:val="0"/>
                <w:i w:val="0"/>
                <w:sz w:val="18"/>
              </w:rPr>
              <w:t>Conectividad irregular</w:t>
            </w:r>
          </w:p>
        </w:tc>
        <w:tc>
          <w:tcPr>
            <w:tcW w:type="dxa" w:w="1814"/>
          </w:tcPr>
          <w:p>
            <w:pPr>
              <w:spacing w:after="0" w:before="0" w:line="240" w:lineRule="auto"/>
            </w:pPr>
            <w:r/>
            <w:r>
              <w:rPr>
                <w:rFonts w:ascii="Times New Roman" w:hAnsi="Times New Roman" w:cs="Times New Roman" w:eastAsia="Times New Roman"/>
                <w:b w:val="0"/>
                <w:i w:val="0"/>
                <w:sz w:val="18"/>
              </w:rPr>
              <w:t>EEF físico</w:t>
            </w:r>
          </w:p>
        </w:tc>
        <w:tc>
          <w:tcPr>
            <w:tcW w:type="dxa" w:w="4762"/>
          </w:tcPr>
          <w:p>
            <w:pPr>
              <w:spacing w:after="0" w:before="0" w:line="240" w:lineRule="auto"/>
            </w:pPr>
            <w:r/>
            <w:r>
              <w:rPr>
                <w:rFonts w:ascii="Times New Roman" w:hAnsi="Times New Roman" w:cs="Times New Roman" w:eastAsia="Times New Roman"/>
                <w:b w:val="0"/>
                <w:i w:val="0"/>
                <w:sz w:val="18"/>
              </w:rPr>
              <w:t>Carga por lotes; si cae la red, el inventario miente y se rompe la ruta crítica.</w:t>
            </w:r>
          </w:p>
        </w:tc>
      </w:tr>
      <w:tr>
        <w:tc>
          <w:tcPr>
            <w:tcW w:type="dxa" w:w="2494"/>
            <w:shd w:fill="F2F2F2" w:val="clear"/>
          </w:tcPr>
          <w:p>
            <w:pPr>
              <w:spacing w:after="0" w:before="0" w:line="240" w:lineRule="auto"/>
            </w:pPr>
            <w:r/>
            <w:r>
              <w:rPr>
                <w:rFonts w:ascii="Times New Roman" w:hAnsi="Times New Roman" w:cs="Times New Roman" w:eastAsia="Times New Roman"/>
                <w:b w:val="0"/>
                <w:i w:val="0"/>
                <w:sz w:val="18"/>
              </w:rPr>
              <w:t>Nube y costos variables</w:t>
            </w:r>
          </w:p>
        </w:tc>
        <w:tc>
          <w:tcPr>
            <w:tcW w:type="dxa" w:w="1814"/>
            <w:shd w:fill="F2F2F2" w:val="clear"/>
          </w:tcPr>
          <w:p>
            <w:pPr>
              <w:spacing w:after="0" w:before="0" w:line="240" w:lineRule="auto"/>
            </w:pPr>
            <w:r/>
            <w:r>
              <w:rPr>
                <w:rFonts w:ascii="Times New Roman" w:hAnsi="Times New Roman" w:cs="Times New Roman" w:eastAsia="Times New Roman"/>
                <w:b w:val="0"/>
                <w:i w:val="0"/>
                <w:sz w:val="18"/>
              </w:rPr>
              <w:t>EEF tecnológico</w:t>
            </w:r>
          </w:p>
        </w:tc>
        <w:tc>
          <w:tcPr>
            <w:tcW w:type="dxa" w:w="4762"/>
            <w:shd w:fill="F2F2F2" w:val="clear"/>
          </w:tcPr>
          <w:p>
            <w:pPr>
              <w:spacing w:after="0" w:before="0" w:line="240" w:lineRule="auto"/>
            </w:pPr>
            <w:r/>
            <w:r>
              <w:rPr>
                <w:rFonts w:ascii="Times New Roman" w:hAnsi="Times New Roman" w:cs="Times New Roman" w:eastAsia="Times New Roman"/>
                <w:b w:val="0"/>
                <w:i w:val="0"/>
                <w:sz w:val="18"/>
              </w:rPr>
              <w:t>Se escala sin comprar servidores, pero el hosting sube con el uso y depende de señal.</w:t>
            </w:r>
          </w:p>
        </w:tc>
      </w:tr>
      <w:tr>
        <w:tc>
          <w:tcPr>
            <w:tcW w:type="dxa" w:w="2494"/>
          </w:tcPr>
          <w:p>
            <w:pPr>
              <w:spacing w:after="0" w:before="0" w:line="240" w:lineRule="auto"/>
            </w:pPr>
            <w:r/>
            <w:r>
              <w:rPr>
                <w:rFonts w:ascii="Times New Roman" w:hAnsi="Times New Roman" w:cs="Times New Roman" w:eastAsia="Times New Roman"/>
                <w:b w:val="0"/>
                <w:i w:val="0"/>
                <w:sz w:val="18"/>
              </w:rPr>
              <w:t>Datos de hogares</w:t>
            </w:r>
          </w:p>
        </w:tc>
        <w:tc>
          <w:tcPr>
            <w:tcW w:type="dxa" w:w="1814"/>
          </w:tcPr>
          <w:p>
            <w:pPr>
              <w:spacing w:after="0" w:before="0" w:line="240" w:lineRule="auto"/>
            </w:pPr>
            <w:r/>
            <w:r>
              <w:rPr>
                <w:rFonts w:ascii="Times New Roman" w:hAnsi="Times New Roman" w:cs="Times New Roman" w:eastAsia="Times New Roman"/>
                <w:b w:val="0"/>
                <w:i w:val="0"/>
                <w:sz w:val="18"/>
              </w:rPr>
              <w:t>EEF legal</w:t>
            </w:r>
          </w:p>
        </w:tc>
        <w:tc>
          <w:tcPr>
            <w:tcW w:type="dxa" w:w="4762"/>
          </w:tcPr>
          <w:p>
            <w:pPr>
              <w:spacing w:after="0" w:before="0" w:line="240" w:lineRule="auto"/>
            </w:pPr>
            <w:r/>
            <w:r>
              <w:rPr>
                <w:rFonts w:ascii="Times New Roman" w:hAnsi="Times New Roman" w:cs="Times New Roman" w:eastAsia="Times New Roman"/>
                <w:b w:val="0"/>
                <w:i w:val="0"/>
                <w:sz w:val="18"/>
              </w:rPr>
              <w:t>Minimizar datos, roles 6.1 y tratamiento 6.2; alineación con ISO/IEC 27701.</w:t>
            </w:r>
          </w:p>
        </w:tc>
      </w:tr>
      <w:tr>
        <w:tc>
          <w:tcPr>
            <w:tcW w:type="dxa" w:w="2494"/>
            <w:shd w:fill="F2F2F2" w:val="clear"/>
          </w:tcPr>
          <w:p>
            <w:pPr>
              <w:spacing w:after="0" w:before="0" w:line="240" w:lineRule="auto"/>
            </w:pPr>
            <w:r/>
            <w:r>
              <w:rPr>
                <w:rFonts w:ascii="Times New Roman" w:hAnsi="Times New Roman" w:cs="Times New Roman" w:eastAsia="Times New Roman"/>
                <w:b w:val="0"/>
                <w:i w:val="0"/>
                <w:sz w:val="18"/>
              </w:rPr>
              <w:t>PMBOK 6.ª</w:t>
            </w:r>
          </w:p>
        </w:tc>
        <w:tc>
          <w:tcPr>
            <w:tcW w:type="dxa" w:w="1814"/>
            <w:shd w:fill="F2F2F2" w:val="clear"/>
          </w:tcPr>
          <w:p>
            <w:pPr>
              <w:spacing w:after="0" w:before="0" w:line="240" w:lineRule="auto"/>
            </w:pPr>
            <w:r/>
            <w:r>
              <w:rPr>
                <w:rFonts w:ascii="Times New Roman" w:hAnsi="Times New Roman" w:cs="Times New Roman" w:eastAsia="Times New Roman"/>
                <w:b w:val="0"/>
                <w:i w:val="0"/>
                <w:sz w:val="18"/>
              </w:rPr>
              <w:t>Estándar de dirección</w:t>
            </w:r>
          </w:p>
        </w:tc>
        <w:tc>
          <w:tcPr>
            <w:tcW w:type="dxa" w:w="4762"/>
            <w:shd w:fill="F2F2F2" w:val="clear"/>
          </w:tcPr>
          <w:p>
            <w:pPr>
              <w:spacing w:after="0" w:before="0" w:line="240" w:lineRule="auto"/>
            </w:pPr>
            <w:r/>
            <w:r>
              <w:rPr>
                <w:rFonts w:ascii="Times New Roman" w:hAnsi="Times New Roman" w:cs="Times New Roman" w:eastAsia="Times New Roman"/>
                <w:b w:val="0"/>
                <w:i w:val="0"/>
                <w:sz w:val="18"/>
              </w:rPr>
              <w:t>Acta, EDT, CPM, interesados y línea base. Dirige el proyecto, no la operación diaria.</w:t>
            </w:r>
          </w:p>
        </w:tc>
      </w:tr>
      <w:tr>
        <w:tc>
          <w:tcPr>
            <w:tcW w:type="dxa" w:w="2494"/>
          </w:tcPr>
          <w:p>
            <w:pPr>
              <w:spacing w:after="0" w:before="0" w:line="240" w:lineRule="auto"/>
            </w:pPr>
            <w:r/>
            <w:r>
              <w:rPr>
                <w:rFonts w:ascii="Times New Roman" w:hAnsi="Times New Roman" w:cs="Times New Roman" w:eastAsia="Times New Roman"/>
                <w:b w:val="0"/>
                <w:i w:val="0"/>
                <w:sz w:val="18"/>
              </w:rPr>
              <w:t>CMMI</w:t>
            </w:r>
          </w:p>
        </w:tc>
        <w:tc>
          <w:tcPr>
            <w:tcW w:type="dxa" w:w="1814"/>
          </w:tcPr>
          <w:p>
            <w:pPr>
              <w:spacing w:after="0" w:before="0" w:line="240" w:lineRule="auto"/>
            </w:pPr>
            <w:r/>
            <w:r>
              <w:rPr>
                <w:rFonts w:ascii="Times New Roman" w:hAnsi="Times New Roman" w:cs="Times New Roman" w:eastAsia="Times New Roman"/>
                <w:b w:val="0"/>
                <w:i w:val="0"/>
                <w:sz w:val="18"/>
              </w:rPr>
              <w:t>Madurez de procesos</w:t>
            </w:r>
          </w:p>
        </w:tc>
        <w:tc>
          <w:tcPr>
            <w:tcW w:type="dxa" w:w="4762"/>
          </w:tcPr>
          <w:p>
            <w:pPr>
              <w:spacing w:after="0" w:before="0" w:line="240" w:lineRule="auto"/>
            </w:pPr>
            <w:r/>
            <w:r>
              <w:rPr>
                <w:rFonts w:ascii="Times New Roman" w:hAnsi="Times New Roman" w:cs="Times New Roman" w:eastAsia="Times New Roman"/>
                <w:b w:val="0"/>
                <w:i w:val="0"/>
                <w:sz w:val="18"/>
              </w:rPr>
              <w:t>El piloto apunta a disciplina básica (plan, evidencias), no a un nivel 4 o 5.</w:t>
            </w:r>
          </w:p>
        </w:tc>
      </w:tr>
      <w:tr>
        <w:tc>
          <w:tcPr>
            <w:tcW w:type="dxa" w:w="2494"/>
            <w:shd w:fill="F2F2F2" w:val="clear"/>
          </w:tcPr>
          <w:p>
            <w:pPr>
              <w:spacing w:after="0" w:before="0" w:line="240" w:lineRule="auto"/>
            </w:pPr>
            <w:r/>
            <w:r>
              <w:rPr>
                <w:rFonts w:ascii="Times New Roman" w:hAnsi="Times New Roman" w:cs="Times New Roman" w:eastAsia="Times New Roman"/>
                <w:b w:val="0"/>
                <w:i w:val="0"/>
                <w:sz w:val="18"/>
              </w:rPr>
              <w:t>ITIL 4</w:t>
            </w:r>
          </w:p>
        </w:tc>
        <w:tc>
          <w:tcPr>
            <w:tcW w:type="dxa" w:w="1814"/>
            <w:shd w:fill="F2F2F2" w:val="clear"/>
          </w:tcPr>
          <w:p>
            <w:pPr>
              <w:spacing w:after="0" w:before="0" w:line="240" w:lineRule="auto"/>
            </w:pPr>
            <w:r/>
            <w:r>
              <w:rPr>
                <w:rFonts w:ascii="Times New Roman" w:hAnsi="Times New Roman" w:cs="Times New Roman" w:eastAsia="Times New Roman"/>
                <w:b w:val="0"/>
                <w:i w:val="0"/>
                <w:sz w:val="18"/>
              </w:rPr>
              <w:t>Gestión de servicio</w:t>
            </w:r>
          </w:p>
        </w:tc>
        <w:tc>
          <w:tcPr>
            <w:tcW w:type="dxa" w:w="4762"/>
            <w:shd w:fill="F2F2F2" w:val="clear"/>
          </w:tcPr>
          <w:p>
            <w:pPr>
              <w:spacing w:after="0" w:before="0" w:line="240" w:lineRule="auto"/>
            </w:pPr>
            <w:r/>
            <w:r>
              <w:rPr>
                <w:rFonts w:ascii="Times New Roman" w:hAnsi="Times New Roman" w:cs="Times New Roman" w:eastAsia="Times New Roman"/>
                <w:b w:val="0"/>
                <w:i w:val="0"/>
                <w:sz w:val="18"/>
              </w:rPr>
              <w:t>El módulo de tickets se diseña como incidente/mantención, no como formulario suelto.</w:t>
            </w:r>
          </w:p>
        </w:tc>
      </w:tr>
      <w:tr>
        <w:tc>
          <w:tcPr>
            <w:tcW w:type="dxa" w:w="2494"/>
          </w:tcPr>
          <w:p>
            <w:pPr>
              <w:spacing w:after="0" w:before="0" w:line="240" w:lineRule="auto"/>
            </w:pPr>
            <w:r/>
            <w:r>
              <w:rPr>
                <w:rFonts w:ascii="Times New Roman" w:hAnsi="Times New Roman" w:cs="Times New Roman" w:eastAsia="Times New Roman"/>
                <w:b w:val="0"/>
                <w:i w:val="0"/>
                <w:sz w:val="18"/>
              </w:rPr>
              <w:t>COBIT</w:t>
            </w:r>
          </w:p>
        </w:tc>
        <w:tc>
          <w:tcPr>
            <w:tcW w:type="dxa" w:w="1814"/>
          </w:tcPr>
          <w:p>
            <w:pPr>
              <w:spacing w:after="0" w:before="0" w:line="240" w:lineRule="auto"/>
            </w:pPr>
            <w:r/>
            <w:r>
              <w:rPr>
                <w:rFonts w:ascii="Times New Roman" w:hAnsi="Times New Roman" w:cs="Times New Roman" w:eastAsia="Times New Roman"/>
                <w:b w:val="0"/>
                <w:i w:val="0"/>
                <w:sz w:val="18"/>
              </w:rPr>
              <w:t>Gobierno de TI</w:t>
            </w:r>
          </w:p>
        </w:tc>
        <w:tc>
          <w:tcPr>
            <w:tcW w:type="dxa" w:w="4762"/>
          </w:tcPr>
          <w:p>
            <w:pPr>
              <w:spacing w:after="0" w:before="0" w:line="240" w:lineRule="auto"/>
            </w:pPr>
            <w:r/>
            <w:r>
              <w:rPr>
                <w:rFonts w:ascii="Times New Roman" w:hAnsi="Times New Roman" w:cs="Times New Roman" w:eastAsia="Times New Roman"/>
                <w:b w:val="0"/>
                <w:i w:val="0"/>
                <w:sz w:val="18"/>
              </w:rPr>
              <w:t>Quién aprueba accesos y reportes hacia inversores. Evita que una sola persona de sistemas decida sola.</w:t>
            </w:r>
          </w:p>
        </w:tc>
      </w:tr>
    </w:tbl>
    <w:p>
      <w:pPr>
        <w:spacing w:after="80"/>
      </w:pPr>
    </w:p>
    <w:p>
      <w:pPr>
        <w:spacing w:before="40" w:after="160" w:line="240" w:lineRule="auto"/>
        <w:ind w:firstLine="0"/>
        <w:jc w:val="center"/>
      </w:pPr>
      <w:r>
        <w:rPr>
          <w:rFonts w:ascii="Times New Roman" w:hAnsi="Times New Roman" w:cs="Times New Roman" w:eastAsia="Times New Roman"/>
          <w:b w:val="0"/>
          <w:i/>
          <w:color w:val="444444"/>
          <w:sz w:val="18"/>
        </w:rPr>
        <w:t>Tabla 10. Cada factor se traduce en una decisión del plan, no en una lista.</w:t>
      </w:r>
    </w:p>
    <w:p>
      <w:pPr>
        <w:spacing w:line="360" w:lineRule="auto" w:after="120" w:before="0"/>
        <w:ind w:firstLine="425"/>
        <w:jc w:val="both"/>
      </w:pPr>
      <w:r>
        <w:rPr>
          <w:rFonts w:ascii="Times New Roman" w:hAnsi="Times New Roman" w:cs="Times New Roman" w:eastAsia="Times New Roman"/>
          <w:b w:val="0"/>
          <w:i w:val="0"/>
          <w:sz w:val="24"/>
        </w:rPr>
        <w:t>No usamos un estándar para todo. PMBOK nos sirve para planificar el piloto. CMMI sirve para que cargar un kit no dependa de que alguien se acuerde. ITIL sirve para tratar el ticket como un incidente y no como un formulario suelto (Baud, 2020). COBIT sirve para que un acceso hacia inversores no lo decida una sola persona. Los datos de hogares se minimizan: qué se guarda, dónde, quién entra y qué sale en el reporte, alineado con ISO/IEC 27701.</w:t>
      </w:r>
    </w:p>
    <w:p>
      <w:pPr>
        <w:spacing w:line="276" w:lineRule="auto" w:before="200" w:after="80"/>
        <w:ind w:firstLine="0"/>
        <w:jc w:val="left"/>
        <w:pBdr>
          <w:bottom w:val="single" w:sz="8" w:space="6" w:color="10263D"/>
        </w:pBdr>
      </w:pPr>
      <w:r>
        <w:rPr>
          <w:rFonts w:ascii="Times New Roman" w:hAnsi="Times New Roman" w:cs="Times New Roman" w:eastAsia="Times New Roman"/>
          <w:b/>
          <w:i w:val="0"/>
          <w:color w:val="10263D"/>
          <w:sz w:val="26"/>
        </w:rPr>
        <w:t>5. Estrategia de planificación e integración a la organización</w:t>
      </w:r>
    </w:p>
    <w:p>
      <w:pPr>
        <w:spacing w:line="360" w:lineRule="auto" w:after="120" w:before="0"/>
        <w:ind w:firstLine="425"/>
        <w:jc w:val="both"/>
      </w:pPr>
      <w:r>
        <w:rPr>
          <w:rFonts w:ascii="Times New Roman" w:hAnsi="Times New Roman" w:cs="Times New Roman" w:eastAsia="Times New Roman"/>
          <w:b w:val="0"/>
          <w:i w:val="0"/>
          <w:sz w:val="24"/>
        </w:rPr>
        <w:t>Planificar todo en cascada dejaría inventado, en septiembre, un flujo que el técnico va a corregir en noviembre. Planificar todo en iteraciones cortas pondría en duda, cada semana, los estados del kit y la fecha del reporte. Esta organización no puede permitirse ni lo uno ni lo otro. El enfoque es híbrido (Wysocki, 2019).</w:t>
      </w:r>
    </w:p>
    <w:p>
      <w:pPr>
        <w:spacing w:line="360" w:lineRule="auto" w:after="120" w:before="0"/>
        <w:ind w:firstLine="425"/>
        <w:jc w:val="both"/>
      </w:pPr>
      <w:r>
        <w:rPr>
          <w:rFonts w:ascii="Times New Roman" w:hAnsi="Times New Roman" w:cs="Times New Roman" w:eastAsia="Times New Roman"/>
          <w:b w:val="0"/>
          <w:i w:val="0"/>
          <w:sz w:val="24"/>
        </w:rPr>
        <w:t>Se congela lo que no puede descubrirse de nuevo: inventario y estados (cuenta 2), roles y privacidad (cuenta 6) y el calendario de donantes (hitos 8.4 y 8.5). Se itera lo que se aprende en terreno: pantallas del tablero (cuenta 3) y flujo de tickets (cuenta 4). La dirección (cuenta 1) integra ambas capas: Project Libre sostiene la línea base; Scrum opera el aprendizaje (SCRUMstudy, 2023). Sprint 0 es práctica de industria en híbrido (sprint habilitador: acta, inventario, privacidad, ambiente); la Guía Scrum no lo nombra y aquí se declara con ese nombre. S1 a S4 entregan incremento de tablero y tickets, comprometiendo 8 de 10 días: el 20 % libre es reserva de capacidad. Un estado nuevo del kit no entra como tarjeta en Trello: es control de cambios sobre la línea base (PMI, 2017; Wysocki, 2019).</w:t>
      </w:r>
    </w:p>
    <w:p>
      <w:pPr>
        <w:spacing w:line="360" w:lineRule="auto" w:after="120" w:before="0"/>
        <w:ind w:firstLine="425"/>
        <w:jc w:val="both"/>
      </w:pPr>
      <w:r>
        <w:rPr>
          <w:rFonts w:ascii="Times New Roman" w:hAnsi="Times New Roman" w:cs="Times New Roman" w:eastAsia="Times New Roman"/>
          <w:b w:val="0"/>
          <w:i w:val="0"/>
          <w:sz w:val="24"/>
        </w:rPr>
        <w:t>En la capa adaptativa Giannina actúa como Product Owner (ordena el backlog). Skarlett como Scrum Master (quita impedimentos). Nicolás, Ari y el frontend construyen el incremento. Planning el día 1, daily de quince minutos, review y retrospectiva el último día, también en Sprint 0. El review de Sprint 0 pregunta si S1 puede partir sin dato desactualizado. El piloto se mete en una empresa rápida en el pueblo y estricta con plata ajena: hitos para inversores, roles de acceso y traspaso al soporte local. El 9 de diciembre Kiran queda con un responsable de operación en terreno.</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1814"/>
            <w:shd w:fill="10263D" w:val="clear"/>
          </w:tcPr>
          <w:p>
            <w:pPr>
              <w:spacing w:after="0" w:before="0" w:line="240" w:lineRule="auto"/>
            </w:pPr>
            <w:r/>
            <w:r>
              <w:rPr>
                <w:rFonts w:ascii="Times New Roman" w:hAnsi="Times New Roman" w:cs="Times New Roman" w:eastAsia="Times New Roman"/>
                <w:b/>
                <w:i w:val="0"/>
                <w:color w:val="FFFFFF"/>
                <w:sz w:val="18"/>
              </w:rPr>
              <w:t>Sprint</w:t>
            </w:r>
          </w:p>
        </w:tc>
        <w:tc>
          <w:tcPr>
            <w:tcW w:type="dxa" w:w="1928"/>
            <w:shd w:fill="10263D" w:val="clear"/>
          </w:tcPr>
          <w:p>
            <w:pPr>
              <w:spacing w:after="0" w:before="0" w:line="240" w:lineRule="auto"/>
            </w:pPr>
            <w:r/>
            <w:r>
              <w:rPr>
                <w:rFonts w:ascii="Times New Roman" w:hAnsi="Times New Roman" w:cs="Times New Roman" w:eastAsia="Times New Roman"/>
                <w:b/>
                <w:i w:val="0"/>
                <w:color w:val="FFFFFF"/>
                <w:sz w:val="18"/>
              </w:rPr>
              <w:t>Fechas</w:t>
            </w:r>
          </w:p>
        </w:tc>
        <w:tc>
          <w:tcPr>
            <w:tcW w:type="dxa" w:w="3288"/>
            <w:shd w:fill="10263D" w:val="clear"/>
          </w:tcPr>
          <w:p>
            <w:pPr>
              <w:spacing w:after="0" w:before="0" w:line="240" w:lineRule="auto"/>
            </w:pPr>
            <w:r/>
            <w:r>
              <w:rPr>
                <w:rFonts w:ascii="Times New Roman" w:hAnsi="Times New Roman" w:cs="Times New Roman" w:eastAsia="Times New Roman"/>
                <w:b/>
                <w:i w:val="0"/>
                <w:color w:val="FFFFFF"/>
                <w:sz w:val="18"/>
              </w:rPr>
              <w:t>Incremento usable</w:t>
            </w:r>
          </w:p>
        </w:tc>
        <w:tc>
          <w:tcPr>
            <w:tcW w:type="dxa" w:w="2041"/>
            <w:shd w:fill="10263D" w:val="clear"/>
          </w:tcPr>
          <w:p>
            <w:pPr>
              <w:spacing w:after="0" w:before="0" w:line="240" w:lineRule="auto"/>
            </w:pPr>
            <w:r/>
            <w:r>
              <w:rPr>
                <w:rFonts w:ascii="Times New Roman" w:hAnsi="Times New Roman" w:cs="Times New Roman" w:eastAsia="Times New Roman"/>
                <w:b/>
                <w:i w:val="0"/>
                <w:color w:val="FFFFFF"/>
                <w:sz w:val="18"/>
              </w:rPr>
              <w:t>Hito</w:t>
            </w:r>
          </w:p>
        </w:tc>
      </w:tr>
      <w:tr>
        <w:tc>
          <w:tcPr>
            <w:tcW w:type="dxa" w:w="1814"/>
          </w:tcPr>
          <w:p>
            <w:pPr>
              <w:spacing w:after="0" w:before="0" w:line="240" w:lineRule="auto"/>
            </w:pPr>
            <w:r/>
            <w:r>
              <w:rPr>
                <w:rFonts w:ascii="Times New Roman" w:hAnsi="Times New Roman" w:cs="Times New Roman" w:eastAsia="Times New Roman"/>
                <w:b w:val="0"/>
                <w:i w:val="0"/>
                <w:sz w:val="18"/>
              </w:rPr>
              <w:t>Sprint 0 (habilitador)</w:t>
            </w:r>
          </w:p>
        </w:tc>
        <w:tc>
          <w:tcPr>
            <w:tcW w:type="dxa" w:w="1928"/>
          </w:tcPr>
          <w:p>
            <w:pPr>
              <w:spacing w:after="0" w:before="0" w:line="240" w:lineRule="auto"/>
            </w:pPr>
            <w:r/>
            <w:r>
              <w:rPr>
                <w:rFonts w:ascii="Times New Roman" w:hAnsi="Times New Roman" w:cs="Times New Roman" w:eastAsia="Times New Roman"/>
                <w:b w:val="0"/>
                <w:i w:val="0"/>
                <w:sz w:val="18"/>
              </w:rPr>
              <w:t>14 sep a 13 oct</w:t>
            </w:r>
          </w:p>
        </w:tc>
        <w:tc>
          <w:tcPr>
            <w:tcW w:type="dxa" w:w="3288"/>
          </w:tcPr>
          <w:p>
            <w:pPr>
              <w:spacing w:after="0" w:before="0" w:line="240" w:lineRule="auto"/>
            </w:pPr>
            <w:r/>
            <w:r>
              <w:rPr>
                <w:rFonts w:ascii="Times New Roman" w:hAnsi="Times New Roman" w:cs="Times New Roman" w:eastAsia="Times New Roman"/>
                <w:b w:val="0"/>
                <w:i w:val="0"/>
                <w:sz w:val="18"/>
              </w:rPr>
              <w:t>Acta, kits cargables, roles, ambiente</w:t>
            </w:r>
          </w:p>
        </w:tc>
        <w:tc>
          <w:tcPr>
            <w:tcW w:type="dxa" w:w="2041"/>
          </w:tcPr>
          <w:p>
            <w:pPr>
              <w:spacing w:after="0" w:before="0" w:line="240" w:lineRule="auto"/>
            </w:pPr>
            <w:r/>
            <w:r>
              <w:rPr>
                <w:rFonts w:ascii="Times New Roman" w:hAnsi="Times New Roman" w:cs="Times New Roman" w:eastAsia="Times New Roman"/>
                <w:b w:val="0"/>
                <w:i w:val="0"/>
                <w:sz w:val="18"/>
              </w:rPr>
              <w:t>Prepara 8.1</w:t>
            </w:r>
          </w:p>
        </w:tc>
      </w:tr>
      <w:tr>
        <w:tc>
          <w:tcPr>
            <w:tcW w:type="dxa" w:w="1814"/>
            <w:shd w:fill="F2F2F2" w:val="clear"/>
          </w:tcPr>
          <w:p>
            <w:pPr>
              <w:spacing w:after="0" w:before="0" w:line="240" w:lineRule="auto"/>
            </w:pPr>
            <w:r/>
            <w:r>
              <w:rPr>
                <w:rFonts w:ascii="Times New Roman" w:hAnsi="Times New Roman" w:cs="Times New Roman" w:eastAsia="Times New Roman"/>
                <w:b w:val="0"/>
                <w:i w:val="0"/>
                <w:sz w:val="18"/>
              </w:rPr>
              <w:t>S1</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14 a 27 oct</w:t>
            </w:r>
          </w:p>
        </w:tc>
        <w:tc>
          <w:tcPr>
            <w:tcW w:type="dxa" w:w="3288"/>
            <w:shd w:fill="F2F2F2" w:val="clear"/>
          </w:tcPr>
          <w:p>
            <w:pPr>
              <w:spacing w:after="0" w:before="0" w:line="240" w:lineRule="auto"/>
            </w:pPr>
            <w:r/>
            <w:r>
              <w:rPr>
                <w:rFonts w:ascii="Times New Roman" w:hAnsi="Times New Roman" w:cs="Times New Roman" w:eastAsia="Times New Roman"/>
                <w:b w:val="0"/>
                <w:i w:val="0"/>
                <w:sz w:val="18"/>
              </w:rPr>
              <w:t>Tablero de comunidad (3.1)</w:t>
            </w:r>
          </w:p>
        </w:tc>
        <w:tc>
          <w:tcPr>
            <w:tcW w:type="dxa" w:w="2041"/>
            <w:shd w:fill="F2F2F2" w:val="clear"/>
          </w:tcPr>
          <w:p>
            <w:pPr>
              <w:spacing w:after="0" w:before="0" w:line="240" w:lineRule="auto"/>
            </w:pPr>
            <w:r/>
            <w:r>
              <w:rPr>
                <w:rFonts w:ascii="Times New Roman" w:hAnsi="Times New Roman" w:cs="Times New Roman" w:eastAsia="Times New Roman"/>
                <w:b w:val="0"/>
                <w:i w:val="0"/>
                <w:sz w:val="18"/>
              </w:rPr>
              <w:t>8.1 inventario (19 oct)</w:t>
            </w:r>
          </w:p>
        </w:tc>
      </w:tr>
      <w:tr>
        <w:tc>
          <w:tcPr>
            <w:tcW w:type="dxa" w:w="1814"/>
          </w:tcPr>
          <w:p>
            <w:pPr>
              <w:spacing w:after="0" w:before="0" w:line="240" w:lineRule="auto"/>
            </w:pPr>
            <w:r/>
            <w:r>
              <w:rPr>
                <w:rFonts w:ascii="Times New Roman" w:hAnsi="Times New Roman" w:cs="Times New Roman" w:eastAsia="Times New Roman"/>
                <w:b w:val="0"/>
                <w:i w:val="0"/>
                <w:sz w:val="18"/>
              </w:rPr>
              <w:t>S2</w:t>
            </w:r>
          </w:p>
        </w:tc>
        <w:tc>
          <w:tcPr>
            <w:tcW w:type="dxa" w:w="1928"/>
          </w:tcPr>
          <w:p>
            <w:pPr>
              <w:spacing w:after="0" w:before="0" w:line="240" w:lineRule="auto"/>
            </w:pPr>
            <w:r/>
            <w:r>
              <w:rPr>
                <w:rFonts w:ascii="Times New Roman" w:hAnsi="Times New Roman" w:cs="Times New Roman" w:eastAsia="Times New Roman"/>
                <w:b w:val="0"/>
                <w:i w:val="0"/>
                <w:sz w:val="18"/>
              </w:rPr>
              <w:t>28 oct a 10 nov</w:t>
            </w:r>
          </w:p>
        </w:tc>
        <w:tc>
          <w:tcPr>
            <w:tcW w:type="dxa" w:w="3288"/>
          </w:tcPr>
          <w:p>
            <w:pPr>
              <w:spacing w:after="0" w:before="0" w:line="240" w:lineRule="auto"/>
            </w:pPr>
            <w:r/>
            <w:r>
              <w:rPr>
                <w:rFonts w:ascii="Times New Roman" w:hAnsi="Times New Roman" w:cs="Times New Roman" w:eastAsia="Times New Roman"/>
                <w:b w:val="0"/>
                <w:i w:val="0"/>
                <w:sz w:val="18"/>
              </w:rPr>
              <w:t>Tablero usable (3.2 a 3.4)</w:t>
            </w:r>
          </w:p>
        </w:tc>
        <w:tc>
          <w:tcPr>
            <w:tcW w:type="dxa" w:w="2041"/>
          </w:tcPr>
          <w:p>
            <w:pPr>
              <w:spacing w:after="0" w:before="0" w:line="240" w:lineRule="auto"/>
            </w:pPr>
            <w:r/>
            <w:r>
              <w:rPr>
                <w:rFonts w:ascii="Times New Roman" w:hAnsi="Times New Roman" w:cs="Times New Roman" w:eastAsia="Times New Roman"/>
                <w:b w:val="0"/>
                <w:i w:val="0"/>
                <w:sz w:val="18"/>
              </w:rPr>
              <w:t>8.2 tablero (9 nov)</w:t>
            </w:r>
          </w:p>
        </w:tc>
      </w:tr>
      <w:tr>
        <w:tc>
          <w:tcPr>
            <w:tcW w:type="dxa" w:w="1814"/>
            <w:shd w:fill="F2F2F2" w:val="clear"/>
          </w:tcPr>
          <w:p>
            <w:pPr>
              <w:spacing w:after="0" w:before="0" w:line="240" w:lineRule="auto"/>
            </w:pPr>
            <w:r/>
            <w:r>
              <w:rPr>
                <w:rFonts w:ascii="Times New Roman" w:hAnsi="Times New Roman" w:cs="Times New Roman" w:eastAsia="Times New Roman"/>
                <w:b w:val="0"/>
                <w:i w:val="0"/>
                <w:sz w:val="18"/>
              </w:rPr>
              <w:t>S3</w:t>
            </w:r>
          </w:p>
        </w:tc>
        <w:tc>
          <w:tcPr>
            <w:tcW w:type="dxa" w:w="1928"/>
            <w:shd w:fill="F2F2F2" w:val="clear"/>
          </w:tcPr>
          <w:p>
            <w:pPr>
              <w:spacing w:after="0" w:before="0" w:line="240" w:lineRule="auto"/>
            </w:pPr>
            <w:r/>
            <w:r>
              <w:rPr>
                <w:rFonts w:ascii="Times New Roman" w:hAnsi="Times New Roman" w:cs="Times New Roman" w:eastAsia="Times New Roman"/>
                <w:b w:val="0"/>
                <w:i w:val="0"/>
                <w:sz w:val="18"/>
              </w:rPr>
              <w:t>11 a 24 nov</w:t>
            </w:r>
          </w:p>
        </w:tc>
        <w:tc>
          <w:tcPr>
            <w:tcW w:type="dxa" w:w="3288"/>
            <w:shd w:fill="F2F2F2" w:val="clear"/>
          </w:tcPr>
          <w:p>
            <w:pPr>
              <w:spacing w:after="0" w:before="0" w:line="240" w:lineRule="auto"/>
            </w:pPr>
            <w:r/>
            <w:r>
              <w:rPr>
                <w:rFonts w:ascii="Times New Roman" w:hAnsi="Times New Roman" w:cs="Times New Roman" w:eastAsia="Times New Roman"/>
                <w:b w:val="0"/>
                <w:i w:val="0"/>
                <w:sz w:val="18"/>
              </w:rPr>
              <w:t>Tickets asignables (4.2 y 4.3)</w:t>
            </w:r>
          </w:p>
        </w:tc>
        <w:tc>
          <w:tcPr>
            <w:tcW w:type="dxa" w:w="2041"/>
            <w:shd w:fill="F2F2F2" w:val="clear"/>
          </w:tcPr>
          <w:p>
            <w:pPr>
              <w:spacing w:after="0" w:before="0" w:line="240" w:lineRule="auto"/>
            </w:pPr>
            <w:r/>
            <w:r>
              <w:rPr>
                <w:rFonts w:ascii="Times New Roman" w:hAnsi="Times New Roman" w:cs="Times New Roman" w:eastAsia="Times New Roman"/>
                <w:b w:val="0"/>
                <w:i w:val="0"/>
                <w:sz w:val="18"/>
              </w:rPr>
              <w:t>Prepara 8.3</w:t>
            </w:r>
          </w:p>
        </w:tc>
      </w:tr>
      <w:tr>
        <w:tc>
          <w:tcPr>
            <w:tcW w:type="dxa" w:w="1814"/>
          </w:tcPr>
          <w:p>
            <w:pPr>
              <w:spacing w:after="0" w:before="0" w:line="240" w:lineRule="auto"/>
            </w:pPr>
            <w:r/>
            <w:r>
              <w:rPr>
                <w:rFonts w:ascii="Times New Roman" w:hAnsi="Times New Roman" w:cs="Times New Roman" w:eastAsia="Times New Roman"/>
                <w:b w:val="0"/>
                <w:i w:val="0"/>
                <w:sz w:val="18"/>
              </w:rPr>
              <w:t>S4</w:t>
            </w:r>
          </w:p>
        </w:tc>
        <w:tc>
          <w:tcPr>
            <w:tcW w:type="dxa" w:w="1928"/>
          </w:tcPr>
          <w:p>
            <w:pPr>
              <w:spacing w:after="0" w:before="0" w:line="240" w:lineRule="auto"/>
            </w:pPr>
            <w:r/>
            <w:r>
              <w:rPr>
                <w:rFonts w:ascii="Times New Roman" w:hAnsi="Times New Roman" w:cs="Times New Roman" w:eastAsia="Times New Roman"/>
                <w:b w:val="0"/>
                <w:i w:val="0"/>
                <w:sz w:val="18"/>
              </w:rPr>
              <w:t>25 nov a 9 dic</w:t>
            </w:r>
          </w:p>
        </w:tc>
        <w:tc>
          <w:tcPr>
            <w:tcW w:type="dxa" w:w="3288"/>
          </w:tcPr>
          <w:p>
            <w:pPr>
              <w:spacing w:after="0" w:before="0" w:line="240" w:lineRule="auto"/>
            </w:pPr>
            <w:r/>
            <w:r>
              <w:rPr>
                <w:rFonts w:ascii="Times New Roman" w:hAnsi="Times New Roman" w:cs="Times New Roman" w:eastAsia="Times New Roman"/>
                <w:b w:val="0"/>
                <w:i w:val="0"/>
                <w:sz w:val="18"/>
              </w:rPr>
              <w:t>Terreno, reporte y traspaso</w:t>
            </w:r>
          </w:p>
        </w:tc>
        <w:tc>
          <w:tcPr>
            <w:tcW w:type="dxa" w:w="2041"/>
          </w:tcPr>
          <w:p>
            <w:pPr>
              <w:spacing w:after="0" w:before="0" w:line="240" w:lineRule="auto"/>
            </w:pPr>
            <w:r/>
            <w:r>
              <w:rPr>
                <w:rFonts w:ascii="Times New Roman" w:hAnsi="Times New Roman" w:cs="Times New Roman" w:eastAsia="Times New Roman"/>
                <w:b w:val="0"/>
                <w:i w:val="0"/>
                <w:sz w:val="18"/>
              </w:rPr>
              <w:t>8.3, 8.4 y 8.5</w:t>
            </w:r>
          </w:p>
        </w:tc>
      </w:tr>
    </w:tbl>
    <w:p>
      <w:pPr>
        <w:spacing w:after="80"/>
      </w:pPr>
    </w:p>
    <w:p>
      <w:pPr>
        <w:spacing w:before="40" w:after="160" w:line="240" w:lineRule="auto"/>
        <w:ind w:firstLine="0"/>
        <w:jc w:val="center"/>
      </w:pPr>
      <w:r>
        <w:rPr>
          <w:rFonts w:ascii="Times New Roman" w:hAnsi="Times New Roman" w:cs="Times New Roman" w:eastAsia="Times New Roman"/>
          <w:b w:val="0"/>
          <w:i/>
          <w:color w:val="444444"/>
          <w:sz w:val="18"/>
        </w:rPr>
        <w:t>Tabla 11. Sprints Scrum. Sprint 0 habilita. S1 a S4 entregan incremento (8 de 10 días comprometidos).</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2041"/>
            <w:shd w:fill="10263D" w:val="clear"/>
          </w:tcPr>
          <w:p>
            <w:pPr>
              <w:spacing w:after="0" w:before="0" w:line="240" w:lineRule="auto"/>
            </w:pPr>
            <w:r/>
            <w:r>
              <w:rPr>
                <w:rFonts w:ascii="Times New Roman" w:hAnsi="Times New Roman" w:cs="Times New Roman" w:eastAsia="Times New Roman"/>
                <w:b/>
                <w:i w:val="0"/>
                <w:color w:val="FFFFFF"/>
                <w:sz w:val="18"/>
              </w:rPr>
              <w:t>Cuenta</w:t>
            </w:r>
          </w:p>
        </w:tc>
        <w:tc>
          <w:tcPr>
            <w:tcW w:type="dxa" w:w="1757"/>
            <w:shd w:fill="10263D" w:val="clear"/>
          </w:tcPr>
          <w:p>
            <w:pPr>
              <w:spacing w:after="0" w:before="0" w:line="240" w:lineRule="auto"/>
            </w:pPr>
            <w:r/>
            <w:r>
              <w:rPr>
                <w:rFonts w:ascii="Times New Roman" w:hAnsi="Times New Roman" w:cs="Times New Roman" w:eastAsia="Times New Roman"/>
                <w:b/>
                <w:i w:val="0"/>
                <w:color w:val="FFFFFF"/>
                <w:sz w:val="18"/>
              </w:rPr>
              <w:t>Giannina (DP/front)</w:t>
            </w:r>
          </w:p>
        </w:tc>
        <w:tc>
          <w:tcPr>
            <w:tcW w:type="dxa" w:w="1757"/>
            <w:shd w:fill="10263D" w:val="clear"/>
          </w:tcPr>
          <w:p>
            <w:pPr>
              <w:spacing w:after="0" w:before="0" w:line="240" w:lineRule="auto"/>
            </w:pPr>
            <w:r/>
            <w:r>
              <w:rPr>
                <w:rFonts w:ascii="Times New Roman" w:hAnsi="Times New Roman" w:cs="Times New Roman" w:eastAsia="Times New Roman"/>
                <w:b/>
                <w:i w:val="0"/>
                <w:color w:val="FFFFFF"/>
                <w:sz w:val="18"/>
              </w:rPr>
              <w:t>Nicolás (backend)</w:t>
            </w:r>
          </w:p>
        </w:tc>
        <w:tc>
          <w:tcPr>
            <w:tcW w:type="dxa" w:w="1814"/>
            <w:shd w:fill="10263D" w:val="clear"/>
          </w:tcPr>
          <w:p>
            <w:pPr>
              <w:spacing w:after="0" w:before="0" w:line="240" w:lineRule="auto"/>
            </w:pPr>
            <w:r/>
            <w:r>
              <w:rPr>
                <w:rFonts w:ascii="Times New Roman" w:hAnsi="Times New Roman" w:cs="Times New Roman" w:eastAsia="Times New Roman"/>
                <w:b/>
                <w:i w:val="0"/>
                <w:color w:val="FFFFFF"/>
                <w:sz w:val="18"/>
              </w:rPr>
              <w:t>Ari (infra)</w:t>
            </w:r>
          </w:p>
        </w:tc>
        <w:tc>
          <w:tcPr>
            <w:tcW w:type="dxa" w:w="1701"/>
            <w:shd w:fill="10263D" w:val="clear"/>
          </w:tcPr>
          <w:p>
            <w:pPr>
              <w:spacing w:after="0" w:before="0" w:line="240" w:lineRule="auto"/>
            </w:pPr>
            <w:r/>
            <w:r>
              <w:rPr>
                <w:rFonts w:ascii="Times New Roman" w:hAnsi="Times New Roman" w:cs="Times New Roman" w:eastAsia="Times New Roman"/>
                <w:b/>
                <w:i w:val="0"/>
                <w:color w:val="FFFFFF"/>
                <w:sz w:val="18"/>
              </w:rPr>
              <w:t>Skarlett (QA/impacto)</w:t>
            </w:r>
          </w:p>
        </w:tc>
      </w:tr>
      <w:tr>
        <w:tc>
          <w:tcPr>
            <w:tcW w:type="dxa" w:w="2041"/>
          </w:tcPr>
          <w:p>
            <w:pPr>
              <w:spacing w:after="0" w:before="0" w:line="240" w:lineRule="auto"/>
            </w:pPr>
            <w:r/>
            <w:r>
              <w:rPr>
                <w:rFonts w:ascii="Times New Roman" w:hAnsi="Times New Roman" w:cs="Times New Roman" w:eastAsia="Times New Roman"/>
                <w:b w:val="0"/>
                <w:i w:val="0"/>
                <w:sz w:val="18"/>
              </w:rPr>
              <w:t>1 Dirección</w:t>
            </w:r>
          </w:p>
        </w:tc>
        <w:tc>
          <w:tcPr>
            <w:tcW w:type="dxa" w:w="1757"/>
          </w:tcPr>
          <w:p>
            <w:pPr>
              <w:spacing w:after="0" w:before="0" w:line="240" w:lineRule="auto"/>
            </w:pPr>
            <w:r/>
            <w:r>
              <w:rPr>
                <w:rFonts w:ascii="Times New Roman" w:hAnsi="Times New Roman" w:cs="Times New Roman" w:eastAsia="Times New Roman"/>
                <w:b w:val="0"/>
                <w:i w:val="0"/>
                <w:sz w:val="18"/>
              </w:rPr>
              <w:t>R/A</w:t>
            </w:r>
          </w:p>
        </w:tc>
        <w:tc>
          <w:tcPr>
            <w:tcW w:type="dxa" w:w="1757"/>
          </w:tcPr>
          <w:p>
            <w:pPr>
              <w:spacing w:after="0" w:before="0" w:line="240" w:lineRule="auto"/>
            </w:pPr>
            <w:r/>
            <w:r>
              <w:rPr>
                <w:rFonts w:ascii="Times New Roman" w:hAnsi="Times New Roman" w:cs="Times New Roman" w:eastAsia="Times New Roman"/>
                <w:b w:val="0"/>
                <w:i w:val="0"/>
                <w:sz w:val="18"/>
              </w:rPr>
              <w:t>C</w:t>
            </w:r>
          </w:p>
        </w:tc>
        <w:tc>
          <w:tcPr>
            <w:tcW w:type="dxa" w:w="1814"/>
          </w:tcPr>
          <w:p>
            <w:pPr>
              <w:spacing w:after="0" w:before="0" w:line="240" w:lineRule="auto"/>
            </w:pPr>
            <w:r/>
            <w:r>
              <w:rPr>
                <w:rFonts w:ascii="Times New Roman" w:hAnsi="Times New Roman" w:cs="Times New Roman" w:eastAsia="Times New Roman"/>
                <w:b w:val="0"/>
                <w:i w:val="0"/>
                <w:sz w:val="18"/>
              </w:rPr>
              <w:t>C</w:t>
            </w:r>
          </w:p>
        </w:tc>
        <w:tc>
          <w:tcPr>
            <w:tcW w:type="dxa" w:w="1701"/>
          </w:tcPr>
          <w:p>
            <w:pPr>
              <w:spacing w:after="0" w:before="0" w:line="240" w:lineRule="auto"/>
            </w:pPr>
            <w:r/>
            <w:r>
              <w:rPr>
                <w:rFonts w:ascii="Times New Roman" w:hAnsi="Times New Roman" w:cs="Times New Roman" w:eastAsia="Times New Roman"/>
                <w:b w:val="0"/>
                <w:i w:val="0"/>
                <w:sz w:val="18"/>
              </w:rPr>
              <w:t>C</w:t>
            </w:r>
          </w:p>
        </w:tc>
      </w:tr>
      <w:tr>
        <w:tc>
          <w:tcPr>
            <w:tcW w:type="dxa" w:w="2041"/>
            <w:shd w:fill="F2F2F2" w:val="clear"/>
          </w:tcPr>
          <w:p>
            <w:pPr>
              <w:spacing w:after="0" w:before="0" w:line="240" w:lineRule="auto"/>
            </w:pPr>
            <w:r/>
            <w:r>
              <w:rPr>
                <w:rFonts w:ascii="Times New Roman" w:hAnsi="Times New Roman" w:cs="Times New Roman" w:eastAsia="Times New Roman"/>
                <w:b w:val="0"/>
                <w:i w:val="0"/>
                <w:sz w:val="18"/>
              </w:rPr>
              <w:t>2 Inventario</w:t>
            </w:r>
          </w:p>
        </w:tc>
        <w:tc>
          <w:tcPr>
            <w:tcW w:type="dxa" w:w="1757"/>
            <w:shd w:fill="F2F2F2" w:val="clear"/>
          </w:tcPr>
          <w:p>
            <w:pPr>
              <w:spacing w:after="0" w:before="0" w:line="240" w:lineRule="auto"/>
            </w:pPr>
            <w:r/>
            <w:r>
              <w:rPr>
                <w:rFonts w:ascii="Times New Roman" w:hAnsi="Times New Roman" w:cs="Times New Roman" w:eastAsia="Times New Roman"/>
                <w:b w:val="0"/>
                <w:i w:val="0"/>
                <w:sz w:val="18"/>
              </w:rPr>
              <w:t>A</w:t>
            </w:r>
          </w:p>
        </w:tc>
        <w:tc>
          <w:tcPr>
            <w:tcW w:type="dxa" w:w="1757"/>
            <w:shd w:fill="F2F2F2" w:val="clear"/>
          </w:tcPr>
          <w:p>
            <w:pPr>
              <w:spacing w:after="0" w:before="0" w:line="240" w:lineRule="auto"/>
            </w:pPr>
            <w:r/>
            <w:r>
              <w:rPr>
                <w:rFonts w:ascii="Times New Roman" w:hAnsi="Times New Roman" w:cs="Times New Roman" w:eastAsia="Times New Roman"/>
                <w:b w:val="0"/>
                <w:i w:val="0"/>
                <w:sz w:val="18"/>
              </w:rPr>
              <w:t>R</w:t>
            </w:r>
          </w:p>
        </w:tc>
        <w:tc>
          <w:tcPr>
            <w:tcW w:type="dxa" w:w="1814"/>
            <w:shd w:fill="F2F2F2" w:val="clear"/>
          </w:tcPr>
          <w:p>
            <w:pPr>
              <w:spacing w:after="0" w:before="0" w:line="240" w:lineRule="auto"/>
            </w:pPr>
            <w:r/>
            <w:r>
              <w:rPr>
                <w:rFonts w:ascii="Times New Roman" w:hAnsi="Times New Roman" w:cs="Times New Roman" w:eastAsia="Times New Roman"/>
                <w:b w:val="0"/>
                <w:i w:val="0"/>
                <w:sz w:val="18"/>
              </w:rPr>
              <w:t>C</w:t>
            </w:r>
          </w:p>
        </w:tc>
        <w:tc>
          <w:tcPr>
            <w:tcW w:type="dxa" w:w="1701"/>
            <w:shd w:fill="F2F2F2" w:val="clear"/>
          </w:tcPr>
          <w:p>
            <w:pPr>
              <w:spacing w:after="0" w:before="0" w:line="240" w:lineRule="auto"/>
            </w:pPr>
            <w:r/>
            <w:r>
              <w:rPr>
                <w:rFonts w:ascii="Times New Roman" w:hAnsi="Times New Roman" w:cs="Times New Roman" w:eastAsia="Times New Roman"/>
                <w:b w:val="0"/>
                <w:i w:val="0"/>
                <w:sz w:val="18"/>
              </w:rPr>
              <w:t>C</w:t>
            </w:r>
          </w:p>
        </w:tc>
      </w:tr>
      <w:tr>
        <w:tc>
          <w:tcPr>
            <w:tcW w:type="dxa" w:w="2041"/>
          </w:tcPr>
          <w:p>
            <w:pPr>
              <w:spacing w:after="0" w:before="0" w:line="240" w:lineRule="auto"/>
            </w:pPr>
            <w:r/>
            <w:r>
              <w:rPr>
                <w:rFonts w:ascii="Times New Roman" w:hAnsi="Times New Roman" w:cs="Times New Roman" w:eastAsia="Times New Roman"/>
                <w:b w:val="0"/>
                <w:i w:val="0"/>
                <w:sz w:val="18"/>
              </w:rPr>
              <w:t>3 Tablero</w:t>
            </w:r>
          </w:p>
        </w:tc>
        <w:tc>
          <w:tcPr>
            <w:tcW w:type="dxa" w:w="1757"/>
          </w:tcPr>
          <w:p>
            <w:pPr>
              <w:spacing w:after="0" w:before="0" w:line="240" w:lineRule="auto"/>
            </w:pPr>
            <w:r/>
            <w:r>
              <w:rPr>
                <w:rFonts w:ascii="Times New Roman" w:hAnsi="Times New Roman" w:cs="Times New Roman" w:eastAsia="Times New Roman"/>
                <w:b w:val="0"/>
                <w:i w:val="0"/>
                <w:sz w:val="18"/>
              </w:rPr>
              <w:t>R/A</w:t>
            </w:r>
          </w:p>
        </w:tc>
        <w:tc>
          <w:tcPr>
            <w:tcW w:type="dxa" w:w="1757"/>
          </w:tcPr>
          <w:p>
            <w:pPr>
              <w:spacing w:after="0" w:before="0" w:line="240" w:lineRule="auto"/>
            </w:pPr>
            <w:r/>
            <w:r>
              <w:rPr>
                <w:rFonts w:ascii="Times New Roman" w:hAnsi="Times New Roman" w:cs="Times New Roman" w:eastAsia="Times New Roman"/>
                <w:b w:val="0"/>
                <w:i w:val="0"/>
                <w:sz w:val="18"/>
              </w:rPr>
              <w:t>C</w:t>
            </w:r>
          </w:p>
        </w:tc>
        <w:tc>
          <w:tcPr>
            <w:tcW w:type="dxa" w:w="1814"/>
          </w:tcPr>
          <w:p>
            <w:pPr>
              <w:spacing w:after="0" w:before="0" w:line="240" w:lineRule="auto"/>
            </w:pPr>
            <w:r/>
            <w:r>
              <w:rPr>
                <w:rFonts w:ascii="Times New Roman" w:hAnsi="Times New Roman" w:cs="Times New Roman" w:eastAsia="Times New Roman"/>
                <w:b w:val="0"/>
                <w:i w:val="0"/>
                <w:sz w:val="18"/>
              </w:rPr>
              <w:t>I</w:t>
            </w:r>
          </w:p>
        </w:tc>
        <w:tc>
          <w:tcPr>
            <w:tcW w:type="dxa" w:w="1701"/>
          </w:tcPr>
          <w:p>
            <w:pPr>
              <w:spacing w:after="0" w:before="0" w:line="240" w:lineRule="auto"/>
            </w:pPr>
            <w:r/>
            <w:r>
              <w:rPr>
                <w:rFonts w:ascii="Times New Roman" w:hAnsi="Times New Roman" w:cs="Times New Roman" w:eastAsia="Times New Roman"/>
                <w:b w:val="0"/>
                <w:i w:val="0"/>
                <w:sz w:val="18"/>
              </w:rPr>
              <w:t>C</w:t>
            </w:r>
          </w:p>
        </w:tc>
      </w:tr>
      <w:tr>
        <w:tc>
          <w:tcPr>
            <w:tcW w:type="dxa" w:w="2041"/>
            <w:shd w:fill="F2F2F2" w:val="clear"/>
          </w:tcPr>
          <w:p>
            <w:pPr>
              <w:spacing w:after="0" w:before="0" w:line="240" w:lineRule="auto"/>
            </w:pPr>
            <w:r/>
            <w:r>
              <w:rPr>
                <w:rFonts w:ascii="Times New Roman" w:hAnsi="Times New Roman" w:cs="Times New Roman" w:eastAsia="Times New Roman"/>
                <w:b w:val="0"/>
                <w:i w:val="0"/>
                <w:sz w:val="18"/>
              </w:rPr>
              <w:t>4 Tickets</w:t>
            </w:r>
          </w:p>
        </w:tc>
        <w:tc>
          <w:tcPr>
            <w:tcW w:type="dxa" w:w="1757"/>
            <w:shd w:fill="F2F2F2" w:val="clear"/>
          </w:tcPr>
          <w:p>
            <w:pPr>
              <w:spacing w:after="0" w:before="0" w:line="240" w:lineRule="auto"/>
            </w:pPr>
            <w:r/>
            <w:r>
              <w:rPr>
                <w:rFonts w:ascii="Times New Roman" w:hAnsi="Times New Roman" w:cs="Times New Roman" w:eastAsia="Times New Roman"/>
                <w:b w:val="0"/>
                <w:i w:val="0"/>
                <w:sz w:val="18"/>
              </w:rPr>
              <w:t>A</w:t>
            </w:r>
          </w:p>
        </w:tc>
        <w:tc>
          <w:tcPr>
            <w:tcW w:type="dxa" w:w="1757"/>
            <w:shd w:fill="F2F2F2" w:val="clear"/>
          </w:tcPr>
          <w:p>
            <w:pPr>
              <w:spacing w:after="0" w:before="0" w:line="240" w:lineRule="auto"/>
            </w:pPr>
            <w:r/>
            <w:r>
              <w:rPr>
                <w:rFonts w:ascii="Times New Roman" w:hAnsi="Times New Roman" w:cs="Times New Roman" w:eastAsia="Times New Roman"/>
                <w:b w:val="0"/>
                <w:i w:val="0"/>
                <w:sz w:val="18"/>
              </w:rPr>
              <w:t>R</w:t>
            </w:r>
          </w:p>
        </w:tc>
        <w:tc>
          <w:tcPr>
            <w:tcW w:type="dxa" w:w="1814"/>
            <w:shd w:fill="F2F2F2" w:val="clear"/>
          </w:tcPr>
          <w:p>
            <w:pPr>
              <w:spacing w:after="0" w:before="0" w:line="240" w:lineRule="auto"/>
            </w:pPr>
            <w:r/>
            <w:r>
              <w:rPr>
                <w:rFonts w:ascii="Times New Roman" w:hAnsi="Times New Roman" w:cs="Times New Roman" w:eastAsia="Times New Roman"/>
                <w:b w:val="0"/>
                <w:i w:val="0"/>
                <w:sz w:val="18"/>
              </w:rPr>
              <w:t>C</w:t>
            </w:r>
          </w:p>
        </w:tc>
        <w:tc>
          <w:tcPr>
            <w:tcW w:type="dxa" w:w="1701"/>
            <w:shd w:fill="F2F2F2" w:val="clear"/>
          </w:tcPr>
          <w:p>
            <w:pPr>
              <w:spacing w:after="0" w:before="0" w:line="240" w:lineRule="auto"/>
            </w:pPr>
            <w:r/>
            <w:r>
              <w:rPr>
                <w:rFonts w:ascii="Times New Roman" w:hAnsi="Times New Roman" w:cs="Times New Roman" w:eastAsia="Times New Roman"/>
                <w:b w:val="0"/>
                <w:i w:val="0"/>
                <w:sz w:val="18"/>
              </w:rPr>
              <w:t>C</w:t>
            </w:r>
          </w:p>
        </w:tc>
      </w:tr>
      <w:tr>
        <w:tc>
          <w:tcPr>
            <w:tcW w:type="dxa" w:w="2041"/>
          </w:tcPr>
          <w:p>
            <w:pPr>
              <w:spacing w:after="0" w:before="0" w:line="240" w:lineRule="auto"/>
            </w:pPr>
            <w:r/>
            <w:r>
              <w:rPr>
                <w:rFonts w:ascii="Times New Roman" w:hAnsi="Times New Roman" w:cs="Times New Roman" w:eastAsia="Times New Roman"/>
                <w:b w:val="0"/>
                <w:i w:val="0"/>
                <w:sz w:val="18"/>
              </w:rPr>
              <w:t>5 Impacto</w:t>
            </w:r>
          </w:p>
        </w:tc>
        <w:tc>
          <w:tcPr>
            <w:tcW w:type="dxa" w:w="1757"/>
          </w:tcPr>
          <w:p>
            <w:pPr>
              <w:spacing w:after="0" w:before="0" w:line="240" w:lineRule="auto"/>
            </w:pPr>
            <w:r/>
            <w:r>
              <w:rPr>
                <w:rFonts w:ascii="Times New Roman" w:hAnsi="Times New Roman" w:cs="Times New Roman" w:eastAsia="Times New Roman"/>
                <w:b w:val="0"/>
                <w:i w:val="0"/>
                <w:sz w:val="18"/>
              </w:rPr>
              <w:t>A</w:t>
            </w:r>
          </w:p>
        </w:tc>
        <w:tc>
          <w:tcPr>
            <w:tcW w:type="dxa" w:w="1757"/>
          </w:tcPr>
          <w:p>
            <w:pPr>
              <w:spacing w:after="0" w:before="0" w:line="240" w:lineRule="auto"/>
            </w:pPr>
            <w:r/>
            <w:r>
              <w:rPr>
                <w:rFonts w:ascii="Times New Roman" w:hAnsi="Times New Roman" w:cs="Times New Roman" w:eastAsia="Times New Roman"/>
                <w:b w:val="0"/>
                <w:i w:val="0"/>
                <w:sz w:val="18"/>
              </w:rPr>
              <w:t>C</w:t>
            </w:r>
          </w:p>
        </w:tc>
        <w:tc>
          <w:tcPr>
            <w:tcW w:type="dxa" w:w="1814"/>
          </w:tcPr>
          <w:p>
            <w:pPr>
              <w:spacing w:after="0" w:before="0" w:line="240" w:lineRule="auto"/>
            </w:pPr>
            <w:r/>
            <w:r>
              <w:rPr>
                <w:rFonts w:ascii="Times New Roman" w:hAnsi="Times New Roman" w:cs="Times New Roman" w:eastAsia="Times New Roman"/>
                <w:b w:val="0"/>
                <w:i w:val="0"/>
                <w:sz w:val="18"/>
              </w:rPr>
              <w:t>I</w:t>
            </w:r>
          </w:p>
        </w:tc>
        <w:tc>
          <w:tcPr>
            <w:tcW w:type="dxa" w:w="1701"/>
          </w:tcPr>
          <w:p>
            <w:pPr>
              <w:spacing w:after="0" w:before="0" w:line="240" w:lineRule="auto"/>
            </w:pPr>
            <w:r/>
            <w:r>
              <w:rPr>
                <w:rFonts w:ascii="Times New Roman" w:hAnsi="Times New Roman" w:cs="Times New Roman" w:eastAsia="Times New Roman"/>
                <w:b w:val="0"/>
                <w:i w:val="0"/>
                <w:sz w:val="18"/>
              </w:rPr>
              <w:t>R</w:t>
            </w:r>
          </w:p>
        </w:tc>
      </w:tr>
      <w:tr>
        <w:tc>
          <w:tcPr>
            <w:tcW w:type="dxa" w:w="2041"/>
            <w:shd w:fill="F2F2F2" w:val="clear"/>
          </w:tcPr>
          <w:p>
            <w:pPr>
              <w:spacing w:after="0" w:before="0" w:line="240" w:lineRule="auto"/>
            </w:pPr>
            <w:r/>
            <w:r>
              <w:rPr>
                <w:rFonts w:ascii="Times New Roman" w:hAnsi="Times New Roman" w:cs="Times New Roman" w:eastAsia="Times New Roman"/>
                <w:b w:val="0"/>
                <w:i w:val="0"/>
                <w:sz w:val="18"/>
              </w:rPr>
              <w:t>6 Privacidad/despliegue</w:t>
            </w:r>
          </w:p>
        </w:tc>
        <w:tc>
          <w:tcPr>
            <w:tcW w:type="dxa" w:w="1757"/>
            <w:shd w:fill="F2F2F2" w:val="clear"/>
          </w:tcPr>
          <w:p>
            <w:pPr>
              <w:spacing w:after="0" w:before="0" w:line="240" w:lineRule="auto"/>
            </w:pPr>
            <w:r/>
            <w:r>
              <w:rPr>
                <w:rFonts w:ascii="Times New Roman" w:hAnsi="Times New Roman" w:cs="Times New Roman" w:eastAsia="Times New Roman"/>
                <w:b w:val="0"/>
                <w:i w:val="0"/>
                <w:sz w:val="18"/>
              </w:rPr>
              <w:t>A</w:t>
            </w:r>
          </w:p>
        </w:tc>
        <w:tc>
          <w:tcPr>
            <w:tcW w:type="dxa" w:w="1757"/>
            <w:shd w:fill="F2F2F2" w:val="clear"/>
          </w:tcPr>
          <w:p>
            <w:pPr>
              <w:spacing w:after="0" w:before="0" w:line="240" w:lineRule="auto"/>
            </w:pPr>
            <w:r/>
            <w:r>
              <w:rPr>
                <w:rFonts w:ascii="Times New Roman" w:hAnsi="Times New Roman" w:cs="Times New Roman" w:eastAsia="Times New Roman"/>
                <w:b w:val="0"/>
                <w:i w:val="0"/>
                <w:sz w:val="18"/>
              </w:rPr>
              <w:t>C</w:t>
            </w:r>
          </w:p>
        </w:tc>
        <w:tc>
          <w:tcPr>
            <w:tcW w:type="dxa" w:w="1814"/>
            <w:shd w:fill="F2F2F2" w:val="clear"/>
          </w:tcPr>
          <w:p>
            <w:pPr>
              <w:spacing w:after="0" w:before="0" w:line="240" w:lineRule="auto"/>
            </w:pPr>
            <w:r/>
            <w:r>
              <w:rPr>
                <w:rFonts w:ascii="Times New Roman" w:hAnsi="Times New Roman" w:cs="Times New Roman" w:eastAsia="Times New Roman"/>
                <w:b w:val="0"/>
                <w:i w:val="0"/>
                <w:sz w:val="18"/>
              </w:rPr>
              <w:t>R</w:t>
            </w:r>
          </w:p>
        </w:tc>
        <w:tc>
          <w:tcPr>
            <w:tcW w:type="dxa" w:w="1701"/>
            <w:shd w:fill="F2F2F2" w:val="clear"/>
          </w:tcPr>
          <w:p>
            <w:pPr>
              <w:spacing w:after="0" w:before="0" w:line="240" w:lineRule="auto"/>
            </w:pPr>
            <w:r/>
            <w:r>
              <w:rPr>
                <w:rFonts w:ascii="Times New Roman" w:hAnsi="Times New Roman" w:cs="Times New Roman" w:eastAsia="Times New Roman"/>
                <w:b w:val="0"/>
                <w:i w:val="0"/>
                <w:sz w:val="18"/>
              </w:rPr>
              <w:t>C</w:t>
            </w:r>
          </w:p>
        </w:tc>
      </w:tr>
      <w:tr>
        <w:tc>
          <w:tcPr>
            <w:tcW w:type="dxa" w:w="2041"/>
          </w:tcPr>
          <w:p>
            <w:pPr>
              <w:spacing w:after="0" w:before="0" w:line="240" w:lineRule="auto"/>
            </w:pPr>
            <w:r/>
            <w:r>
              <w:rPr>
                <w:rFonts w:ascii="Times New Roman" w:hAnsi="Times New Roman" w:cs="Times New Roman" w:eastAsia="Times New Roman"/>
                <w:b w:val="0"/>
                <w:i w:val="0"/>
                <w:sz w:val="18"/>
              </w:rPr>
              <w:t>7 Capacitación</w:t>
            </w:r>
          </w:p>
        </w:tc>
        <w:tc>
          <w:tcPr>
            <w:tcW w:type="dxa" w:w="1757"/>
          </w:tcPr>
          <w:p>
            <w:pPr>
              <w:spacing w:after="0" w:before="0" w:line="240" w:lineRule="auto"/>
            </w:pPr>
            <w:r/>
            <w:r>
              <w:rPr>
                <w:rFonts w:ascii="Times New Roman" w:hAnsi="Times New Roman" w:cs="Times New Roman" w:eastAsia="Times New Roman"/>
                <w:b w:val="0"/>
                <w:i w:val="0"/>
                <w:sz w:val="18"/>
              </w:rPr>
              <w:t>A</w:t>
            </w:r>
          </w:p>
        </w:tc>
        <w:tc>
          <w:tcPr>
            <w:tcW w:type="dxa" w:w="1757"/>
          </w:tcPr>
          <w:p>
            <w:pPr>
              <w:spacing w:after="0" w:before="0" w:line="240" w:lineRule="auto"/>
            </w:pPr>
            <w:r/>
            <w:r>
              <w:rPr>
                <w:rFonts w:ascii="Times New Roman" w:hAnsi="Times New Roman" w:cs="Times New Roman" w:eastAsia="Times New Roman"/>
                <w:b w:val="0"/>
                <w:i w:val="0"/>
                <w:sz w:val="18"/>
              </w:rPr>
              <w:t>C</w:t>
            </w:r>
          </w:p>
        </w:tc>
        <w:tc>
          <w:tcPr>
            <w:tcW w:type="dxa" w:w="1814"/>
          </w:tcPr>
          <w:p>
            <w:pPr>
              <w:spacing w:after="0" w:before="0" w:line="240" w:lineRule="auto"/>
            </w:pPr>
            <w:r/>
            <w:r>
              <w:rPr>
                <w:rFonts w:ascii="Times New Roman" w:hAnsi="Times New Roman" w:cs="Times New Roman" w:eastAsia="Times New Roman"/>
                <w:b w:val="0"/>
                <w:i w:val="0"/>
                <w:sz w:val="18"/>
              </w:rPr>
              <w:t>C</w:t>
            </w:r>
          </w:p>
        </w:tc>
        <w:tc>
          <w:tcPr>
            <w:tcW w:type="dxa" w:w="1701"/>
          </w:tcPr>
          <w:p>
            <w:pPr>
              <w:spacing w:after="0" w:before="0" w:line="240" w:lineRule="auto"/>
            </w:pPr>
            <w:r/>
            <w:r>
              <w:rPr>
                <w:rFonts w:ascii="Times New Roman" w:hAnsi="Times New Roman" w:cs="Times New Roman" w:eastAsia="Times New Roman"/>
                <w:b w:val="0"/>
                <w:i w:val="0"/>
                <w:sz w:val="18"/>
              </w:rPr>
              <w:t>R</w:t>
            </w:r>
          </w:p>
        </w:tc>
      </w:tr>
    </w:tbl>
    <w:p>
      <w:pPr>
        <w:spacing w:after="80"/>
      </w:pPr>
    </w:p>
    <w:p>
      <w:pPr>
        <w:spacing w:before="40" w:after="160" w:line="240" w:lineRule="auto"/>
        <w:ind w:firstLine="0"/>
        <w:jc w:val="center"/>
      </w:pPr>
      <w:r>
        <w:rPr>
          <w:rFonts w:ascii="Times New Roman" w:hAnsi="Times New Roman" w:cs="Times New Roman" w:eastAsia="Times New Roman"/>
          <w:b w:val="0"/>
          <w:i/>
          <w:color w:val="444444"/>
          <w:sz w:val="18"/>
        </w:rPr>
        <w:t>Tabla 12. RACI del equipo. R = hace. A = rinde. C = consulta. I = informa.</w:t>
      </w:r>
    </w:p>
    <w:p>
      <w:pPr>
        <w:spacing w:line="276" w:lineRule="auto" w:before="200" w:after="80"/>
        <w:ind w:firstLine="0"/>
        <w:jc w:val="left"/>
        <w:pBdr>
          <w:bottom w:val="single" w:sz="8" w:space="6" w:color="10263D"/>
        </w:pBdr>
      </w:pPr>
      <w:r>
        <w:rPr>
          <w:rFonts w:ascii="Times New Roman" w:hAnsi="Times New Roman" w:cs="Times New Roman" w:eastAsia="Times New Roman"/>
          <w:b/>
          <w:i w:val="0"/>
          <w:color w:val="10263D"/>
          <w:sz w:val="26"/>
        </w:rPr>
        <w:t>6. Herramientas utilizadas y justificación</w:t>
      </w:r>
    </w:p>
    <w:p>
      <w:pPr>
        <w:spacing w:line="360" w:lineRule="auto" w:after="120" w:before="0"/>
        <w:ind w:firstLine="425"/>
        <w:jc w:val="both"/>
      </w:pPr>
      <w:r>
        <w:rPr>
          <w:rFonts w:ascii="Times New Roman" w:hAnsi="Times New Roman" w:cs="Times New Roman" w:eastAsia="Times New Roman"/>
          <w:b w:val="0"/>
          <w:i w:val="0"/>
          <w:sz w:val="24"/>
        </w:rPr>
        <w:t>Elegimos con cinco criterios: necesidad del negocio, facilidad de uso, integración, seguridad/privacidad y costo/retorno. No hay licencia de Microsoft Project y sí hay que defender el plazo del piloto: por eso Project Libre para EDT, precedencias, ruta crítica y Gantt. Trello es el tablero Scrum desde Sprint 0 (product backlog, sprint actual e incremento), porque el flujo del técnico todavía se descubre y el equipo ya puede operarlo. Word y Excel son el formato que dirección ya abre: diccionario, presupuesto y este informe. Los datos de hogares no se suben a la herramienta de gestión. La pizarra sirve para ponerse de acuerdo en una reunión; no reemplaza el cronograma. Tableau o Power BI se dejan para cuando haya dato real de kits.</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2041"/>
            <w:shd w:fill="10263D" w:val="clear"/>
          </w:tcPr>
          <w:p>
            <w:pPr>
              <w:spacing w:after="0" w:before="0" w:line="240" w:lineRule="auto"/>
            </w:pPr>
            <w:r/>
            <w:r>
              <w:rPr>
                <w:rFonts w:ascii="Times New Roman" w:hAnsi="Times New Roman" w:cs="Times New Roman" w:eastAsia="Times New Roman"/>
                <w:b/>
                <w:i w:val="0"/>
                <w:color w:val="FFFFFF"/>
                <w:sz w:val="18"/>
              </w:rPr>
              <w:t>Herramienta</w:t>
            </w:r>
          </w:p>
        </w:tc>
        <w:tc>
          <w:tcPr>
            <w:tcW w:type="dxa" w:w="3628"/>
            <w:shd w:fill="10263D" w:val="clear"/>
          </w:tcPr>
          <w:p>
            <w:pPr>
              <w:spacing w:after="0" w:before="0" w:line="240" w:lineRule="auto"/>
            </w:pPr>
            <w:r/>
            <w:r>
              <w:rPr>
                <w:rFonts w:ascii="Times New Roman" w:hAnsi="Times New Roman" w:cs="Times New Roman" w:eastAsia="Times New Roman"/>
                <w:b/>
                <w:i w:val="0"/>
                <w:color w:val="FFFFFF"/>
                <w:sz w:val="18"/>
              </w:rPr>
              <w:t>Dónde se usó en este plan</w:t>
            </w:r>
          </w:p>
        </w:tc>
        <w:tc>
          <w:tcPr>
            <w:tcW w:type="dxa" w:w="3402"/>
            <w:shd w:fill="10263D" w:val="clear"/>
          </w:tcPr>
          <w:p>
            <w:pPr>
              <w:spacing w:after="0" w:before="0" w:line="240" w:lineRule="auto"/>
            </w:pPr>
            <w:r/>
            <w:r>
              <w:rPr>
                <w:rFonts w:ascii="Times New Roman" w:hAnsi="Times New Roman" w:cs="Times New Roman" w:eastAsia="Times New Roman"/>
                <w:b/>
                <w:i w:val="0"/>
                <w:color w:val="FFFFFF"/>
                <w:sz w:val="18"/>
              </w:rPr>
              <w:t>Por qué esta organización</w:t>
            </w:r>
          </w:p>
        </w:tc>
      </w:tr>
      <w:tr>
        <w:tc>
          <w:tcPr>
            <w:tcW w:type="dxa" w:w="2041"/>
          </w:tcPr>
          <w:p>
            <w:pPr>
              <w:spacing w:after="0" w:before="0" w:line="240" w:lineRule="auto"/>
            </w:pPr>
            <w:r/>
            <w:r>
              <w:rPr>
                <w:rFonts w:ascii="Times New Roman" w:hAnsi="Times New Roman" w:cs="Times New Roman" w:eastAsia="Times New Roman"/>
                <w:b w:val="0"/>
                <w:i w:val="0"/>
                <w:sz w:val="18"/>
              </w:rPr>
              <w:t>Project Libre</w:t>
            </w:r>
          </w:p>
        </w:tc>
        <w:tc>
          <w:tcPr>
            <w:tcW w:type="dxa" w:w="3628"/>
          </w:tcPr>
          <w:p>
            <w:pPr>
              <w:spacing w:after="0" w:before="0" w:line="240" w:lineRule="auto"/>
            </w:pPr>
            <w:r/>
            <w:r>
              <w:rPr>
                <w:rFonts w:ascii="Times New Roman" w:hAnsi="Times New Roman" w:cs="Times New Roman" w:eastAsia="Times New Roman"/>
                <w:b w:val="0"/>
                <w:i w:val="0"/>
                <w:sz w:val="18"/>
              </w:rPr>
              <w:t>Línea base: EDT, CPM, recursos, hitos (Cronograma-Kiran.xml)</w:t>
            </w:r>
          </w:p>
        </w:tc>
        <w:tc>
          <w:tcPr>
            <w:tcW w:type="dxa" w:w="3402"/>
          </w:tcPr>
          <w:p>
            <w:pPr>
              <w:spacing w:after="0" w:before="0" w:line="240" w:lineRule="auto"/>
            </w:pPr>
            <w:r/>
            <w:r>
              <w:rPr>
                <w:rFonts w:ascii="Times New Roman" w:hAnsi="Times New Roman" w:cs="Times New Roman" w:eastAsia="Times New Roman"/>
                <w:b w:val="0"/>
                <w:i w:val="0"/>
                <w:sz w:val="18"/>
              </w:rPr>
              <w:t>Hay que defender el plazo del piloto; no hay licencia de MS Project.</w:t>
            </w:r>
          </w:p>
        </w:tc>
      </w:tr>
      <w:tr>
        <w:tc>
          <w:tcPr>
            <w:tcW w:type="dxa" w:w="2041"/>
            <w:shd w:fill="F2F2F2" w:val="clear"/>
          </w:tcPr>
          <w:p>
            <w:pPr>
              <w:spacing w:after="0" w:before="0" w:line="240" w:lineRule="auto"/>
            </w:pPr>
            <w:r/>
            <w:r>
              <w:rPr>
                <w:rFonts w:ascii="Times New Roman" w:hAnsi="Times New Roman" w:cs="Times New Roman" w:eastAsia="Times New Roman"/>
                <w:b w:val="0"/>
                <w:i w:val="0"/>
                <w:sz w:val="18"/>
              </w:rPr>
              <w:t>Excel / Office 365</w:t>
            </w:r>
          </w:p>
        </w:tc>
        <w:tc>
          <w:tcPr>
            <w:tcW w:type="dxa" w:w="3628"/>
            <w:shd w:fill="F2F2F2" w:val="clear"/>
          </w:tcPr>
          <w:p>
            <w:pPr>
              <w:spacing w:after="0" w:before="0" w:line="240" w:lineRule="auto"/>
            </w:pPr>
            <w:r/>
            <w:r>
              <w:rPr>
                <w:rFonts w:ascii="Times New Roman" w:hAnsi="Times New Roman" w:cs="Times New Roman" w:eastAsia="Times New Roman"/>
                <w:b w:val="0"/>
                <w:i w:val="0"/>
                <w:sz w:val="18"/>
              </w:rPr>
              <w:t>Diccionario EDT, recursos y presupuesto (Tabla 9)</w:t>
            </w:r>
          </w:p>
        </w:tc>
        <w:tc>
          <w:tcPr>
            <w:tcW w:type="dxa" w:w="3402"/>
            <w:shd w:fill="F2F2F2" w:val="clear"/>
          </w:tcPr>
          <w:p>
            <w:pPr>
              <w:spacing w:after="0" w:before="0" w:line="240" w:lineRule="auto"/>
            </w:pPr>
            <w:r/>
            <w:r>
              <w:rPr>
                <w:rFonts w:ascii="Times New Roman" w:hAnsi="Times New Roman" w:cs="Times New Roman" w:eastAsia="Times New Roman"/>
                <w:b w:val="0"/>
                <w:i w:val="0"/>
                <w:sz w:val="18"/>
              </w:rPr>
              <w:t>Formato que dirección y donantes ya leen; no calcula solo la ruta crítica.</w:t>
            </w:r>
          </w:p>
        </w:tc>
      </w:tr>
      <w:tr>
        <w:tc>
          <w:tcPr>
            <w:tcW w:type="dxa" w:w="2041"/>
          </w:tcPr>
          <w:p>
            <w:pPr>
              <w:spacing w:after="0" w:before="0" w:line="240" w:lineRule="auto"/>
            </w:pPr>
            <w:r/>
            <w:r>
              <w:rPr>
                <w:rFonts w:ascii="Times New Roman" w:hAnsi="Times New Roman" w:cs="Times New Roman" w:eastAsia="Times New Roman"/>
                <w:b w:val="0"/>
                <w:i w:val="0"/>
                <w:sz w:val="18"/>
              </w:rPr>
              <w:t>Trello (Scrum)</w:t>
            </w:r>
          </w:p>
        </w:tc>
        <w:tc>
          <w:tcPr>
            <w:tcW w:type="dxa" w:w="3628"/>
          </w:tcPr>
          <w:p>
            <w:pPr>
              <w:spacing w:after="0" w:before="0" w:line="240" w:lineRule="auto"/>
            </w:pPr>
            <w:r/>
            <w:r>
              <w:rPr>
                <w:rFonts w:ascii="Times New Roman" w:hAnsi="Times New Roman" w:cs="Times New Roman" w:eastAsia="Times New Roman"/>
                <w:b w:val="0"/>
                <w:i w:val="0"/>
                <w:sz w:val="18"/>
              </w:rPr>
              <w:t>Backlog y sprints (Sprint 0 y S1 a S4) de tablero y tickets</w:t>
            </w:r>
          </w:p>
        </w:tc>
        <w:tc>
          <w:tcPr>
            <w:tcW w:type="dxa" w:w="3402"/>
          </w:tcPr>
          <w:p>
            <w:pPr>
              <w:spacing w:after="0" w:before="0" w:line="240" w:lineRule="auto"/>
            </w:pPr>
            <w:r/>
            <w:r>
              <w:rPr>
                <w:rFonts w:ascii="Times New Roman" w:hAnsi="Times New Roman" w:cs="Times New Roman" w:eastAsia="Times New Roman"/>
                <w:b w:val="0"/>
                <w:i w:val="0"/>
                <w:sz w:val="18"/>
              </w:rPr>
              <w:t>Equipo de cuatro. El 20 % de capacidad no se compromete. Lo no terminado vuelve al backlog.</w:t>
            </w:r>
          </w:p>
        </w:tc>
      </w:tr>
      <w:tr>
        <w:tc>
          <w:tcPr>
            <w:tcW w:type="dxa" w:w="2041"/>
            <w:shd w:fill="F2F2F2" w:val="clear"/>
          </w:tcPr>
          <w:p>
            <w:pPr>
              <w:spacing w:after="0" w:before="0" w:line="240" w:lineRule="auto"/>
            </w:pPr>
            <w:r/>
            <w:r>
              <w:rPr>
                <w:rFonts w:ascii="Times New Roman" w:hAnsi="Times New Roman" w:cs="Times New Roman" w:eastAsia="Times New Roman"/>
                <w:b w:val="0"/>
                <w:i w:val="0"/>
                <w:sz w:val="18"/>
              </w:rPr>
              <w:t>Word (este informe)</w:t>
            </w:r>
          </w:p>
        </w:tc>
        <w:tc>
          <w:tcPr>
            <w:tcW w:type="dxa" w:w="3628"/>
            <w:shd w:fill="F2F2F2" w:val="clear"/>
          </w:tcPr>
          <w:p>
            <w:pPr>
              <w:spacing w:after="0" w:before="0" w:line="240" w:lineRule="auto"/>
            </w:pPr>
            <w:r/>
            <w:r>
              <w:rPr>
                <w:rFonts w:ascii="Times New Roman" w:hAnsi="Times New Roman" w:cs="Times New Roman" w:eastAsia="Times New Roman"/>
                <w:b w:val="0"/>
                <w:i w:val="0"/>
                <w:sz w:val="18"/>
              </w:rPr>
              <w:t>Plan que dirección lee para autorizar el piloto</w:t>
            </w:r>
          </w:p>
        </w:tc>
        <w:tc>
          <w:tcPr>
            <w:tcW w:type="dxa" w:w="3402"/>
            <w:shd w:fill="F2F2F2" w:val="clear"/>
          </w:tcPr>
          <w:p>
            <w:pPr>
              <w:spacing w:after="0" w:before="0" w:line="240" w:lineRule="auto"/>
            </w:pPr>
            <w:r/>
            <w:r>
              <w:rPr>
                <w:rFonts w:ascii="Times New Roman" w:hAnsi="Times New Roman" w:cs="Times New Roman" w:eastAsia="Times New Roman"/>
                <w:b w:val="0"/>
                <w:i w:val="0"/>
                <w:sz w:val="18"/>
              </w:rPr>
              <w:t>Es el formato que ya usan los patrocinadores.</w:t>
            </w:r>
          </w:p>
        </w:tc>
      </w:tr>
      <w:tr>
        <w:tc>
          <w:tcPr>
            <w:tcW w:type="dxa" w:w="2041"/>
          </w:tcPr>
          <w:p>
            <w:pPr>
              <w:spacing w:after="0" w:before="0" w:line="240" w:lineRule="auto"/>
            </w:pPr>
            <w:r/>
            <w:r>
              <w:rPr>
                <w:rFonts w:ascii="Times New Roman" w:hAnsi="Times New Roman" w:cs="Times New Roman" w:eastAsia="Times New Roman"/>
                <w:b w:val="0"/>
                <w:i w:val="0"/>
                <w:sz w:val="18"/>
              </w:rPr>
              <w:t>Pizarra</w:t>
            </w:r>
          </w:p>
        </w:tc>
        <w:tc>
          <w:tcPr>
            <w:tcW w:type="dxa" w:w="3628"/>
          </w:tcPr>
          <w:p>
            <w:pPr>
              <w:spacing w:after="0" w:before="0" w:line="240" w:lineRule="auto"/>
            </w:pPr>
            <w:r/>
            <w:r>
              <w:rPr>
                <w:rFonts w:ascii="Times New Roman" w:hAnsi="Times New Roman" w:cs="Times New Roman" w:eastAsia="Times New Roman"/>
                <w:b w:val="0"/>
                <w:i w:val="0"/>
                <w:sz w:val="18"/>
              </w:rPr>
              <w:t>Alineación con dirección y técnico local</w:t>
            </w:r>
          </w:p>
        </w:tc>
        <w:tc>
          <w:tcPr>
            <w:tcW w:type="dxa" w:w="3402"/>
          </w:tcPr>
          <w:p>
            <w:pPr>
              <w:spacing w:after="0" w:before="0" w:line="240" w:lineRule="auto"/>
            </w:pPr>
            <w:r/>
            <w:r>
              <w:rPr>
                <w:rFonts w:ascii="Times New Roman" w:hAnsi="Times New Roman" w:cs="Times New Roman" w:eastAsia="Times New Roman"/>
                <w:b w:val="0"/>
                <w:i w:val="0"/>
                <w:sz w:val="18"/>
              </w:rPr>
              <w:t>Sirve en una reunión; no sustituye Project Libre.</w:t>
            </w:r>
          </w:p>
        </w:tc>
      </w:tr>
    </w:tbl>
    <w:p>
      <w:pPr>
        <w:spacing w:after="80"/>
      </w:pPr>
    </w:p>
    <w:p>
      <w:pPr>
        <w:spacing w:before="40" w:after="160" w:line="240" w:lineRule="auto"/>
        <w:ind w:firstLine="0"/>
        <w:jc w:val="center"/>
      </w:pPr>
      <w:r>
        <w:rPr>
          <w:rFonts w:ascii="Times New Roman" w:hAnsi="Times New Roman" w:cs="Times New Roman" w:eastAsia="Times New Roman"/>
          <w:b w:val="0"/>
          <w:i/>
          <w:color w:val="444444"/>
          <w:sz w:val="18"/>
        </w:rPr>
        <w:t>Tabla 13. Uso de cada herramienta en este plan y motivo de la elección.</w:t>
      </w:r>
    </w:p>
    <w:p>
      <w:pPr>
        <w:spacing w:line="360" w:lineRule="auto" w:after="120" w:before="0"/>
        <w:ind w:firstLine="425"/>
        <w:jc w:val="both"/>
      </w:pPr>
      <w:r>
        <w:rPr>
          <w:rFonts w:ascii="Times New Roman" w:hAnsi="Times New Roman" w:cs="Times New Roman" w:eastAsia="Times New Roman"/>
          <w:b w:val="0"/>
          <w:i w:val="0"/>
          <w:sz w:val="24"/>
        </w:rPr>
        <w:t>El piloto se considerará exitoso cuando cada kit tenga estado, las fallas se puedan atender y un donante lea un informe con datos reales. Programar, por sí solo, no basta.</w:t>
      </w:r>
    </w:p>
    <w:p>
      <w:pPr>
        <w:spacing w:line="276" w:lineRule="auto" w:before="200" w:after="80"/>
        <w:ind w:firstLine="0"/>
        <w:jc w:val="left"/>
        <w:pBdr>
          <w:bottom w:val="single" w:sz="8" w:space="6" w:color="10263D"/>
        </w:pBdr>
      </w:pPr>
      <w:r>
        <w:rPr>
          <w:rFonts w:ascii="Times New Roman" w:hAnsi="Times New Roman" w:cs="Times New Roman" w:eastAsia="Times New Roman"/>
          <w:b/>
          <w:i w:val="0"/>
          <w:color w:val="10263D"/>
          <w:sz w:val="26"/>
        </w:rPr>
        <w:t>Referencias</w:t>
      </w:r>
    </w:p>
    <w:p>
      <w:pPr>
        <w:spacing w:line="360" w:lineRule="auto" w:after="80"/>
        <w:ind w:left="709" w:hanging="709"/>
        <w:jc w:val="both"/>
      </w:pPr>
      <w:r>
        <w:rPr>
          <w:rFonts w:ascii="Times New Roman" w:hAnsi="Times New Roman" w:cs="Times New Roman" w:eastAsia="Times New Roman"/>
          <w:b w:val="0"/>
          <w:i w:val="0"/>
          <w:sz w:val="24"/>
        </w:rPr>
        <w:t>Baud, J.-L. (2020). ITIL 4: Entender el enfoque y adoptar las buenas prácticas. Ediciones ENI.</w:t>
      </w:r>
    </w:p>
    <w:p>
      <w:pPr>
        <w:spacing w:line="360" w:lineRule="auto" w:after="80"/>
        <w:ind w:left="709" w:hanging="709"/>
        <w:jc w:val="both"/>
      </w:pPr>
      <w:r>
        <w:rPr>
          <w:rFonts w:ascii="Times New Roman" w:hAnsi="Times New Roman" w:cs="Times New Roman" w:eastAsia="Times New Roman"/>
          <w:b w:val="0"/>
          <w:i w:val="0"/>
          <w:sz w:val="24"/>
        </w:rPr>
        <w:t>Project Management Institute. (2017). Guía de los fundamentos para la dirección de proyectos (Guía del PMBOK) (6.ª ed.).</w:t>
      </w:r>
    </w:p>
    <w:p>
      <w:pPr>
        <w:spacing w:line="360" w:lineRule="auto" w:after="80"/>
        <w:ind w:left="709" w:hanging="709"/>
        <w:jc w:val="both"/>
      </w:pPr>
      <w:r>
        <w:rPr>
          <w:rFonts w:ascii="Times New Roman" w:hAnsi="Times New Roman" w:cs="Times New Roman" w:eastAsia="Times New Roman"/>
          <w:b w:val="0"/>
          <w:i w:val="0"/>
          <w:sz w:val="24"/>
        </w:rPr>
        <w:t>Project Management Institute. (2021). Guía de los fundamentos para la dirección de proyectos y El estándar para la dirección de proyectos (7.ª ed.).</w:t>
      </w:r>
    </w:p>
    <w:p>
      <w:pPr>
        <w:spacing w:line="360" w:lineRule="auto" w:after="80"/>
        <w:ind w:left="709" w:hanging="709"/>
        <w:jc w:val="both"/>
      </w:pPr>
      <w:r>
        <w:rPr>
          <w:rFonts w:ascii="Times New Roman" w:hAnsi="Times New Roman" w:cs="Times New Roman" w:eastAsia="Times New Roman"/>
          <w:b w:val="0"/>
          <w:i w:val="0"/>
          <w:sz w:val="24"/>
        </w:rPr>
        <w:t>SCRUMstudy. (2023). Guía SBOK (4.ª ed., español).</w:t>
      </w:r>
    </w:p>
    <w:p>
      <w:pPr>
        <w:spacing w:line="360" w:lineRule="auto" w:after="80"/>
        <w:ind w:left="709" w:hanging="709"/>
        <w:jc w:val="both"/>
      </w:pPr>
      <w:r>
        <w:rPr>
          <w:rFonts w:ascii="Times New Roman" w:hAnsi="Times New Roman" w:cs="Times New Roman" w:eastAsia="Times New Roman"/>
          <w:b w:val="0"/>
          <w:i w:val="0"/>
          <w:sz w:val="24"/>
        </w:rPr>
        <w:t>Wysocki, R. K. (2019). Effective project management: Traditional, agile, extreme, hybrid (8th ed.). Wiley.</w:t>
      </w:r>
    </w:p>
    <w:sectPr w:rsidR="00FC693F" w:rsidRPr="0006063C" w:rsidSect="00034616">
      <w:headerReference w:type="default" r:id="rId12"/>
      <w:footerReference w:type="default" r:id="rId13"/>
      <w:pgSz w:w="11906" w:h="16838"/>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color w:val="555555"/>
        <w:sz w:val="18"/>
      </w:rPr>
      <w:t xml:space="preserve">Kiran - </w:t>
    </w:r>
    <w:r>
      <w:rPr>
        <w:rFonts w:ascii="Times New Roman" w:hAnsi="Times New Roman" w:cs="Times New Roman" w:eastAsia="Times New Roman"/>
        <w:b w:val="0"/>
        <w:i w:val="0"/>
        <w:color w:val="55555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s="Times New Roman" w:eastAsia="Times New Roman"/>
        <w:b w:val="0"/>
        <w:i w:val="0"/>
        <w:color w:val="555555"/>
        <w:sz w:val="18"/>
      </w:rPr>
      <w:t>Kiran - Plan preliminar del piloto - uso interno de dirección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