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16747A"/>
          <w:sz w:val="20"/>
        </w:rPr>
        <w:t>LECTURAS PARA PENSAR EL PERÚ</w:t>
      </w:r>
    </w:p>
    <w:p>
      <w:pPr>
        <w:spacing w:after="240"/>
        <w:jc w:val="center"/>
      </w:pPr>
      <w:r>
        <w:rPr>
          <w:rFonts w:ascii="Calibri" w:hAnsi="Calibri"/>
          <w:b/>
          <w:color w:val="18364C"/>
          <w:sz w:val="50"/>
        </w:rPr>
        <w:t>¿Puede haber buenos mercados</w:t>
        <w:br/>
        <w:t>sin un Estado capaz?</w:t>
      </w:r>
    </w:p>
    <w:p>
      <w:pPr>
        <w:spacing w:after="480"/>
        <w:jc w:val="center"/>
      </w:pPr>
      <w:r>
        <w:rPr>
          <w:rFonts w:ascii="Calibri" w:hAnsi="Calibri"/>
          <w:b/>
          <w:color w:val="16747A"/>
          <w:sz w:val="28"/>
        </w:rPr>
        <w:t>Ronda 1 | Estado, mercado e instituciones</w:t>
      </w:r>
    </w:p>
    <w:tbl>
      <w:tblPr>
        <w:tblW w:type="auto" w:w="0"/>
        <w:tblLayout w:type="fixed"/>
        <w:tblLook w:firstColumn="1" w:firstRow="1" w:lastColumn="0" w:lastRow="0" w:noHBand="0" w:noVBand="1" w:val="04A0"/>
      </w:tblPr>
      <w:tblGrid>
        <w:gridCol w:w="8208"/>
      </w:tblGrid>
      <w:tr>
        <w:tc>
          <w:tcPr>
            <w:tcW w:type="dxa" w:w="9792"/>
            <w:shd w:fill="EAF3F3"/>
            <w:tcMar>
              <w:top w:w="220" w:type="dxa"/>
              <w:start w:w="260" w:type="dxa"/>
              <w:bottom w:w="220" w:type="dxa"/>
              <w:end w:w="260" w:type="dxa"/>
            </w:tcMar>
          </w:tcPr>
          <w:p>
            <w:pPr>
              <w:jc w:val="center"/>
            </w:pPr>
            <w:r>
              <w:rPr>
                <w:rFonts w:ascii="Calibri" w:hAnsi="Calibri"/>
                <w:color w:val="18364C"/>
                <w:sz w:val="23"/>
              </w:rPr>
              <w:t>Una lectura para salir del reflejo Estado vs. mercado y discutir complementariedades.</w:t>
            </w:r>
          </w:p>
        </w:tc>
      </w:tr>
    </w:tbl>
    <w:p>
      <w:pPr>
        <w:spacing w:before="560"/>
        <w:jc w:val="center"/>
      </w:pPr>
      <w:r>
        <w:rPr>
          <w:rFonts w:ascii="Calibri" w:hAnsi="Calibri"/>
          <w:color w:val="5B6770"/>
          <w:sz w:val="19"/>
        </w:rPr>
        <w:t>Junio de 2026 | Una guía breve para leer, pensar y conversar</w:t>
      </w:r>
    </w:p>
    <w:p>
      <w:r>
        <w:br w:type="page"/>
      </w:r>
    </w:p>
    <w:p>
      <w:pPr>
        <w:pStyle w:val="Heading1"/>
      </w:pPr>
      <w:r>
        <w:t>Para abrir la conversación</w:t>
      </w:r>
    </w:p>
    <w:p>
      <w:pPr>
        <w:pStyle w:val="Lead"/>
      </w:pPr>
      <w:r>
        <w:rPr>
          <w:rFonts w:ascii="Calibri" w:hAnsi="Calibri"/>
          <w:color w:val="20272C"/>
        </w:rPr>
        <w:t>En el Perú, el debate económico suele encenderse rápido: Estado contra mercado, izquierda contra derecha, intervención contra libertad económica. Esa forma de discutir puede movilizar políticamente, pero no siempre ayuda a entender cómo se construye desarrollo.</w:t>
      </w:r>
    </w:p>
    <w:p>
      <w:r>
        <w:rPr>
          <w:rFonts w:ascii="Calibri" w:hAnsi="Calibri"/>
          <w:color w:val="20272C"/>
        </w:rPr>
        <w:t>La pregunta de esta ronda intenta salir de esa trampa. No parte de defender “más Estado” ni “más mercado”, sino de explorar una idea más exigente: los buenos mercados necesitan capacidades públicas, y los Estados que buscan desarrollo necesitan mercados dinámicos, inversión, competencia, innovación y empleo productivo.</w:t>
      </w:r>
    </w:p>
    <w:p>
      <w:r>
        <w:rPr>
          <w:rFonts w:ascii="Calibri" w:hAnsi="Calibri"/>
          <w:color w:val="20272C"/>
        </w:rPr>
        <w:t>El problema no es solo elegir entre Estado o mercado. Es entender cuándo se complementan, cuándo se bloquean y cuándo uno captura o debilita al otro.</w:t>
      </w:r>
    </w:p>
    <w:p>
      <w:pPr>
        <w:pStyle w:val="Heading1"/>
      </w:pPr>
      <w:r>
        <w:t>Mapa de la ronda</w:t>
      </w:r>
    </w:p>
    <w:p>
      <w:pPr>
        <w:jc w:val="center"/>
      </w:pPr>
      <w:r>
        <w:drawing>
          <wp:inline xmlns:a="http://schemas.openxmlformats.org/drawingml/2006/main" xmlns:pic="http://schemas.openxmlformats.org/drawingml/2006/picture">
            <wp:extent cx="5806440" cy="2741930"/>
            <wp:docPr id="1" name="Picture 1"/>
            <wp:cNvGraphicFramePr>
              <a:graphicFrameLocks noChangeAspect="1"/>
            </wp:cNvGraphicFramePr>
            <a:graphic>
              <a:graphicData uri="http://schemas.openxmlformats.org/drawingml/2006/picture">
                <pic:pic>
                  <pic:nvPicPr>
                    <pic:cNvPr id="0" name="Ronda_01_estado_mercado_mapa.png"/>
                    <pic:cNvPicPr/>
                  </pic:nvPicPr>
                  <pic:blipFill>
                    <a:blip r:embed="rId11"/>
                    <a:stretch>
                      <a:fillRect/>
                    </a:stretch>
                  </pic:blipFill>
                  <pic:spPr>
                    <a:xfrm>
                      <a:off x="0" y="0"/>
                      <a:ext cx="5806440" cy="2741930"/>
                    </a:xfrm>
                    <a:prstGeom prst="rect"/>
                  </pic:spPr>
                </pic:pic>
              </a:graphicData>
            </a:graphic>
          </wp:inline>
        </w:drawing>
      </w:r>
    </w:p>
    <w:p>
      <w:r>
        <w:rPr>
          <w:rFonts w:ascii="Calibri" w:hAnsi="Calibri"/>
          <w:color w:val="20272C"/>
        </w:rPr>
        <w:t>La discusión se organiza alrededor de cuatro ideas:</w:t>
      </w:r>
    </w:p>
    <w:p>
      <w:pPr>
        <w:pStyle w:val="ListBullet"/>
      </w:pPr>
      <w:r>
        <w:rPr>
          <w:rFonts w:ascii="Calibri" w:hAnsi="Calibri"/>
          <w:color w:val="20272C"/>
        </w:rPr>
        <w:t>no hay receta universal de desarrollo;</w:t>
      </w:r>
    </w:p>
    <w:p>
      <w:pPr>
        <w:pStyle w:val="ListBullet"/>
      </w:pPr>
      <w:r>
        <w:rPr>
          <w:rFonts w:ascii="Calibri" w:hAnsi="Calibri"/>
          <w:color w:val="20272C"/>
        </w:rPr>
        <w:t>el Estado puede resolver problemas que los mercados no resuelven solos;</w:t>
      </w:r>
    </w:p>
    <w:p>
      <w:pPr>
        <w:pStyle w:val="ListBullet"/>
      </w:pPr>
      <w:r>
        <w:rPr>
          <w:rFonts w:ascii="Calibri" w:hAnsi="Calibri"/>
          <w:color w:val="20272C"/>
        </w:rPr>
        <w:t>las reformas económicas fallan si ignoran la política;</w:t>
      </w:r>
    </w:p>
    <w:p>
      <w:pPr>
        <w:pStyle w:val="ListBullet"/>
      </w:pPr>
      <w:r>
        <w:rPr>
          <w:rFonts w:ascii="Calibri" w:hAnsi="Calibri"/>
          <w:color w:val="20272C"/>
        </w:rPr>
        <w:t>la política productiva requiere aprendizaje, disciplina y capacidad pública.</w:t>
      </w:r>
    </w:p>
    <w:p>
      <w:pPr>
        <w:pStyle w:val="Heading1"/>
      </w:pPr>
      <w:r>
        <w:t>1. No hay recetas universales</w:t>
      </w:r>
    </w:p>
    <w:p>
      <w:r>
        <w:rPr>
          <w:rFonts w:ascii="Calibri" w:hAnsi="Calibri"/>
          <w:i/>
          <w:color w:val="20272C"/>
        </w:rPr>
        <w:t>Goodbye Washington Consensus, Hello Washington Confusion?</w:t>
      </w:r>
      <w:r>
        <w:rPr>
          <w:rFonts w:ascii="Calibri" w:hAnsi="Calibri"/>
          <w:color w:val="20272C"/>
        </w:rPr>
        <w:t xml:space="preserve"> — Rodrik (2006)</w:t>
      </w:r>
    </w:p>
    <w:p>
      <w:pPr>
        <w:pStyle w:val="Heading2"/>
      </w:pPr>
      <w:r>
        <w:t>La pregunta</w:t>
      </w:r>
    </w:p>
    <w:p>
      <w:r>
        <w:rPr>
          <w:rFonts w:ascii="Calibri" w:hAnsi="Calibri"/>
          <w:color w:val="20272C"/>
        </w:rPr>
        <w:t>¿Qué reemplaza al viejo paquete de reformas asociado al Consenso de Washington? Rodrik revisa un informe del Banco Mundial sobre las reformas de los años noventa y sostiene que el debate ya no puede reducirse a liberalizar, privatizar y estabilizar como receta general.</w:t>
      </w:r>
    </w:p>
    <w:p>
      <w:pPr>
        <w:pStyle w:val="Heading2"/>
      </w:pPr>
      <w:r>
        <w:t>Evidencia y argumento</w:t>
      </w:r>
    </w:p>
    <w:p>
      <w:r>
        <w:rPr>
          <w:rFonts w:ascii="Calibri" w:hAnsi="Calibri"/>
          <w:color w:val="20272C"/>
        </w:rPr>
        <w:t>El artículo es una revisión crítica de política de desarrollo. Su punto central es que las restricciones al crecimiento difieren entre países. En algunos casos el problema puede ser macroeconómico; en otros, falta de infraestructura, debilidad institucional, bajo retorno a la inversión, fallas de coordinación o insuficiente aprendizaje productivo.</w:t>
      </w:r>
    </w:p>
    <w:p>
      <w:r>
        <w:rPr>
          <w:rFonts w:ascii="Calibri" w:hAnsi="Calibri"/>
          <w:color w:val="20272C"/>
        </w:rPr>
        <w:t>Por eso, Rodrik defiende una aproximación diagnóstica: identificar los cuellos de botella relevantes, experimentar con reformas selectivas y aprender de sus resultados. La buena política económica no consiste en aplicar una lista fija, sino en adaptar principios generales a problemas concretos.</w:t>
      </w:r>
    </w:p>
    <w:p>
      <w:r>
        <w:rPr>
          <w:rFonts w:ascii="Calibri" w:hAnsi="Calibri"/>
          <w:color w:val="20272C"/>
        </w:rPr>
        <w:t>El punto es importante porque cambia la manera de discutir reformas. Una política puede sonar razonable en abstracto, pero ser secundaria si no ataca la restricción principal. Por ejemplo, simplificar trámites puede ayudar poco si el cuello de botella real es infraestructura; invertir en infraestructura puede rendir menos si la restricción principal es inseguridad jurídica; liberalizar un mercado puede no aumentar productividad si las firmas no tienen capacidades, crédito, información o conexiones para competir.</w:t>
      </w:r>
    </w:p>
    <w:p>
      <w:r>
        <w:rPr>
          <w:rFonts w:ascii="Calibri" w:hAnsi="Calibri"/>
          <w:color w:val="20272C"/>
        </w:rPr>
        <w:t>Rodrik no propone abandonar la disciplina económica. Propone usarla con más humildad. En lugar de una lista universal, sugiere una secuencia de diagnóstico, experimentación y aprendizaje. Esta idea es especialmente útil para países donde el debate público busca respuestas rápidas: menos “modelo correcto” y más identificación precisa de restricciones.</w:t>
      </w:r>
    </w:p>
    <w:p>
      <w:pPr>
        <w:pStyle w:val="Heading2"/>
      </w:pPr>
      <w:r>
        <w:t>Qué aporta</w:t>
      </w:r>
    </w:p>
    <w:p>
      <w:r>
        <w:rPr>
          <w:rFonts w:ascii="Calibri" w:hAnsi="Calibri"/>
          <w:color w:val="20272C"/>
        </w:rPr>
        <w:t>Para una conversación polarizada, este texto sirve como antídoto. No dice que el mercado no importe ni que el Estado deba hacerlo todo. Dice que las reformas deben responder a restricciones específicas y que la diversidad institucional puede ser compatible con el desarrollo.</w:t>
      </w:r>
    </w:p>
    <w:p>
      <w:r>
        <w:rPr>
          <w:rFonts w:ascii="Calibri" w:hAnsi="Calibri"/>
          <w:color w:val="20272C"/>
        </w:rPr>
        <w:t>También ayuda a ordenar la discusión peruana. Si una región no despega, puede ser por mala conectividad, baja seguridad, falta de capacidades laborales, ausencia de proveedores, baja calidad de servicios públicos o reglas impredecibles. Cada explicación lleva a una política distinta. El debate “Estado o mercado” se vuelve demasiado grueso para captar esas diferencias.</w:t>
      </w:r>
    </w:p>
    <w:p>
      <w:pPr>
        <w:pStyle w:val="Heading2"/>
      </w:pPr>
      <w:r>
        <w:t>Límite</w:t>
      </w:r>
    </w:p>
    <w:p>
      <w:r>
        <w:rPr>
          <w:rFonts w:ascii="Calibri" w:hAnsi="Calibri"/>
          <w:color w:val="20272C"/>
        </w:rPr>
        <w:t>El texto no entrega una guía operativa para el Perú. Su valor está en cambiar la pregunta: antes de discutir si una reforma es “pro-Estado” o “pro-mercado”, hay que preguntar qué problema intenta resolver y qué evidencia tenemos de que ese es el cuello de botella.</w:t>
      </w:r>
    </w:p>
    <w:p>
      <w:pPr>
        <w:pStyle w:val="Heading1"/>
      </w:pPr>
      <w:r>
        <w:t>2. El Estado como coordinador del desarrollo</w:t>
      </w:r>
    </w:p>
    <w:p>
      <w:r>
        <w:rPr>
          <w:rFonts w:ascii="Calibri" w:hAnsi="Calibri"/>
          <w:i/>
          <w:color w:val="20272C"/>
        </w:rPr>
        <w:t>State and Development: The Need for a Reappraisal of the Current Literature</w:t>
      </w:r>
      <w:r>
        <w:rPr>
          <w:rFonts w:ascii="Calibri" w:hAnsi="Calibri"/>
          <w:color w:val="20272C"/>
        </w:rPr>
        <w:t xml:space="preserve"> — Bardhan (2016)</w:t>
      </w:r>
    </w:p>
    <w:p>
      <w:pPr>
        <w:pStyle w:val="Heading2"/>
      </w:pPr>
      <w:r>
        <w:t>La pregunta</w:t>
      </w:r>
    </w:p>
    <w:p>
      <w:r>
        <w:rPr>
          <w:rFonts w:ascii="Calibri" w:hAnsi="Calibri"/>
          <w:color w:val="20272C"/>
        </w:rPr>
        <w:t>¿Qué funciones cumple el Estado en el desarrollo que los mercados y las firmas privadas no resuelven por sí solos? Bardhan revisa la literatura sobre Estado e instituciones y pide una mirada menos simplificada.</w:t>
      </w:r>
    </w:p>
    <w:p>
      <w:pPr>
        <w:pStyle w:val="Heading2"/>
      </w:pPr>
      <w:r>
        <w:t>Evidencia y argumento</w:t>
      </w:r>
    </w:p>
    <w:p>
      <w:r>
        <w:rPr>
          <w:rFonts w:ascii="Calibri" w:hAnsi="Calibri"/>
          <w:color w:val="20272C"/>
        </w:rPr>
        <w:t>El artículo discute fallas de coordinación, acción colectiva, transformación estructural, capacidad estatal, coaliciones políticas, descentralización, rendición de cuentas y conflictos entre compromiso y control. Una economía puede necesitar inversión complementaria en infraestructura, educación, tecnología o logística, pero ningún actor privado tiene incentivos suficientes para coordinar todo el proceso.</w:t>
      </w:r>
    </w:p>
    <w:p>
      <w:r>
        <w:rPr>
          <w:rFonts w:ascii="Calibri" w:hAnsi="Calibri"/>
          <w:color w:val="20272C"/>
        </w:rPr>
        <w:t>El Estado puede ayudar a resolver esos problemas, pero no lo hace automáticamente. También puede ser capturado, actuar con baja capacidad o sostener equilibrios políticos que reparten rentas sin generar productividad.</w:t>
      </w:r>
    </w:p>
    <w:p>
      <w:r>
        <w:rPr>
          <w:rFonts w:ascii="Calibri" w:hAnsi="Calibri"/>
          <w:color w:val="20272C"/>
        </w:rPr>
        <w:t>Bardhan enfatiza que el desarrollo requiere algo más que proteger derechos de propiedad o reducir costos de transacción. Esas funciones importan, pero no agotan el problema. Las economías pobres suelen necesitar transformación estructural: mover recursos hacia actividades de mayor productividad, coordinar inversiones complementarias y construir capacidades colectivas que ningún actor individual puede financiar por completo.</w:t>
      </w:r>
    </w:p>
    <w:p>
      <w:r>
        <w:rPr>
          <w:rFonts w:ascii="Calibri" w:hAnsi="Calibri"/>
          <w:color w:val="20272C"/>
        </w:rPr>
        <w:t>La coordinación es el ejemplo central. Una empresa puede querer invertir, pero necesita carreteras, energía, trabajadores capacitados, proveedores, reglas estables y acceso a mercados. Si cada actor espera a que los demás inviertan, el equilibrio puede quedar atrapado en baja productividad. En esos casos, el Estado puede organizar expectativas, reducir incertidumbre y crear bienes públicos que hagan viables nuevas actividades.</w:t>
      </w:r>
    </w:p>
    <w:p>
      <w:r>
        <w:rPr>
          <w:rFonts w:ascii="Calibri" w:hAnsi="Calibri"/>
          <w:color w:val="20272C"/>
        </w:rPr>
        <w:t>Pero Bardhan no idealiza al Estado. Un Estado con baja rendición de cuentas puede prometer demasiado, sostener privilegios o repartir rentas para mantener coaliciones políticas. Por eso el problema no es solo “más funciones públicas”, sino capacidades públicas con controles, legitimidad y límites.</w:t>
      </w:r>
    </w:p>
    <w:p>
      <w:pPr>
        <w:pStyle w:val="Heading2"/>
      </w:pPr>
      <w:r>
        <w:t>Qué aporta</w:t>
      </w:r>
    </w:p>
    <w:p>
      <w:r>
        <w:rPr>
          <w:rFonts w:ascii="Calibri" w:hAnsi="Calibri"/>
          <w:color w:val="20272C"/>
        </w:rPr>
        <w:t>Bardhan ayuda a evitar dos caricaturas. La primera: creer que los mercados siempre coordinan espontáneamente el desarrollo. La segunda: creer que basta con darle más funciones al Estado. La pregunta correcta es qué capacidades, controles y coaliciones permiten que el Estado cumpla funciones productivas.</w:t>
      </w:r>
    </w:p>
    <w:p>
      <w:r>
        <w:rPr>
          <w:rFonts w:ascii="Calibri" w:hAnsi="Calibri"/>
          <w:color w:val="20272C"/>
        </w:rPr>
        <w:t>Para el Perú, esta lectura abre una discusión potente: el país puede tener sectores exportadores competitivos y, al mismo tiempo, fallas de coordinación que impiden encadenamientos, innovación o integración territorial. El Estado puede ser necesario para resolver esas fallas, pero si no tiene capacidad puede convertir la intervención en burocracia, discrecionalidad o captura.</w:t>
      </w:r>
    </w:p>
    <w:p>
      <w:pPr>
        <w:pStyle w:val="Heading2"/>
      </w:pPr>
      <w:r>
        <w:t>Límite</w:t>
      </w:r>
    </w:p>
    <w:p>
      <w:r>
        <w:rPr>
          <w:rFonts w:ascii="Calibri" w:hAnsi="Calibri"/>
          <w:color w:val="20272C"/>
        </w:rPr>
        <w:t>Es una revisión conceptual amplia. No prueba que una política estatal concreta vaya a funcionar en un país específico. Más bien ofrece un mapa de mecanismos que deben estudiarse con evidencia local.</w:t>
      </w:r>
    </w:p>
    <w:p>
      <w:pPr>
        <w:pStyle w:val="Heading1"/>
      </w:pPr>
      <w:r>
        <w:t>3. Las reformas económicas también cambian la política</w:t>
      </w:r>
    </w:p>
    <w:p>
      <w:r>
        <w:rPr>
          <w:rFonts w:ascii="Calibri" w:hAnsi="Calibri"/>
          <w:i/>
          <w:color w:val="20272C"/>
        </w:rPr>
        <w:t>Economics versus Politics: Pitfalls of Policy Advice</w:t>
      </w:r>
      <w:r>
        <w:rPr>
          <w:rFonts w:ascii="Calibri" w:hAnsi="Calibri"/>
          <w:color w:val="20272C"/>
        </w:rPr>
        <w:t xml:space="preserve"> — Acemoglu y Robinson (2013)</w:t>
      </w:r>
    </w:p>
    <w:p>
      <w:pPr>
        <w:pStyle w:val="Heading2"/>
      </w:pPr>
      <w:r>
        <w:t>La pregunta</w:t>
      </w:r>
    </w:p>
    <w:p>
      <w:r>
        <w:rPr>
          <w:rFonts w:ascii="Calibri" w:hAnsi="Calibri"/>
          <w:color w:val="20272C"/>
        </w:rPr>
        <w:t>¿Qué pasa cuando los economistas recomiendan políticas ignorando sus efectos políticos? Acemoglu y Robinson critican la idea de que basta con identificar una falla de mercado y removerla rápidamente.</w:t>
      </w:r>
    </w:p>
    <w:p>
      <w:pPr>
        <w:pStyle w:val="Heading2"/>
      </w:pPr>
      <w:r>
        <w:t>Evidencia y argumento</w:t>
      </w:r>
    </w:p>
    <w:p>
      <w:r>
        <w:rPr>
          <w:rFonts w:ascii="Calibri" w:hAnsi="Calibri"/>
          <w:color w:val="20272C"/>
        </w:rPr>
        <w:t>El ensayo muestra que las políticas actuales pueden modificar equilibrios políticos futuros. Una reforma técnicamente atractiva puede fortalecer actores que luego bloqueen cambios más profundos, debilitar coaliciones reformistas o alterar la distribución de poder de manera contraproducente.</w:t>
      </w:r>
    </w:p>
    <w:p>
      <w:r>
        <w:rPr>
          <w:rFonts w:ascii="Calibri" w:hAnsi="Calibri"/>
          <w:color w:val="20272C"/>
        </w:rPr>
        <w:t>Esto no significa abandonar el análisis económico, sino ampliarlo. La política económica debe considerar incentivos, poder, coaliciones y efectos dinámicos. Una reforma puede ser correcta en el pizarrón y frágil en la práctica.</w:t>
      </w:r>
    </w:p>
    <w:p>
      <w:r>
        <w:rPr>
          <w:rFonts w:ascii="Calibri" w:hAnsi="Calibri"/>
          <w:color w:val="20272C"/>
        </w:rPr>
        <w:t>El argumento es incómodo porque obliga a pensar en el tiempo. Una política no solo corrige una distorsión hoy; también cambia quién gana recursos, quién adquiere poder y quién tendrá capacidad de influir mañana. Si una reforma fortalece a un grupo que luego bloquea competencia, transparencia o mayor capacidad estatal, su efecto de largo plazo puede ser peor que su efecto inmediato.</w:t>
      </w:r>
    </w:p>
    <w:p>
      <w:r>
        <w:rPr>
          <w:rFonts w:ascii="Calibri" w:hAnsi="Calibri"/>
          <w:color w:val="20272C"/>
        </w:rPr>
        <w:t>Esto es especialmente relevante para reformas que se presentan como técnicas y neutrales. Privatizaciones, subsidios, desregulación, regulación nueva, programas sociales o políticas de promoción productiva pueden crear coaliciones beneficiadas. Algunas coaliciones sostienen mejoras; otras defienden rentas. La evaluación económica debe mirar ambos planos: eficiencia inmediata y equilibrio político posterior.</w:t>
      </w:r>
    </w:p>
    <w:p>
      <w:r>
        <w:rPr>
          <w:rFonts w:ascii="Calibri" w:hAnsi="Calibri"/>
          <w:color w:val="20272C"/>
        </w:rPr>
        <w:t>La idea tampoco implica parálisis. No quiere decir que toda reforma sea imposible porque “la política contamina todo”. Quiere decir que el diseño debe anticipar incentivos políticos: transparencia, reglas de salida, competencia, rendición de cuentas, distribución de beneficios y mecanismos para evitar que los beneficiarios capturen el programa.</w:t>
      </w:r>
    </w:p>
    <w:p>
      <w:pPr>
        <w:pStyle w:val="Heading2"/>
      </w:pPr>
      <w:r>
        <w:t>Qué aporta</w:t>
      </w:r>
    </w:p>
    <w:p>
      <w:r>
        <w:rPr>
          <w:rFonts w:ascii="Calibri" w:hAnsi="Calibri"/>
          <w:color w:val="20272C"/>
        </w:rPr>
        <w:t>Para el Perú, esta lectura es especialmente útil en contexto electoral. Muchas propuestas se presentan como si solo hiciera falta voluntad o técnica. Pero las reformas viven dentro de un sistema político fragmentado, con actores que ganan y pierden, con capacidad desigual para bloquear o capturar cambios.</w:t>
      </w:r>
    </w:p>
    <w:p>
      <w:r>
        <w:rPr>
          <w:rFonts w:ascii="Calibri" w:hAnsi="Calibri"/>
          <w:color w:val="20272C"/>
        </w:rPr>
        <w:t>También ayuda a leer por qué algunas reformas no sobreviven. No basta con que un diagnóstico sea correcto; debe existir una coalición capaz de sostenerlo, una implementación creíble y mecanismos para que los beneficios no se concentren en grupos que luego bloqueen ajustes.</w:t>
      </w:r>
    </w:p>
    <w:p>
      <w:pPr>
        <w:pStyle w:val="Heading2"/>
      </w:pPr>
      <w:r>
        <w:t>Límite</w:t>
      </w:r>
    </w:p>
    <w:p>
      <w:r>
        <w:rPr>
          <w:rFonts w:ascii="Calibri" w:hAnsi="Calibri"/>
          <w:color w:val="20272C"/>
        </w:rPr>
        <w:t>El texto no ofrece una fórmula para diseñar coaliciones reformistas. Su aporte es advertir que las políticas económicas no operan en el vacío.</w:t>
      </w:r>
    </w:p>
    <w:p>
      <w:pPr>
        <w:pStyle w:val="Heading1"/>
      </w:pPr>
      <w:r>
        <w:t>4. Política industrial sin nostalgia ni ingenuidad</w:t>
      </w:r>
    </w:p>
    <w:p>
      <w:r>
        <w:rPr>
          <w:rFonts w:ascii="Calibri" w:hAnsi="Calibri"/>
          <w:i/>
          <w:color w:val="20272C"/>
        </w:rPr>
        <w:t>The New Economics of Industrial Policy</w:t>
      </w:r>
      <w:r>
        <w:rPr>
          <w:rFonts w:ascii="Calibri" w:hAnsi="Calibri"/>
          <w:color w:val="20272C"/>
        </w:rPr>
        <w:t xml:space="preserve"> — Juhász, Lane y Rodrik (2024)</w:t>
      </w:r>
    </w:p>
    <w:p>
      <w:pPr>
        <w:pStyle w:val="Heading2"/>
      </w:pPr>
      <w:r>
        <w:t>La pregunta</w:t>
      </w:r>
    </w:p>
    <w:p>
      <w:r>
        <w:rPr>
          <w:rFonts w:ascii="Calibri" w:hAnsi="Calibri"/>
          <w:color w:val="20272C"/>
        </w:rPr>
        <w:t>¿Ha cambiado la forma en que los economistas piensan la política industrial? Juhász, Lane y Rodrik revisan una literatura reciente que estudia políticas orientadas a transformar estructuras productivas, promover aprendizaje y resolver fallas de coordinación.</w:t>
      </w:r>
    </w:p>
    <w:p>
      <w:pPr>
        <w:pStyle w:val="Heading2"/>
      </w:pPr>
      <w:r>
        <w:t>Evidencia y argumento</w:t>
      </w:r>
    </w:p>
    <w:p>
      <w:r>
        <w:rPr>
          <w:rFonts w:ascii="Calibri" w:hAnsi="Calibri"/>
          <w:color w:val="20272C"/>
        </w:rPr>
        <w:t>La revisión muestra que la política industrial contemporánea no se reduce al viejo proteccionismo ni a subsidios permanentes. Puede incluir apoyo a innovación, coordinación de inversiones, infraestructura específica, compras públicas, capacitación, encadenamientos y tecnologías estratégicas.</w:t>
      </w:r>
    </w:p>
    <w:p>
      <w:r>
        <w:rPr>
          <w:rFonts w:ascii="Calibri" w:hAnsi="Calibri"/>
          <w:color w:val="20272C"/>
        </w:rPr>
        <w:t>Pero el texto también obliga a tomar en serio los riesgos: captura, mala selección de sectores, desperdicio de recursos y falta de disciplina para retirar apoyos cuando no funcionan. La política industrial exige capacidad estatal, evaluación y mecanismos de corrección.</w:t>
      </w:r>
    </w:p>
    <w:p>
      <w:r>
        <w:rPr>
          <w:rFonts w:ascii="Calibri" w:hAnsi="Calibri"/>
          <w:color w:val="20272C"/>
        </w:rPr>
        <w:t>La contribución de esta literatura es separar la política industrial moderna de dos imágenes antiguas. La primera es la nostalgia por un Estado que decide desde arriba qué sectores deben ganar y los protege indefinidamente. La segunda es la idea de que cualquier intervención productiva está condenada a fracasar por captura o mala información. La discusión actual es más práctica: bajo qué condiciones una política puede resolver fallas de coordinación, aprendizaje o innovación sin convertirse en privilegio.</w:t>
      </w:r>
    </w:p>
    <w:p>
      <w:r>
        <w:rPr>
          <w:rFonts w:ascii="Calibri" w:hAnsi="Calibri"/>
          <w:color w:val="20272C"/>
        </w:rPr>
        <w:t>El énfasis en aprendizaje es clave. Muchas actividades productivas requieren probar tecnologías, entrenar trabajadores, conectar proveedores, crear estándares, adaptar conocimiento y asumir costos iniciales que las firmas no siempre pueden capturar individualmente. Si una empresa invierte y demuestra que una actividad funciona, otras pueden copiarla; por eso puede haber subinversión privada en descubrimiento productivo.</w:t>
      </w:r>
    </w:p>
    <w:p>
      <w:r>
        <w:rPr>
          <w:rFonts w:ascii="Calibri" w:hAnsi="Calibri"/>
          <w:color w:val="20272C"/>
        </w:rPr>
        <w:t>Pero la respuesta pública debe venir con disciplina. Si el apoyo no tiene metas, plazos, evaluación y posibilidad de retiro, puede transformarse en protección a firmas poco productivas. La política industrial moderna, en su mejor versión, no es un cheque en blanco: es una apuesta condicionada, evaluable y corregible.</w:t>
      </w:r>
    </w:p>
    <w:p>
      <w:pPr>
        <w:pStyle w:val="Heading2"/>
      </w:pPr>
      <w:r>
        <w:t>Qué aporta</w:t>
      </w:r>
    </w:p>
    <w:p>
      <w:r>
        <w:rPr>
          <w:rFonts w:ascii="Calibri" w:hAnsi="Calibri"/>
          <w:color w:val="20272C"/>
        </w:rPr>
        <w:t>Esta lectura conecta el debate Estado-mercado con la diversificación productiva. El punto no es sustituir al mercado, sino crear condiciones para que aparezcan actividades de mayor productividad cuando existen fallas de aprendizaje, coordinación o información.</w:t>
      </w:r>
    </w:p>
    <w:p>
      <w:r>
        <w:rPr>
          <w:rFonts w:ascii="Calibri" w:hAnsi="Calibri"/>
          <w:color w:val="20272C"/>
        </w:rPr>
        <w:t>En el Perú, esto conversa directamente con minería, agroexportación, pesca, turismo, servicios, ciudades intermedias y proveedores locales. La pregunta no es si el Estado debe “escoger ganadores” de manera arbitraria, sino si puede ayudar a construir capacidades comunes: infraestructura, certificaciones, tecnología, formación, investigación aplicada, logística y encadenamientos.</w:t>
      </w:r>
    </w:p>
    <w:p>
      <w:pPr>
        <w:pStyle w:val="Heading2"/>
      </w:pPr>
      <w:r>
        <w:t>Límite</w:t>
      </w:r>
    </w:p>
    <w:p>
      <w:r>
        <w:rPr>
          <w:rFonts w:ascii="Calibri" w:hAnsi="Calibri"/>
          <w:color w:val="20272C"/>
        </w:rPr>
        <w:t>Como lectura complementaria, conviene usarla con cautela. No toda política industrial es buena por llamarse “industrial”, y no todo país tiene capacidad para implementarla bien. Justamente por eso vuelve al tema central de la ronda: sin Estado capaz, las intervenciones pueden volverse captura.</w:t>
      </w:r>
    </w:p>
    <w:p>
      <w:pPr>
        <w:pStyle w:val="Heading1"/>
      </w:pPr>
      <w:r>
        <w:t>Reflexión para el Perú</w:t>
      </w:r>
    </w:p>
    <w:p>
      <w:pPr>
        <w:pStyle w:val="Heading2"/>
      </w:pPr>
      <w:r>
        <w:t>Lo que la literatura permite afirmar</w:t>
      </w:r>
    </w:p>
    <w:p>
      <w:r>
        <w:rPr>
          <w:rFonts w:ascii="Calibri" w:hAnsi="Calibri"/>
          <w:color w:val="20272C"/>
        </w:rPr>
        <w:t>Estas lecturas respaldan una idea común: el desarrollo no se entiende bien como una elección simple entre Estado y mercado. Los mercados necesitan reglas, infraestructura, información, seguridad jurídica, bienes públicos y regulación. El Estado necesita mercados que produzcan, inviertan, innoven, compitan y generen empleo.</w:t>
      </w:r>
    </w:p>
    <w:p>
      <w:r>
        <w:rPr>
          <w:rFonts w:ascii="Calibri" w:hAnsi="Calibri"/>
          <w:color w:val="20272C"/>
        </w:rPr>
        <w:t>Cuando esa complementariedad falla, no aparece necesariamente un “mercado libre” ni un “Estado social”. Puede aparecer informalidad, baja productividad, servicios deficientes, captura regulatoria, privilegios privados, burocracia ineficaz o intervención pública sin evaluación.</w:t>
      </w:r>
    </w:p>
    <w:p>
      <w:pPr>
        <w:pStyle w:val="Heading2"/>
      </w:pPr>
      <w:r>
        <w:t>Lo que sugieren para el Perú</w:t>
      </w:r>
    </w:p>
    <w:p>
      <w:r>
        <w:rPr>
          <w:rFonts w:ascii="Calibri" w:hAnsi="Calibri"/>
          <w:color w:val="20272C"/>
        </w:rPr>
        <w:t>Una hipótesis razonable es que el Perú tiene un problema de complementariedad incompleta. Hay sectores dinámicos que exportan, invierten y generan divisas, pero no siempre se conectan con capacidades productivas más amplias. Hay un Estado con estabilidad macroeconómica en ciertas áreas, pero con baja capacidad para coordinar, regular, proveer servicios homogéneos y sostener reformas. Y hay mercados amplios, pero muchos funcionan en condiciones de informalidad, desprotección, baja productividad o baja competencia efectiva.</w:t>
      </w:r>
    </w:p>
    <w:p>
      <w:r>
        <w:rPr>
          <w:rFonts w:ascii="Calibri" w:hAnsi="Calibri"/>
          <w:color w:val="20272C"/>
        </w:rPr>
        <w:t>Esto vuelve insuficiente la pregunta “¿más Estado o más mercado?”. Una mejor pregunta sería: ¿qué capacidades públicas y qué condiciones de competencia permiten que los mercados contribuyan más al desarrollo?</w:t>
      </w:r>
    </w:p>
    <w:p>
      <w:pPr>
        <w:pStyle w:val="Heading2"/>
      </w:pPr>
      <w:r>
        <w:t>Respuesta tentativa</w:t>
      </w:r>
    </w:p>
    <w:p>
      <w:r>
        <w:rPr>
          <w:rFonts w:ascii="Calibri" w:hAnsi="Calibri"/>
          <w:color w:val="20272C"/>
        </w:rPr>
        <w:t>El Perú no necesita elegir entre estatismo e individualismo de mercado como si fueran las únicas opciones. Necesita construir complementariedades: un Estado que provea bienes públicos, regule con autonomía, coordine inversiones y sea responsable frente a la ciudadanía; y mercados que compitan, formalicen, innoven, creen empleo productivo y no dependan de capturar reglas o privilegios.</w:t>
      </w:r>
    </w:p>
    <w:p>
      <w:r>
        <w:rPr>
          <w:rFonts w:ascii="Calibri" w:hAnsi="Calibri"/>
          <w:color w:val="20272C"/>
        </w:rPr>
        <w:t>La tensión real no es Estado contra mercado. Es entre instituciones que generan capacidades colectivas e instituciones que reproducen baja productividad, captura y desconfianza.</w:t>
      </w:r>
    </w:p>
    <w:p>
      <w:pPr>
        <w:pStyle w:val="Heading1"/>
      </w:pPr>
      <w:r>
        <w:t>Preguntas para discutir</w:t>
      </w:r>
    </w:p>
    <w:p>
      <w:pPr>
        <w:pStyle w:val="ListNumber"/>
      </w:pPr>
      <w:r>
        <w:rPr>
          <w:rFonts w:ascii="Calibri" w:hAnsi="Calibri"/>
          <w:color w:val="20272C"/>
        </w:rPr>
        <w:t>¿Qué mercados peruanos funcionan mal porque falta Estado, y cuáles funcionan mal porque el Estado interviene mal?</w:t>
      </w:r>
    </w:p>
    <w:p>
      <w:pPr>
        <w:pStyle w:val="ListNumber"/>
      </w:pPr>
      <w:r>
        <w:rPr>
          <w:rFonts w:ascii="Calibri" w:hAnsi="Calibri"/>
          <w:color w:val="20272C"/>
        </w:rPr>
        <w:t>¿Dónde el problema principal es falta de competencia, falta de bienes públicos o captura de reglas?</w:t>
      </w:r>
    </w:p>
    <w:p>
      <w:pPr>
        <w:pStyle w:val="ListNumber"/>
      </w:pPr>
      <w:r>
        <w:rPr>
          <w:rFonts w:ascii="Calibri" w:hAnsi="Calibri"/>
          <w:color w:val="20272C"/>
        </w:rPr>
        <w:t>¿Qué reformas podrían mejorar simultáneamente capacidad estatal y dinamismo privado?</w:t>
      </w:r>
    </w:p>
    <w:p>
      <w:pPr>
        <w:pStyle w:val="ListNumber"/>
      </w:pPr>
      <w:r>
        <w:rPr>
          <w:rFonts w:ascii="Calibri" w:hAnsi="Calibri"/>
          <w:color w:val="20272C"/>
        </w:rPr>
        <w:t>¿Cómo evitar que la discusión electoral convierta todo en “Estado sí” o “Estado no”?</w:t>
      </w:r>
    </w:p>
    <w:p>
      <w:pPr>
        <w:pStyle w:val="Heading1"/>
      </w:pPr>
      <w:r>
        <w:t>Áreas económicas</w:t>
      </w:r>
    </w:p>
    <w:p>
      <w:r>
        <w:rPr>
          <w:rFonts w:ascii="Calibri" w:hAnsi="Calibri"/>
          <w:color w:val="20272C"/>
        </w:rPr>
        <w:t>Economía del desarrollo; economía política; economía institucional; economía pública; crecimiento económico; política industrial; organización industrial; economía de la regulación; economía de la innovación.</w:t>
      </w:r>
    </w:p>
    <w:p>
      <w:r>
        <w:rPr>
          <w:rFonts w:ascii="Calibri" w:hAnsi="Calibri"/>
          <w:b/>
          <w:color w:val="20272C"/>
        </w:rPr>
        <w:t>Códigos JEL orientativos:</w:t>
      </w:r>
      <w:r>
        <w:rPr>
          <w:rFonts w:ascii="Calibri" w:hAnsi="Calibri"/>
          <w:color w:val="20272C"/>
        </w:rPr>
        <w:t xml:space="preserve"> D72, D78, H11, H41, H77, L52, O10, O17, O25, O38, O43 y P16.</w:t>
      </w:r>
    </w:p>
    <w:p>
      <w:pPr>
        <w:pStyle w:val="Heading1"/>
      </w:pPr>
      <w:r>
        <w:t>Bibliografía</w:t>
      </w:r>
    </w:p>
    <w:p>
      <w:pPr>
        <w:spacing w:after="160"/>
        <w:ind w:left="360" w:hanging="360"/>
      </w:pPr>
      <w:r>
        <w:rPr>
          <w:rFonts w:ascii="Calibri" w:hAnsi="Calibri"/>
          <w:color w:val="20272C"/>
        </w:rPr>
        <w:t xml:space="preserve">Acemoglu, D., &amp; Robinson, J. A. (2013). Economics versus politics: Pitfalls of policy advice. </w:t>
      </w:r>
      <w:r>
        <w:rPr>
          <w:rFonts w:ascii="Calibri" w:hAnsi="Calibri"/>
          <w:i/>
          <w:color w:val="20272C"/>
        </w:rPr>
        <w:t>Journal of Economic Perspectives, 27</w:t>
      </w:r>
      <w:r>
        <w:rPr>
          <w:rFonts w:ascii="Calibri" w:hAnsi="Calibri"/>
          <w:color w:val="20272C"/>
        </w:rPr>
        <w:t xml:space="preserve">(2), 173-192. </w:t>
      </w:r>
      <w:hyperlink r:id="rId12">
        <w:r>
          <w:rPr>
            <w:color w:val="16747A"/>
            <w:u w:val="single"/>
          </w:rPr>
          <w:t>https://doi.org/10.1257/jep.27.2.173</w:t>
        </w:r>
      </w:hyperlink>
    </w:p>
    <w:p>
      <w:pPr>
        <w:spacing w:after="160"/>
        <w:ind w:left="360" w:hanging="360"/>
      </w:pPr>
      <w:r>
        <w:rPr>
          <w:rFonts w:ascii="Calibri" w:hAnsi="Calibri"/>
          <w:color w:val="20272C"/>
        </w:rPr>
        <w:t xml:space="preserve">Bardhan, P. (2016). State and development: The need for a reappraisal of the current literature. </w:t>
      </w:r>
      <w:r>
        <w:rPr>
          <w:rFonts w:ascii="Calibri" w:hAnsi="Calibri"/>
          <w:i/>
          <w:color w:val="20272C"/>
        </w:rPr>
        <w:t>Journal of Economic Literature, 54</w:t>
      </w:r>
      <w:r>
        <w:rPr>
          <w:rFonts w:ascii="Calibri" w:hAnsi="Calibri"/>
          <w:color w:val="20272C"/>
        </w:rPr>
        <w:t xml:space="preserve">(3), 862-892. </w:t>
      </w:r>
      <w:hyperlink r:id="rId13">
        <w:r>
          <w:rPr>
            <w:color w:val="16747A"/>
            <w:u w:val="single"/>
          </w:rPr>
          <w:t>https://doi.org/10.1257/jel.20151239</w:t>
        </w:r>
      </w:hyperlink>
    </w:p>
    <w:p>
      <w:pPr>
        <w:spacing w:after="160"/>
        <w:ind w:left="360" w:hanging="360"/>
      </w:pPr>
      <w:r>
        <w:rPr>
          <w:rFonts w:ascii="Calibri" w:hAnsi="Calibri"/>
          <w:color w:val="20272C"/>
        </w:rPr>
        <w:t xml:space="preserve">Juhász, R., Lane, N., &amp; Rodrik, D. (2024). The new economics of industrial policy. </w:t>
      </w:r>
      <w:r>
        <w:rPr>
          <w:rFonts w:ascii="Calibri" w:hAnsi="Calibri"/>
          <w:i/>
          <w:color w:val="20272C"/>
        </w:rPr>
        <w:t>Annual Review of Economics, 16</w:t>
      </w:r>
      <w:r>
        <w:rPr>
          <w:rFonts w:ascii="Calibri" w:hAnsi="Calibri"/>
          <w:color w:val="20272C"/>
        </w:rPr>
        <w:t xml:space="preserve">(1), 213-242. </w:t>
      </w:r>
      <w:hyperlink r:id="rId14">
        <w:r>
          <w:rPr>
            <w:color w:val="16747A"/>
            <w:u w:val="single"/>
          </w:rPr>
          <w:t>https://doi.org/10.1146/annurev-economics-081023-024638</w:t>
        </w:r>
      </w:hyperlink>
    </w:p>
    <w:p>
      <w:pPr>
        <w:spacing w:after="160"/>
        <w:ind w:left="360" w:hanging="360"/>
      </w:pPr>
      <w:r>
        <w:rPr>
          <w:rFonts w:ascii="Calibri" w:hAnsi="Calibri"/>
          <w:color w:val="20272C"/>
        </w:rPr>
        <w:t xml:space="preserve">Rodrik, D. (2006). Goodbye Washington Consensus, hello Washington confusion? A review of the World Bank's </w:t>
      </w:r>
      <w:r>
        <w:rPr>
          <w:rFonts w:ascii="Calibri" w:hAnsi="Calibri"/>
          <w:i/>
          <w:color w:val="20272C"/>
        </w:rPr>
        <w:t>Economic Growth in the 1990s: Learning from a Decade of Reform</w:t>
      </w:r>
      <w:r>
        <w:rPr>
          <w:rFonts w:ascii="Calibri" w:hAnsi="Calibri"/>
          <w:color w:val="20272C"/>
        </w:rPr>
        <w:t xml:space="preserve">. </w:t>
      </w:r>
      <w:r>
        <w:rPr>
          <w:rFonts w:ascii="Calibri" w:hAnsi="Calibri"/>
          <w:i/>
          <w:color w:val="20272C"/>
        </w:rPr>
        <w:t>Journal of Economic Literature, 44</w:t>
      </w:r>
      <w:r>
        <w:rPr>
          <w:rFonts w:ascii="Calibri" w:hAnsi="Calibri"/>
          <w:color w:val="20272C"/>
        </w:rPr>
        <w:t xml:space="preserve">(4), 973-987. </w:t>
      </w:r>
      <w:hyperlink r:id="rId15">
        <w:r>
          <w:rPr>
            <w:color w:val="16747A"/>
            <w:u w:val="single"/>
          </w:rPr>
          <w:t>https://doi.org/10.1257/jel.44.4.973</w:t>
        </w:r>
      </w:hyperlink>
    </w:p>
    <w:p>
      <w:pPr>
        <w:pStyle w:val="Heading1"/>
      </w:pPr>
      <w:r>
        <w:t>Nota editorial</w:t>
      </w:r>
    </w:p>
    <w:p>
      <w:pPr>
        <w:spacing w:after="160"/>
        <w:ind w:left="360" w:hanging="360"/>
      </w:pPr>
      <w:r>
        <w:rPr>
          <w:rFonts w:ascii="Calibri" w:hAnsi="Calibri"/>
          <w:color w:val="20272C"/>
        </w:rPr>
        <w:t>Los metadatos bibliográficos y DOI fueron contrastados con Crossref. Esta ronda no sostiene que los artículos prueben directamente una tesis sobre el Perú; los usa para ordenar mecanismos y formular hipótesis de discusión. Las aplicaciones peruanas deben leerse como punto de partida para debate y verificación posterior.</w:t>
      </w:r>
    </w:p>
    <w:p>
      <w:pPr>
        <w:spacing w:after="160"/>
        <w:ind w:left="360" w:hanging="360"/>
      </w:pPr>
      <w:r>
        <w:rPr>
          <w:rFonts w:ascii="Calibri" w:hAnsi="Calibri"/>
          <w:color w:val="20272C"/>
        </w:rPr>
        <w:t>Este documento fue preparado con asistencia de Codex, de OpenAI, para organizar el material, verificar metadatos bibliográficos y apoyar la redacción. La selección de lecturas, el enfoque interpretativo y cualquier decisión de publicación quedan bajo responsabilidad editorial del proyecto.</w:t>
      </w:r>
    </w:p>
    <w:sectPr w:rsidR="00FC693F" w:rsidRPr="0006063C" w:rsidSect="00034616">
      <w:headerReference w:type="default" r:id="rId9"/>
      <w:footerReference w:type="default" r:id="rId10"/>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B6770"/>
        <w:sz w:val="17"/>
      </w:rPr>
      <w:t>Lecturas para pensar el Perú | Ronda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836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747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6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76" w:lineRule="auto"/>
    </w:pPr>
    <w:rPr>
      <w:rFonts w:ascii="Calibri" w:hAnsi="Calibri"/>
      <w:color w:val="18364C"/>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257/jep.27.2.173" TargetMode="External"/><Relationship Id="rId13" Type="http://schemas.openxmlformats.org/officeDocument/2006/relationships/hyperlink" Target="https://doi.org/10.1257/jel.20151239" TargetMode="External"/><Relationship Id="rId14" Type="http://schemas.openxmlformats.org/officeDocument/2006/relationships/hyperlink" Target="https://doi.org/10.1146/annurev-economics-081023-024638" TargetMode="External"/><Relationship Id="rId15" Type="http://schemas.openxmlformats.org/officeDocument/2006/relationships/hyperlink" Target="https://doi.org/10.1257/jel.44.4.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Ronda 1: Estado y mercados</dc:title>
  <dc:subject>Lecturas para pensar el Perú</dc:subject>
  <dc:creator>Proyecto Lecturas para pensar el Perú</dc:creator>
  <cp:keywords>Perú, Estado, mercado, desarrollo, instituciones</cp:keywords>
  <dc:description>generated by python-docx</dc:description>
  <cp:lastModifiedBy/>
  <cp:revision>1</cp:revision>
  <dcterms:created xsi:type="dcterms:W3CDTF">2013-12-23T23:15:00Z</dcterms:created>
  <dcterms:modified xsi:type="dcterms:W3CDTF">2013-12-23T23:15:00Z</dcterms:modified>
  <cp:category/>
</cp:coreProperties>
</file>