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before="40" w:line="240" w:lineRule="auto"/>
        <w:jc w:val="center"/>
      </w:pPr>
      <w:r>
        <w:t>Smart-Grid-Messreihen</w:t>
      </w:r>
    </w:p>
    <w:p>
      <w:pPr>
        <w:spacing w:after="60" w:before="40" w:line="240" w:lineRule="auto"/>
        <w:jc w:val="center"/>
      </w:pPr>
      <w:r>
        <w:rPr>
          <w:color w:val="505050"/>
          <w:sz w:val="26"/>
        </w:rPr>
        <w:t>Strukturierte Auswertung der 45 Simulationsläufe</w:t>
      </w:r>
    </w:p>
    <w:p>
      <w:pPr>
        <w:pStyle w:val="SGNote"/>
        <w:spacing w:after="60" w:before="40" w:line="240" w:lineRule="auto"/>
        <w:jc w:val="center"/>
      </w:pPr>
      <w:r>
        <w:rPr>
          <w:color w:val="5A5A5A"/>
          <w:sz w:val="16"/>
        </w:rPr>
        <w:t>Datenquelle: full_metrics_n15.csv  ·  3 Replikations-Reihen (R1, R2, R3)  ·  3 Strategien (Naive, RuleBased, ClaudeSubagent)  ·  je 5 Seeds.</w:t>
      </w:r>
    </w:p>
    <w:p>
      <w:pPr>
        <w:pStyle w:val="SGNote"/>
        <w:spacing w:after="60" w:before="40" w:line="240" w:lineRule="auto"/>
        <w:jc w:val="center"/>
      </w:pPr>
      <w:r>
        <w:rPr>
          <w:color w:val="5A5A5A"/>
          <w:sz w:val="16"/>
        </w:rPr>
        <w:t>Stand: 2026-05-02  ·  sgsim 0.1.0</w:t>
      </w:r>
    </w:p>
    <w:p>
      <w:pPr>
        <w:pStyle w:val="Heading1"/>
        <w:keepNext/>
        <w:spacing w:after="60" w:before="40" w:line="240" w:lineRule="auto"/>
      </w:pPr>
      <w:r>
        <w:t>1  Übersicht — Mittelwerte je Strategie (n = 15)</w:t>
      </w:r>
    </w:p>
    <w:p>
      <w:pPr>
        <w:spacing w:after="60" w:before="40" w:line="240" w:lineRule="auto"/>
      </w:pPr>
      <w:r>
        <w:t>Aggregat über alle 15 Seeds (Reihen 1–3 zusammengefasst). Format: Mittelwert ± Standardabweichung.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883"/>
        <w:gridCol w:w="3883"/>
        <w:gridCol w:w="3883"/>
        <w:gridCol w:w="3883"/>
      </w:tblGrid>
      <w:tr>
        <w:trPr>
          <w:tblHeader w:val="true"/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Kennzahl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Naive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RuleBased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ClaudeSubagent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Brownouts (Ticks)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59,87 ± 1,13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63,73 ± 2,58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55,47 ± 5,38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Unserved Energy (MWh)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1.248,30 ± 19,20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233,25 ± 27,38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1.028,90 ± 155,64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Surplus (MWh)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400,41 ± 15,70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20,88 ± 5,53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667,85 ± 136,28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CO₂ (kg)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26.734 ± 0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26.734 ± 0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27.023 ± 117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Renewable Share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0,5696 ± 0,0057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0,5758 ± 0,0058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0,5144 ± 0,0153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Peak Defizit (MW)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183,04 ± 2,15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73,26 ± 11,31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185,35 ± 39,61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Max Δf (Hz)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0,915 ± 0,011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0,366 ± 0,057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0,935 ± 0,104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LCOE (€/MWh)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2.232,81 ± 47,21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398,04 ± 44,13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1.474,86 ± 188,92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Net (€)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-8.597.240 ± 136.198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-1.397.900 ± 194.268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-7.053.445 ± 1.106.412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1"/>
        <w:keepNext/>
        <w:spacing w:after="60" w:before="40" w:line="240" w:lineRule="auto"/>
      </w:pPr>
      <w:r>
        <w:t>2  Reihenvergleich — Mittelwerte je Reihe und Strategie (n = 5 pro Zelle)</w:t>
      </w:r>
    </w:p>
    <w:p>
      <w:pPr>
        <w:spacing w:after="60" w:before="40" w:line="240" w:lineRule="auto"/>
      </w:pPr>
      <w:r>
        <w:t>Brownouts pro Reihe × Controller. Zeigt die Streuung zwischen den drei unabhängigen Replikations-Reihen.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883"/>
        <w:gridCol w:w="3883"/>
        <w:gridCol w:w="3883"/>
        <w:gridCol w:w="3883"/>
      </w:tblGrid>
      <w:tr>
        <w:trPr>
          <w:tblHeader w:val="true"/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Reihe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Naive (Brownouts)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RuleBased (Brownouts)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ClaudeSubagent (Brownouts)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R1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60,20 ± 1,64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65,00 ± 2,35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52,80 ± 6,53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R2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60,20 ± 0,84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63,20 ± 3,11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55,40 ± 2,51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R3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59,20 ± 0,45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63,00 ± 2,24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58,20 ± 5,85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3"/>
        <w:keepNext/>
        <w:spacing w:after="60" w:before="40" w:line="240" w:lineRule="auto"/>
      </w:pPr>
      <w:r>
        <w:t>LCOE (€ / MWh) — Mittelwerte je Reihe und Strategie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883"/>
        <w:gridCol w:w="3883"/>
        <w:gridCol w:w="3883"/>
        <w:gridCol w:w="3883"/>
      </w:tblGrid>
      <w:tr>
        <w:trPr>
          <w:tblHeader w:val="true"/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Reihe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Naive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RuleBased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5"/>
              </w:rPr>
              <w:t>ClaudeSubagent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R1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2.243,06 ± 43,82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416,84 ± 42,57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1.405,22 ± 158,67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R2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2.217,78 ± 60,51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378,45 ± 51,72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1.550,84 ± 207,91</w:t>
            </w:r>
          </w:p>
        </w:tc>
      </w:tr>
      <w:tr>
        <w:trPr>
          <w:cantSplit/>
        </w:trPr>
        <w:tc>
          <w:tcPr>
            <w:tcW w:type="dxa" w:w="199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5"/>
              </w:rPr>
              <w:t>R3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2.237,59 ± 42,15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398,81 ± 37,50</w:t>
            </w:r>
          </w:p>
        </w:tc>
        <w:tc>
          <w:tcPr>
            <w:tcW w:type="dxa" w:w="30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5"/>
              </w:rPr>
              <w:t>1.468,51 ± 207,81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1"/>
        <w:keepNext/>
        <w:spacing w:after="60" w:before="40" w:line="240" w:lineRule="auto"/>
      </w:pPr>
      <w:r>
        <w:t>3  Detaildaten — alle 15 Läufe je Strategie (sortiert nach Seed)</w:t>
      </w:r>
    </w:p>
    <w:p>
      <w:pPr>
        <w:spacing w:after="60" w:before="40" w:line="240" w:lineRule="auto"/>
      </w:pPr>
      <w:r>
        <w:t>Ein Block je Steuerungs-Strategie. Innerhalb des Blocks sind alle 15 Seeds aufsteigend sortiert.</w:t>
      </w:r>
    </w:p>
    <w:p>
      <w:pPr>
        <w:pStyle w:val="Heading2"/>
        <w:keepNext/>
        <w:spacing w:after="60" w:before="40" w:line="240" w:lineRule="auto"/>
      </w:pPr>
      <w:r>
        <w:t>3.1  Naive (passive Steuerung)</w:t>
      </w:r>
    </w:p>
    <w:p>
      <w:pPr>
        <w:spacing w:after="60" w:before="40" w:line="240" w:lineRule="auto"/>
      </w:pPr>
      <w:r>
        <w:t>Keine aktive Lastverlagerung; reine Bilanzierung von Erzeugung und Verbrauch.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553"/>
        <w:gridCol w:w="1553"/>
        <w:gridCol w:w="1553"/>
        <w:gridCol w:w="1553"/>
        <w:gridCol w:w="1553"/>
        <w:gridCol w:w="1553"/>
        <w:gridCol w:w="1553"/>
        <w:gridCol w:w="1553"/>
        <w:gridCol w:w="1553"/>
        <w:gridCol w:w="1553"/>
      </w:tblGrid>
      <w:tr>
        <w:trPr>
          <w:tblHeader w:val="true"/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Seed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Brown.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Unserved</w:t>
              <w:br/>
              <w:t>(MWh)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Surplus</w:t>
              <w:br/>
              <w:t>(MWh)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CO₂</w:t>
              <w:br/>
              <w:t>(kg)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Ren.</w:t>
              <w:br/>
              <w:t>Share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Peak Def</w:t>
              <w:br/>
              <w:t>(MW)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Max Δf</w:t>
              <w:br/>
              <w:t>(Hz)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LCOE</w:t>
              <w:br/>
              <w:t>(€/MWh)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1.271,52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406,03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0,5660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184,95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0,925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2.283,25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1.227,17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415,85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0,5772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183,20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0,916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2.175,63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1.246,14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386,30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0,5672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180,30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0,902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2.235,44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1.254,77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384,73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0,5651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181,17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0,906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2.256,36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1.248,34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379,29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0,5653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185,62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0,928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2.244,48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19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1.250,96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410,22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0,5711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184,40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0,922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2.233,20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1.276,30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379,82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0,5596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185,00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0,925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2.309,64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31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1.210,11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412,06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0,5799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183,47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0,917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2.139,00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41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1.257,38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424,88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0,5728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184,21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0,921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2.239,81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42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1.225,54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377,53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0,5696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183,08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0,915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2.192,75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1.258,45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407,49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0,5690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177,47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0,887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2.252,03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1.273,17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394,03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0,5632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184,13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0,921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2.294,03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73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1.225,67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419,73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0,5783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184,40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0,922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2.170,14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88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1.253,92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400,90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0,5686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182,66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0,913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2.245,27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99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58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1.245,00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407,32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0,5718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181,60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0,908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2.221,09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Σ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Mittelwert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60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1.248,30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400,41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0,5696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183,04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0,915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2.232,81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σ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Stdabw.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19,20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15,70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0,0057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2,15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0,011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47,21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2"/>
        <w:keepNext/>
        <w:spacing w:after="60" w:before="40" w:line="240" w:lineRule="auto"/>
      </w:pPr>
      <w:r>
        <w:t>3.2  RuleBased (regelbasierte Heuristik)</w:t>
      </w:r>
    </w:p>
    <w:p>
      <w:pPr>
        <w:spacing w:after="60" w:before="40" w:line="240" w:lineRule="auto"/>
      </w:pPr>
      <w:r>
        <w:t>Deterministische Regeln für Speicher- und Lastmanagement.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553"/>
        <w:gridCol w:w="1553"/>
        <w:gridCol w:w="1553"/>
        <w:gridCol w:w="1553"/>
        <w:gridCol w:w="1553"/>
        <w:gridCol w:w="1553"/>
        <w:gridCol w:w="1553"/>
        <w:gridCol w:w="1553"/>
        <w:gridCol w:w="1553"/>
        <w:gridCol w:w="1553"/>
      </w:tblGrid>
      <w:tr>
        <w:trPr>
          <w:tblHeader w:val="true"/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Seed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Brown.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Unserved</w:t>
              <w:br/>
              <w:t>(MWh)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Surplus</w:t>
              <w:br/>
              <w:t>(MWh)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CO₂</w:t>
              <w:br/>
              <w:t>(kg)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Ren.</w:t>
              <w:br/>
              <w:t>Share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Peak Def</w:t>
              <w:br/>
              <w:t>(MW)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Max Δf</w:t>
              <w:br/>
              <w:t>(Hz)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LCOE</w:t>
              <w:br/>
              <w:t>(€/MWh)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249,79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20,37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0,5722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75,33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0,377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424,67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64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201,79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26,55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0,5835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66,44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0,332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346,93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243,43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19,08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0,5734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76,53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0,383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414,45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252,04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17,50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82,73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0,414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428,59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247,96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14,40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0,5714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79,51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0,398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422,23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19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235,72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29,76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0,5772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70,77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0,354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400,90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63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285,10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24,69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0,5657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88,20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0,441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482,09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31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187,52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24,97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0,5863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46,57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0,233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324,41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41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63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225,40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28,36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0,5790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79,25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0,396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384,50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42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66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225,00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12,48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0,5758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80,70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0,403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385,21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234,33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18,87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0,5752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73,69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0,368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399,73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66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264,89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21,81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0,5693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77,94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0,390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449,17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73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66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185,00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13,41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0,5846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50,15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0,251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321,23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88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242,62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25,05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0,5747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76,59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0,383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412,56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99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218,20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15,88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0,5778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74,55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0,373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373,88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Σ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Mittelwert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64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233,25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20,88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26.734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0,5758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73,26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0,366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398,04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σ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Stdabw.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3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27,38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5,53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0,0058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11,31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0,057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44,13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2"/>
        <w:keepNext/>
        <w:spacing w:after="60" w:before="40" w:line="240" w:lineRule="auto"/>
      </w:pPr>
      <w:r>
        <w:t>3.3  ClaudeSubagent (LLM-Steuerung)</w:t>
      </w:r>
    </w:p>
    <w:p>
      <w:pPr>
        <w:spacing w:after="60" w:before="40" w:line="240" w:lineRule="auto"/>
      </w:pPr>
      <w:r>
        <w:t>Live-LLM-Steuerung über Claude (CLI-Subagent).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553"/>
        <w:gridCol w:w="1553"/>
        <w:gridCol w:w="1553"/>
        <w:gridCol w:w="1553"/>
        <w:gridCol w:w="1553"/>
        <w:gridCol w:w="1553"/>
        <w:gridCol w:w="1553"/>
        <w:gridCol w:w="1553"/>
        <w:gridCol w:w="1553"/>
        <w:gridCol w:w="1553"/>
      </w:tblGrid>
      <w:tr>
        <w:trPr>
          <w:tblHeader w:val="true"/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Seed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Brown.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Unserved</w:t>
              <w:br/>
              <w:t>(MWh)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Surplus</w:t>
              <w:br/>
              <w:t>(MWh)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CO₂</w:t>
              <w:br/>
              <w:t>(kg)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Ren.</w:t>
              <w:br/>
              <w:t>Share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Peak Def</w:t>
              <w:br/>
              <w:t>(MW)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Max Δf</w:t>
              <w:br/>
              <w:t>(Hz)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LCOE</w:t>
              <w:br/>
              <w:t>(€/MWh)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56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871,42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460,58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26.936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0,5156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221,02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1.283,01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54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875,53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607,11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26.907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0,5383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133,39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0,667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1.283,63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1.067,17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650,00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27.350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0,5014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139,98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1.516,23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788,78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507,26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26.888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0,5327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161,74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0,814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1.176,74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51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1.065,54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689,76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26.984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0,5054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133,41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0,802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1.518,35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19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1.223,71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831,53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27.023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0,4992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193,29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1.701,85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1.053,36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643,45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27.023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0,5230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156,32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0,935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1.586,01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31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57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1.324,49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956,11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27.051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0,4939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259,84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1.780,44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41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831,95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477,30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26.984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0,5250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169,54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0,848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1.220,88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42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52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941,80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614,17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27.003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0,5136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190,57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0,953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1.346,29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57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1.220,59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837,99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27.042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0,5087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195,74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1.736,04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58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1.077,38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650,64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27.100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0,4971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192,92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1.529,64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73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56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1.012,52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643,73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27.138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0,5147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256,94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1.436,38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88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52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1.135,76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745,95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27.042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0,5043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205,67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1.606,55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99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44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943,54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702,15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26.878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0,5437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169,83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1,000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1.400,84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Σ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Mittelwert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55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1.028,90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667,85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27.023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0,5144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185,35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0,935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D9EAF7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1.474,86</w:t>
            </w:r>
          </w:p>
        </w:tc>
      </w:tr>
      <w:tr>
        <w:trPr>
          <w:cantSplit/>
        </w:trPr>
        <w:tc>
          <w:tcPr>
            <w:tcW w:type="dxa" w:w="49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σ</w:t>
            </w:r>
          </w:p>
        </w:tc>
        <w:tc>
          <w:tcPr>
            <w:tcW w:type="dxa" w:w="595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Stdabw.</w:t>
            </w:r>
          </w:p>
        </w:tc>
        <w:tc>
          <w:tcPr>
            <w:tcW w:type="dxa" w:w="6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sz w:val="12"/>
              </w:rPr>
              <w:t>5</w:t>
            </w:r>
          </w:p>
        </w:tc>
        <w:tc>
          <w:tcPr>
            <w:tcW w:type="dxa" w:w="169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155,64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136,28</w:t>
            </w:r>
          </w:p>
        </w:tc>
        <w:tc>
          <w:tcPr>
            <w:tcW w:type="dxa" w:w="108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117</w:t>
            </w:r>
          </w:p>
        </w:tc>
        <w:tc>
          <w:tcPr>
            <w:tcW w:type="dxa" w:w="98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0,0153</w:t>
            </w:r>
          </w:p>
        </w:tc>
        <w:tc>
          <w:tcPr>
            <w:tcW w:type="dxa" w:w="1328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39,61</w:t>
            </w:r>
          </w:p>
        </w:tc>
        <w:tc>
          <w:tcPr>
            <w:tcW w:type="dxa" w:w="1110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0,104</w:t>
            </w:r>
          </w:p>
        </w:tc>
        <w:tc>
          <w:tcPr>
            <w:tcW w:type="dxa" w:w="156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2F2F2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sz w:val="12"/>
              </w:rPr>
              <w:t>188,92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1"/>
        <w:keepNext/>
        <w:spacing w:after="60" w:before="40" w:line="240" w:lineRule="auto"/>
      </w:pPr>
      <w:r>
        <w:t>4  Alle 45 Läufe — sortiert nach Brownouts (aufsteigend)</w:t>
      </w:r>
    </w:p>
    <w:p>
      <w:pPr>
        <w:spacing w:after="60" w:before="40" w:line="240" w:lineRule="auto"/>
      </w:pPr>
      <w:r>
        <w:t>Vollständiger Längsvergleich aller Läufe, sortiert nach Brownout-Häufigkeit.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#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Strategie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Seed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Brown.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Unserved (MWh)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Surplus (MWh)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Ren. Share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/>
                <w:color w:val="FFFFFF"/>
                <w:sz w:val="12"/>
              </w:rPr>
              <w:t>LCOE (€/MWh)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99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44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943,54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702,15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0,5437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1.400,84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51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788,78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507,26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0,5327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1.176,74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51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1.065,54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689,76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0,5054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1.518,35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52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941,80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614,17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0,5136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1.346,29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5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88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52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1.135,76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745,95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0,5043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1.606,55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6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54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875,53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607,11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0,5383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1.283,63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7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1.053,36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643,45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0,5230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1.586,01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8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56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871,42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460,58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0,5156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1.283,01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9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56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1.012,52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643,73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0,5147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1.436,38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10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57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1.220,59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837,99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0,5087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1.736,04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11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31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57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1.324,49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956,11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0,4939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1.780,44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12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58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1.077,38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650,64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0,4971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1.529,64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13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99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58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1.245,00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407,32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0,5718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2.221,09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14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31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1.210,11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412,06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0,5799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2.139,00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15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1.225,54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377,53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0,5696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2.192,75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16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1.227,17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415,85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0,5772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2.175,63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17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1.250,96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410,22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0,5711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2.233,20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18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88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1.253,92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400,90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0,5686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2.245,27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19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59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1.273,17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394,03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0,5632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2.294,03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20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31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187,52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24,97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0,5863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324,41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21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88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242,62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25,05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0,5747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412,56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22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831,95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477,30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0,5250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1.220,88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23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1.225,67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419,73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0,5783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2.170,14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24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1.257,38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424,88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0,5728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2.239,81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25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60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1.271,52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406,03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0,5660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2.283,25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26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234,33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18,87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0,5752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399,73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27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1.246,14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386,30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0,5672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2.235,44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28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1.248,34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379,29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0,5653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2.244,48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29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55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1.258,45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407,49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0,5690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2.252,03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30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61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1.276,30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379,82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0,5596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2.309,64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31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99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218,20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15,88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0,5778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373,88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32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235,72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29,76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0,5772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400,90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33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249,79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20,37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0,5722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424,67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34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1.067,17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650,00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0,5014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1.516,23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35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Naive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62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1.254,77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384,73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0,5651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2.256,36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36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63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225,40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28,36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0,5790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384,50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37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63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285,10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24,69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0,5657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482,09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38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5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64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201,79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26,55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0,5835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346,93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39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66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185,00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13,41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0,5846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321,23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40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66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225,00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12,48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0,5758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385,21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41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66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264,89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21,81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0,5693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449,17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42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243,43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19,08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0,5734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414,45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43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R2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17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247,96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14,40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0,5714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422,23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44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RuleBased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R1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13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252,04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17,50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0,5712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428,59</w:t>
            </w:r>
          </w:p>
        </w:tc>
      </w:tr>
      <w:tr>
        <w:trPr>
          <w:cantSplit/>
        </w:trPr>
        <w:tc>
          <w:tcPr>
            <w:tcW w:type="dxa" w:w="559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45</w:t>
            </w:r>
          </w:p>
        </w:tc>
        <w:tc>
          <w:tcPr>
            <w:tcW w:type="dxa" w:w="193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ClaudeSubagent</w:t>
            </w:r>
          </w:p>
        </w:tc>
        <w:tc>
          <w:tcPr>
            <w:tcW w:type="dxa" w:w="49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 Narrow" w:hAnsi="Aptos Narrow" w:eastAsia="Aptos Narrow"/>
                <w:b w:val="0"/>
                <w:sz w:val="12"/>
              </w:rPr>
              <w:t>R3</w:t>
            </w:r>
          </w:p>
        </w:tc>
        <w:tc>
          <w:tcPr>
            <w:tcW w:type="dxa" w:w="63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19</w:t>
            </w:r>
          </w:p>
        </w:tc>
        <w:tc>
          <w:tcPr>
            <w:tcW w:type="dxa" w:w="721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67</w:t>
            </w:r>
          </w:p>
        </w:tc>
        <w:tc>
          <w:tcPr>
            <w:tcW w:type="dxa" w:w="202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1.223,71</w:t>
            </w:r>
          </w:p>
        </w:tc>
        <w:tc>
          <w:tcPr>
            <w:tcW w:type="dxa" w:w="18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831,53</w:t>
            </w:r>
          </w:p>
        </w:tc>
        <w:tc>
          <w:tcPr>
            <w:tcW w:type="dxa" w:w="1216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0,4992</w:t>
            </w:r>
          </w:p>
        </w:tc>
        <w:tc>
          <w:tcPr>
            <w:tcW w:type="dxa" w:w="1667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right"/>
            </w:pPr>
            <w:r>
              <w:rPr>
                <w:rFonts w:ascii="Aptos Narrow" w:hAnsi="Aptos Narrow" w:eastAsia="Aptos Narrow"/>
                <w:b w:val="0"/>
                <w:sz w:val="12"/>
              </w:rPr>
              <w:t>1.701,85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1"/>
        <w:keepNext/>
        <w:spacing w:after="60" w:before="40" w:line="240" w:lineRule="auto"/>
      </w:pPr>
      <w:r>
        <w:t>5  Legende und Spaltenerklärung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7767"/>
        <w:gridCol w:w="7767"/>
      </w:tblGrid>
      <w:tr>
        <w:trPr>
          <w:tblHeader w:val="true"/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color w:val="FFFFFF"/>
                <w:sz w:val="16"/>
              </w:rPr>
              <w:t>Kennzahl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color w:val="FFFFFF"/>
                <w:sz w:val="16"/>
              </w:rPr>
              <w:t>Bedeutung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Brownouts (Ticks)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Anzahl 15-Minuten-Ticks mit Unterversorgung über 24 h (max. 96).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Unserved Energy (MWh)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Nicht gedeckte Energie: Summe der Unterversorgung über alle Ticks.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Surplus (MWh)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Ungenutzte Erzeugung (Curtailment + Export-Überschuss).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CO₂ (kg)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Gesamte CO₂-Emissionen über 24 h.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Ren. Share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Anteil erneuerbarer Erzeugung an der Gesamterzeugung (0…1).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Peak Defizit (MW)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Größte momentane Versorgungslücke.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Max Δf (Hz)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Maximale Frequenzabweichung von 50 Hz.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LCOE (€/MWh)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6F8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Levelized Cost of Energy: Vollkosten pro gelieferter MWh.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Net (€)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Netto-Cashflow: Marktumsatz minus Vollkosten.</w:t>
            </w:r>
          </w:p>
        </w:tc>
      </w:tr>
    </w:tbl>
    <w:p>
      <w:pPr>
        <w:spacing w:after="60" w:before="40" w:line="240" w:lineRule="auto"/>
      </w:pPr>
    </w:p>
    <w:p>
      <w:pPr>
        <w:spacing w:after="60" w:before="40" w:line="240" w:lineRule="auto"/>
      </w:pPr>
    </w:p>
    <w:p>
      <w:pPr>
        <w:pStyle w:val="Heading3"/>
        <w:keepNext/>
        <w:spacing w:after="60" w:before="40" w:line="240" w:lineRule="auto"/>
      </w:pPr>
      <w:r>
        <w:t>Farbkodierung Strategien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7767"/>
        <w:gridCol w:w="7767"/>
      </w:tblGrid>
      <w:tr>
        <w:trPr>
          <w:tblHeader w:val="true"/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color w:val="FFFFFF"/>
                <w:sz w:val="16"/>
              </w:rPr>
              <w:t>Strategie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1F4E79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color w:val="FFFFFF"/>
                <w:sz w:val="16"/>
              </w:rPr>
              <w:t>(Hex)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Naive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FF7D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#FFF2CC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RuleBased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EAF5E5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#E2EFDA</w:t>
            </w:r>
          </w:p>
        </w:tc>
      </w:tr>
      <w:tr>
        <w:trPr>
          <w:cantSplit/>
        </w:trPr>
        <w:tc>
          <w:tcPr>
            <w:tcW w:type="dxa" w:w="3302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/>
                <w:sz w:val="16"/>
              </w:rPr>
              <w:t>ClaudeSubagent</w:t>
            </w:r>
          </w:p>
        </w:tc>
        <w:tc>
          <w:tcPr>
            <w:tcW w:type="dxa" w:w="7753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shd w:fill="FDECE3"/>
          </w:tcPr>
          <w:p>
            <w:pPr>
              <w:spacing w:before="0" w:after="0" w:line="228" w:lineRule="auto"/>
              <w:jc w:val="left"/>
            </w:pPr>
            <w:r>
              <w:rPr>
                <w:rFonts w:ascii="Aptos Narrow" w:hAnsi="Aptos Narrow" w:eastAsia="Aptos Narrow"/>
                <w:b w:val="0"/>
                <w:sz w:val="16"/>
              </w:rPr>
              <w:t>#FBE5D6</w:t>
            </w:r>
          </w:p>
        </w:tc>
      </w:tr>
    </w:tbl>
    <w:p>
      <w:pPr>
        <w:spacing w:after="60" w:before="4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425" w:bottom="652" w:left="42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 w:eastAsia="Aptos"/>
        <w:color w:val="5A5A5A"/>
        <w:sz w:val="16"/>
      </w:rPr>
      <w:t>Datenquelle: full_metrics_n15.csv · sgsim 0.1.0 · Stand: 2026-05-02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Aptos"/>
        <w:color w:val="5A5A5A"/>
        <w:sz w:val="16"/>
      </w:rPr>
      <w:t>Smart-Grid-Messreihen — strukturierte Auswertung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GNote">
    <w:name w:val="SG Note"/>
    <w:pPr>
      <w:spacing w:after="100" w:line="252" w:lineRule="auto"/>
    </w:pPr>
    <w:rPr>
      <w:rFonts w:ascii="Aptos" w:hAnsi="Aptos" w:eastAsia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