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48"/>
        </w:rPr>
        <w:t>QuickLend Tracking System</w:t>
      </w:r>
    </w:p>
    <w:p>
      <w:pPr>
        <w:jc w:val="center"/>
      </w:pPr>
      <w:r>
        <w:rPr>
          <w:rFonts w:ascii="Arial" w:hAnsi="Arial"/>
          <w:i/>
          <w:color w:val="64748B"/>
          <w:sz w:val="24"/>
        </w:rPr>
        <w:t>Complete Architectural &amp; Defense Documentation Guide</w:t>
        <w:br/>
        <w:t>ITC Final Project</w:t>
      </w:r>
    </w:p>
    <w:p/>
    <w:p>
      <w:r>
        <w:rPr>
          <w:sz w:val="21"/>
        </w:rPr>
        <w:t>This technical document provides comprehensive explanations for all aspects of the QuickLend Tracking System. It covers code breakdown, frontend-to-backend data flow, database normalization, CRUD operations, debugging resolutions, and defense Q&amp;A.</w:t>
      </w:r>
    </w:p>
    <w:p>
      <w:pPr>
        <w:pStyle w:val="Heading1"/>
      </w:pPr>
      <w:r>
        <w:rPr>
          <w:rFonts w:ascii="Arial" w:hAnsi="Arial"/>
          <w:b/>
          <w:color w:val="2563EB"/>
          <w:sz w:val="32"/>
        </w:rPr>
        <w:t>1. Detailed Explanation of Specific PHP Code</w:t>
      </w:r>
    </w:p>
    <w:p>
      <w:r>
        <w:rPr>
          <w:sz w:val="21"/>
        </w:rPr>
        <w:t xml:space="preserve">Let us analyze the most vital financial function in the system: </w:t>
      </w:r>
      <w:r>
        <w:rPr>
          <w:b/>
        </w:rPr>
        <w:t>recordRepayment()</w:t>
      </w:r>
      <w:r>
        <w:t>, located in functions.php. This function processes customer payments, recalculates remaining balances, and automatically transitions the loan status.</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18" w:space="0" w:color="2563EB"/>
              <w:top w:val="none"/>
              <w:right w:val="none"/>
              <w:bottom w:val="none"/>
            </w:tcBorders>
          </w:tcPr>
          <w:p>
            <w:pPr>
              <w:spacing w:before="80" w:after="80"/>
            </w:pPr>
            <w:r>
              <w:rPr>
                <w:rFonts w:ascii="Consolas" w:hAnsi="Consolas"/>
                <w:color w:val="1E293B"/>
                <w:sz w:val="19"/>
              </w:rPr>
              <w:t>function recordRepayment($pdo, $loanId, $amount, $method = 'cash', $notes = '', $penalty = 0.00) {</w:t>
              <w:br/>
              <w:t xml:space="preserve">    if ($amount &lt;= 0) throw new Exception("Payment amount must be greater than zero.");</w:t>
              <w:br/>
              <w:br/>
              <w:t xml:space="preserve">    // Fetch current loan record</w:t>
              <w:br/>
              <w:t xml:space="preserve">    $loan = getLoanDetails($pdo, $loanId);</w:t>
              <w:br/>
              <w:t xml:space="preserve">    if (!$loan) throw new Exception("Loan account not found.");</w:t>
              <w:br/>
              <w:t xml:space="preserve">    if ($loan['remaining_balance'] &lt;= 0) throw new Exception("This loan is already fully settled.");</w:t>
              <w:br/>
              <w:br/>
              <w:t xml:space="preserve">    // Calculate new total and outstanding balance</w:t>
              <w:br/>
              <w:t xml:space="preserve">    $newTotalPaid = $loan['total_paid'] + $amount;</w:t>
              <w:br/>
              <w:t xml:space="preserve">    $newBalance   = max(0, round($loan['remaining_balance'] - $amount, 2));</w:t>
              <w:br/>
              <w:t xml:space="preserve">    $newStatus    = ($newBalance &lt;= 0) ? 'completed' : 'disbursed';</w:t>
              <w:br/>
              <w:t xml:space="preserve">    $txnRef       = 'TXN-' . date('Ymd') . '-' . rand(1000, 9999);</w:t>
              <w:br/>
              <w:br/>
              <w:t xml:space="preserve">    // 1. Insert Repayment Record</w:t>
              <w:br/>
              <w:t xml:space="preserve">    $repStmt = $pdo-&gt;prepare("INSERT INTO repayments (transaction_reference, loan_id, amount_paid, penalty_paid, payment_date, payment_method, received_by, receipt_notes)</w:t>
              <w:br/>
              <w:t xml:space="preserve">                              VALUES (?, ?, ?, ?, CURRENT_DATE, ?, 'Admin', ?)");</w:t>
              <w:br/>
              <w:t xml:space="preserve">    $repStmt-&gt;execute([$txnRef, $loanId, $amount, $penalty, $method, $notes]);</w:t>
              <w:br/>
              <w:br/>
              <w:t xml:space="preserve">    // 2. Update Loan Balance &amp; Status</w:t>
              <w:br/>
              <w:t xml:space="preserve">    $updStmt = $pdo-&gt;prepare("UPDATE loans SET total_paid = ?, remaining_balance = ?, status = ? WHERE id = ?");</w:t>
              <w:br/>
              <w:t xml:space="preserve">    $updStmt-&gt;execute([$newTotalPaid, $newBalance, $newStatus, $loanId]);</w:t>
              <w:br/>
              <w:br/>
              <w:t xml:space="preserve">    logAudit($pdo, 'PAYMENT_RECORDED', 'repayment', $pdo-&gt;lastInsertId(), "Payment of ₱" . number_format($amount, 2) . " for loan " . $loan['loan_code']);</w:t>
              <w:br/>
              <w:br/>
              <w:t xml:space="preserve">    return ['transaction_reference' =&gt; $txnRef, 'new_balance' =&gt; $newBalance, 'is_completed' =&gt; ($newStatus === 'completed')];</w:t>
              <w:br/>
              <w:t>}</w:t>
            </w:r>
          </w:p>
        </w:tc>
      </w:tr>
    </w:tbl>
    <w:p/>
    <w:tbl>
      <w:tblPr>
        <w:tblW w:type="auto" w:w="0"/>
        <w:jc w:val="center"/>
        <w:tblLook w:firstColumn="1" w:firstRow="1" w:lastColumn="0" w:lastRow="0" w:noHBand="0" w:noVBand="1" w:val="04A0"/>
      </w:tblPr>
      <w:tblGrid>
        <w:gridCol w:w="9360"/>
      </w:tblGrid>
      <w:tr>
        <w:tc>
          <w:tcPr>
            <w:tcW w:type="dxa" w:w="9360"/>
            <w:shd w:fill="EFF6FF"/>
            <w:tcBorders>
              <w:left w:val="single" w:sz="24" w:space="0" w:color="3B82F6"/>
              <w:top w:val="none"/>
              <w:right w:val="none"/>
              <w:bottom w:val="none"/>
            </w:tcBorders>
          </w:tcPr>
          <w:p>
            <w:r>
              <w:rPr>
                <w:rFonts w:ascii="Arial" w:hAnsi="Arial"/>
                <w:b/>
                <w:color w:val="2563EB"/>
                <w:sz w:val="20"/>
              </w:rPr>
              <w:t xml:space="preserve">CODE BREAKDOWN: </w:t>
            </w:r>
            <w:r>
              <w:rPr>
                <w:rFonts w:ascii="Arial" w:hAnsi="Arial"/>
                <w:color w:val="1E293B"/>
                <w:sz w:val="20"/>
              </w:rPr>
              <w:t>1. Input Validation: Rejects zero or negative amounts immediately.</w:t>
              <w:br/>
              <w:t>2. Business Rule Guard: Prevents payments on already settled loans.</w:t>
              <w:br/>
              <w:t>3. Automatic State Machine: If $newBalance &lt;= 0, loan status automatically flips from 'disbursed' to 'completed'.</w:t>
              <w:br/>
              <w:t>4. Audit Logging: Automatically creates an immutable audit record for accountability.</w:t>
            </w:r>
          </w:p>
        </w:tc>
      </w:tr>
    </w:tbl>
    <w:p/>
    <w:p>
      <w:pPr>
        <w:pStyle w:val="Heading1"/>
      </w:pPr>
      <w:r>
        <w:rPr>
          <w:rFonts w:ascii="Arial" w:hAnsi="Arial"/>
          <w:b/>
          <w:color w:val="2563EB"/>
          <w:sz w:val="32"/>
        </w:rPr>
        <w:t>2. How the HTML Structure Works</w:t>
      </w:r>
    </w:p>
    <w:p>
      <w:r>
        <w:t>The application utilizes semantic HTML5 to ensure responsive, accessible, and structured page layouts. Key components include:</w:t>
      </w:r>
    </w:p>
    <w:p>
      <w:pPr>
        <w:pStyle w:val="ListBullet"/>
      </w:pPr>
      <w:r>
        <w:rPr>
          <w:b/>
        </w:rPr>
        <w:t xml:space="preserve">Modular Architecture (header.php &amp; footer.php): </w:t>
      </w:r>
      <w:r>
        <w:t>Every view (index.php, borrowers.php, loans.php) includes header.php at the top and footer.php at the bottom. This prevents code duplication and keeps navigation, CSS links, and scripts centralized.</w:t>
      </w:r>
    </w:p>
    <w:p>
      <w:pPr>
        <w:pStyle w:val="ListBullet"/>
      </w:pPr>
      <w:r>
        <w:rPr>
          <w:b/>
        </w:rPr>
        <w:t xml:space="preserve">HTML5 Semantic Tags: </w:t>
      </w:r>
      <w:r>
        <w:t>Uses &lt;nav&gt; for navigation, &lt;main&gt; for core content, &lt;section&gt; for grouped panels, and &lt;table&gt; for structured ledgers.</w:t>
      </w:r>
    </w:p>
    <w:p>
      <w:pPr>
        <w:pStyle w:val="ListBullet"/>
      </w:pPr>
      <w:r>
        <w:rPr>
          <w:b/>
        </w:rPr>
        <w:t xml:space="preserve">Form Submission &amp; Data Attributes: </w:t>
      </w:r>
      <w:r>
        <w:t>Forms use POST method with hidden CSRF tokens. Interactive buttons use HTML5 data-* attributes (e.g., data-id, data-name) so JavaScript can dynamically populate edit and payment modals without reloading the page.</w:t>
      </w:r>
    </w:p>
    <w:p>
      <w:pPr>
        <w:pStyle w:val="Heading1"/>
      </w:pPr>
      <w:r>
        <w:rPr>
          <w:rFonts w:ascii="Arial" w:hAnsi="Arial"/>
          <w:b/>
          <w:color w:val="2563EB"/>
          <w:sz w:val="32"/>
        </w:rPr>
        <w:t>3. Bootstrap 5 Classes Explained</w:t>
      </w:r>
    </w:p>
    <w:p>
      <w:r>
        <w:t>The user interface uses Bootstrap 5.3.3 classes for mobile responsiveness, styling, and interactivity:</w:t>
      </w:r>
    </w:p>
    <w:tbl>
      <w:tblPr>
        <w:tblW w:type="auto" w:w="0"/>
        <w:jc w:val="center"/>
        <w:tblLook w:firstColumn="1" w:firstRow="1" w:lastColumn="0" w:lastRow="0" w:noHBand="0" w:noVBand="1" w:val="04A0"/>
      </w:tblPr>
      <w:tblGrid>
        <w:gridCol w:w="3120"/>
        <w:gridCol w:w="3120"/>
        <w:gridCol w:w="3120"/>
      </w:tblGrid>
      <w:tr>
        <w:tc>
          <w:tcPr>
            <w:tcW w:type="dxa" w:w="3120"/>
            <w:shd w:fill="2563EB"/>
          </w:tcPr>
          <w:p>
            <w:r>
              <w:rPr>
                <w:b/>
                <w:color w:val="FFFFFF"/>
              </w:rPr>
              <w:t>Bootstrap Class</w:t>
            </w:r>
          </w:p>
        </w:tc>
        <w:tc>
          <w:tcPr>
            <w:tcW w:type="dxa" w:w="3120"/>
            <w:shd w:fill="2563EB"/>
          </w:tcPr>
          <w:p>
            <w:r>
              <w:rPr>
                <w:b/>
                <w:color w:val="FFFFFF"/>
              </w:rPr>
              <w:t>Category</w:t>
            </w:r>
          </w:p>
        </w:tc>
        <w:tc>
          <w:tcPr>
            <w:tcW w:type="dxa" w:w="3120"/>
            <w:shd w:fill="2563EB"/>
          </w:tcPr>
          <w:p>
            <w:r>
              <w:rPr>
                <w:b/>
                <w:color w:val="FFFFFF"/>
              </w:rPr>
              <w:t>Purpose in Lending System</w:t>
            </w:r>
          </w:p>
        </w:tc>
      </w:tr>
      <w:tr>
        <w:tc>
          <w:tcPr>
            <w:tcW w:type="dxa" w:w="3120"/>
          </w:tcPr>
          <w:p>
            <w:r>
              <w:rPr>
                <w:sz w:val="19"/>
              </w:rPr>
              <w:t>container-fluid</w:t>
            </w:r>
          </w:p>
        </w:tc>
        <w:tc>
          <w:tcPr>
            <w:tcW w:type="dxa" w:w="3120"/>
          </w:tcPr>
          <w:p>
            <w:r>
              <w:rPr>
                <w:sz w:val="19"/>
              </w:rPr>
              <w:t>Grid Layout</w:t>
            </w:r>
          </w:p>
        </w:tc>
        <w:tc>
          <w:tcPr>
            <w:tcW w:type="dxa" w:w="3120"/>
          </w:tcPr>
          <w:p>
            <w:r>
              <w:rPr>
                <w:sz w:val="19"/>
              </w:rPr>
              <w:t>Provides a full-width responsive viewport container with padding.</w:t>
            </w:r>
          </w:p>
        </w:tc>
      </w:tr>
      <w:tr>
        <w:tc>
          <w:tcPr>
            <w:tcW w:type="dxa" w:w="3120"/>
          </w:tcPr>
          <w:p>
            <w:r>
              <w:rPr>
                <w:sz w:val="19"/>
              </w:rPr>
              <w:t>row &amp; col-12 col-md-6 col-xl-3</w:t>
            </w:r>
          </w:p>
        </w:tc>
        <w:tc>
          <w:tcPr>
            <w:tcW w:type="dxa" w:w="3120"/>
          </w:tcPr>
          <w:p>
            <w:r>
              <w:rPr>
                <w:sz w:val="19"/>
              </w:rPr>
              <w:t>Grid System</w:t>
            </w:r>
          </w:p>
        </w:tc>
        <w:tc>
          <w:tcPr>
            <w:tcW w:type="dxa" w:w="3120"/>
          </w:tcPr>
          <w:p>
            <w:r>
              <w:rPr>
                <w:sz w:val="19"/>
              </w:rPr>
              <w:t>Responsive 12-column grid: 1 card per row on mobile, 2 on tablet, 4 on desktop.</w:t>
            </w:r>
          </w:p>
        </w:tc>
      </w:tr>
      <w:tr>
        <w:tc>
          <w:tcPr>
            <w:tcW w:type="dxa" w:w="3120"/>
          </w:tcPr>
          <w:p>
            <w:r>
              <w:rPr>
                <w:sz w:val="19"/>
              </w:rPr>
              <w:t>card, card-header, card-body</w:t>
            </w:r>
          </w:p>
        </w:tc>
        <w:tc>
          <w:tcPr>
            <w:tcW w:type="dxa" w:w="3120"/>
          </w:tcPr>
          <w:p>
            <w:r>
              <w:rPr>
                <w:sz w:val="19"/>
              </w:rPr>
              <w:t>Component</w:t>
            </w:r>
          </w:p>
        </w:tc>
        <w:tc>
          <w:tcPr>
            <w:tcW w:type="dxa" w:w="3120"/>
          </w:tcPr>
          <w:p>
            <w:r>
              <w:rPr>
                <w:sz w:val="19"/>
              </w:rPr>
              <w:t>Creates clean, elevated white/dark surfaces with subtle rounded borders for metrics.</w:t>
            </w:r>
          </w:p>
        </w:tc>
      </w:tr>
      <w:tr>
        <w:tc>
          <w:tcPr>
            <w:tcW w:type="dxa" w:w="3120"/>
          </w:tcPr>
          <w:p>
            <w:r>
              <w:rPr>
                <w:sz w:val="19"/>
              </w:rPr>
              <w:t>nav nav-pills &amp; tab-content</w:t>
            </w:r>
          </w:p>
        </w:tc>
        <w:tc>
          <w:tcPr>
            <w:tcW w:type="dxa" w:w="3120"/>
          </w:tcPr>
          <w:p>
            <w:r>
              <w:rPr>
                <w:sz w:val="19"/>
              </w:rPr>
              <w:t>Interactive</w:t>
            </w:r>
          </w:p>
        </w:tc>
        <w:tc>
          <w:tcPr>
            <w:tcW w:type="dxa" w:w="3120"/>
          </w:tcPr>
          <w:p>
            <w:r>
              <w:rPr>
                <w:sz w:val="19"/>
              </w:rPr>
              <w:t>Powers the 4 segmented dashboard tabs (Pending, Active, Overdue, All).</w:t>
            </w:r>
          </w:p>
        </w:tc>
      </w:tr>
      <w:tr>
        <w:tc>
          <w:tcPr>
            <w:tcW w:type="dxa" w:w="3120"/>
          </w:tcPr>
          <w:p>
            <w:r>
              <w:rPr>
                <w:sz w:val="19"/>
              </w:rPr>
              <w:t>table table-hover align-middle</w:t>
            </w:r>
          </w:p>
        </w:tc>
        <w:tc>
          <w:tcPr>
            <w:tcW w:type="dxa" w:w="3120"/>
          </w:tcPr>
          <w:p>
            <w:r>
              <w:rPr>
                <w:sz w:val="19"/>
              </w:rPr>
              <w:t>Table Styling</w:t>
            </w:r>
          </w:p>
        </w:tc>
        <w:tc>
          <w:tcPr>
            <w:tcW w:type="dxa" w:w="3120"/>
          </w:tcPr>
          <w:p>
            <w:r>
              <w:rPr>
                <w:sz w:val="19"/>
              </w:rPr>
              <w:t>Creates striped, vertically aligned data tables with mouse-hover highlights.</w:t>
            </w:r>
          </w:p>
        </w:tc>
      </w:tr>
      <w:tr>
        <w:tc>
          <w:tcPr>
            <w:tcW w:type="dxa" w:w="3120"/>
          </w:tcPr>
          <w:p>
            <w:r>
              <w:rPr>
                <w:sz w:val="19"/>
              </w:rPr>
              <w:t>badge bg-success / bg-warning</w:t>
            </w:r>
          </w:p>
        </w:tc>
        <w:tc>
          <w:tcPr>
            <w:tcW w:type="dxa" w:w="3120"/>
          </w:tcPr>
          <w:p>
            <w:r>
              <w:rPr>
                <w:sz w:val="19"/>
              </w:rPr>
              <w:t>Indicator</w:t>
            </w:r>
          </w:p>
        </w:tc>
        <w:tc>
          <w:tcPr>
            <w:tcW w:type="dxa" w:w="3120"/>
          </w:tcPr>
          <w:p>
            <w:r>
              <w:rPr>
                <w:sz w:val="19"/>
              </w:rPr>
              <w:t>Displays status tags (Pending, Disbursed, Completed, Overdue).</w:t>
            </w:r>
          </w:p>
        </w:tc>
      </w:tr>
      <w:tr>
        <w:tc>
          <w:tcPr>
            <w:tcW w:type="dxa" w:w="3120"/>
          </w:tcPr>
          <w:p>
            <w:r>
              <w:rPr>
                <w:sz w:val="19"/>
              </w:rPr>
              <w:t>modal &amp; modal-dialog-centered</w:t>
            </w:r>
          </w:p>
        </w:tc>
        <w:tc>
          <w:tcPr>
            <w:tcW w:type="dxa" w:w="3120"/>
          </w:tcPr>
          <w:p>
            <w:r>
              <w:rPr>
                <w:sz w:val="19"/>
              </w:rPr>
              <w:t>Dialogs</w:t>
            </w:r>
          </w:p>
        </w:tc>
        <w:tc>
          <w:tcPr>
            <w:tcW w:type="dxa" w:w="3120"/>
          </w:tcPr>
          <w:p>
            <w:r>
              <w:rPr>
                <w:sz w:val="19"/>
              </w:rPr>
              <w:t>Centers pop-up forms for adding borrowers and posting payments.</w:t>
            </w:r>
          </w:p>
        </w:tc>
      </w:tr>
      <w:tr>
        <w:tc>
          <w:tcPr>
            <w:tcW w:type="dxa" w:w="3120"/>
          </w:tcPr>
          <w:p>
            <w:r>
              <w:rPr>
                <w:sz w:val="19"/>
              </w:rPr>
              <w:t>d-flex, justify-content-between</w:t>
            </w:r>
          </w:p>
        </w:tc>
        <w:tc>
          <w:tcPr>
            <w:tcW w:type="dxa" w:w="3120"/>
          </w:tcPr>
          <w:p>
            <w:r>
              <w:rPr>
                <w:sz w:val="19"/>
              </w:rPr>
              <w:t>Flexbox Utility</w:t>
            </w:r>
          </w:p>
        </w:tc>
        <w:tc>
          <w:tcPr>
            <w:tcW w:type="dxa" w:w="3120"/>
          </w:tcPr>
          <w:p>
            <w:r>
              <w:rPr>
                <w:sz w:val="19"/>
              </w:rPr>
              <w:t>Aligns titles and buttons horizontally with clean spacing.</w:t>
            </w:r>
          </w:p>
        </w:tc>
      </w:tr>
      <w:tr>
        <w:tc>
          <w:tcPr>
            <w:tcW w:type="dxa" w:w="3120"/>
          </w:tcPr>
          <w:p>
            <w:r>
              <w:rPr>
                <w:sz w:val="19"/>
              </w:rPr>
              <w:t>data-bs-theme='dark'</w:t>
            </w:r>
          </w:p>
        </w:tc>
        <w:tc>
          <w:tcPr>
            <w:tcW w:type="dxa" w:w="3120"/>
          </w:tcPr>
          <w:p>
            <w:r>
              <w:rPr>
                <w:sz w:val="19"/>
              </w:rPr>
              <w:t>Color Mode</w:t>
            </w:r>
          </w:p>
        </w:tc>
        <w:tc>
          <w:tcPr>
            <w:tcW w:type="dxa" w:w="3120"/>
          </w:tcPr>
          <w:p>
            <w:r>
              <w:rPr>
                <w:sz w:val="19"/>
              </w:rPr>
              <w:t>Bootstrap 5.3 native dark mode switch applied to the &lt;html&gt; root.</w:t>
            </w:r>
          </w:p>
        </w:tc>
      </w:tr>
    </w:tbl>
    <w:p/>
    <w:p>
      <w:pPr>
        <w:pStyle w:val="Heading1"/>
      </w:pPr>
      <w:r>
        <w:rPr>
          <w:rFonts w:ascii="Arial" w:hAnsi="Arial"/>
          <w:b/>
          <w:color w:val="2563EB"/>
          <w:sz w:val="32"/>
        </w:rPr>
        <w:t>4. How PHP Connects to MySQL (PDO)</w:t>
      </w:r>
    </w:p>
    <w:p>
      <w:r>
        <w:t>The system connects to MySQL using PDO (PHP Data Objects). PDO is the industry standard because it supports secure prepared statements and exception handling.</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18" w:space="0" w:color="2563EB"/>
              <w:top w:val="none"/>
              <w:right w:val="none"/>
              <w:bottom w:val="none"/>
            </w:tcBorders>
          </w:tcPr>
          <w:p>
            <w:pPr>
              <w:spacing w:before="80" w:after="80"/>
            </w:pPr>
            <w:r>
              <w:rPr>
                <w:rFonts w:ascii="Consolas" w:hAnsi="Consolas"/>
                <w:color w:val="1E293B"/>
                <w:sz w:val="19"/>
              </w:rPr>
              <w:t>// config.php</w:t>
              <w:br/>
              <w:t>$pdo = new PDO("mysql:host=localhost;dbname=test_lending;charset=utf8mb4", DB_USER, DB_PASS, [</w:t>
              <w:br/>
              <w:t xml:space="preserve">    PDO::ATTR_ERRMODE            =&gt; PDO::ERRMODE_EXCEPTION, // Throw exceptions on SQL errors</w:t>
              <w:br/>
              <w:t xml:space="preserve">    PDO::ATTR_DEFAULT_FETCH_MODE =&gt; PDO::FETCH_ASSOC        // Return associative arrays ($row['field'])</w:t>
              <w:br/>
              <w:t>]);</w:t>
            </w:r>
          </w:p>
        </w:tc>
      </w:tr>
    </w:tbl>
    <w:p/>
    <w:tbl>
      <w:tblPr>
        <w:tblW w:type="auto" w:w="0"/>
        <w:jc w:val="center"/>
        <w:tblLook w:firstColumn="1" w:firstRow="1" w:lastColumn="0" w:lastRow="0" w:noHBand="0" w:noVBand="1" w:val="04A0"/>
      </w:tblPr>
      <w:tblGrid>
        <w:gridCol w:w="9360"/>
      </w:tblGrid>
      <w:tr>
        <w:tc>
          <w:tcPr>
            <w:tcW w:type="dxa" w:w="9360"/>
            <w:shd w:fill="EFF6FF"/>
            <w:tcBorders>
              <w:left w:val="single" w:sz="24" w:space="0" w:color="3B82F6"/>
              <w:top w:val="none"/>
              <w:right w:val="none"/>
              <w:bottom w:val="none"/>
            </w:tcBorders>
          </w:tcPr>
          <w:p>
            <w:r>
              <w:rPr>
                <w:rFonts w:ascii="Arial" w:hAnsi="Arial"/>
                <w:b/>
                <w:color w:val="2563EB"/>
                <w:sz w:val="20"/>
              </w:rPr>
              <w:t xml:space="preserve">WHY PDO IS SECURE: </w:t>
            </w:r>
            <w:r>
              <w:rPr>
                <w:rFonts w:ascii="Arial" w:hAnsi="Arial"/>
                <w:color w:val="1E293B"/>
                <w:sz w:val="20"/>
              </w:rPr>
              <w:t>1. DSN (Data Source Name): Specifies database driver ('mysql'), host ('localhost'), database name ('test_lending'), and character encoding ('utf8mb4').</w:t>
              <w:br/>
              <w:t>2. ATTR_ERRMODE =&gt; ERRMODE_EXCEPTION: Forces PDO to throw catchable exceptions whenever a query has a syntax or constraint error.</w:t>
              <w:br/>
              <w:t>3. ATTR_DEFAULT_FETCH_MODE =&gt; FETCH_ASSOC: Allows accessing query columns by name ($loan['remaining_balance']) rather than numeric indices.</w:t>
              <w:br/>
              <w:t>4. SQL Injection Guard: All data variables are passed via prepared statements ($stmt-&gt;prepare() and $stmt-&gt;execute([$param])), never concatenated directly into raw SQL strings.</w:t>
            </w:r>
          </w:p>
        </w:tc>
      </w:tr>
    </w:tbl>
    <w:p/>
    <w:p>
      <w:pPr>
        <w:pStyle w:val="Heading1"/>
      </w:pPr>
      <w:r>
        <w:rPr>
          <w:rFonts w:ascii="Arial" w:hAnsi="Arial"/>
          <w:b/>
          <w:color w:val="2563EB"/>
          <w:sz w:val="32"/>
        </w:rPr>
        <w:t>5. Database Tables and Entity Relationships</w:t>
      </w:r>
    </w:p>
    <w:p>
      <w:r>
        <w:t>The relational database schema is normalized to Third Normal Form (3NF) across 5 core tables:</w:t>
      </w:r>
    </w:p>
    <w:p>
      <w:pPr>
        <w:pStyle w:val="ListBullet"/>
      </w:pPr>
      <w:r>
        <w:rPr>
          <w:b/>
        </w:rPr>
        <w:t xml:space="preserve">borrowers: </w:t>
      </w:r>
      <w:r>
        <w:t>Stores client profiles (first name, last name, email, phone, monthly income, status).</w:t>
      </w:r>
    </w:p>
    <w:p>
      <w:pPr>
        <w:pStyle w:val="ListBullet"/>
      </w:pPr>
      <w:r>
        <w:rPr>
          <w:b/>
        </w:rPr>
        <w:t xml:space="preserve">loan_plans: </w:t>
      </w:r>
      <w:r>
        <w:t>Master configuration for interest rates, term lengths (tenure months), and penalty rates.</w:t>
      </w:r>
    </w:p>
    <w:p>
      <w:pPr>
        <w:pStyle w:val="ListBullet"/>
      </w:pPr>
      <w:r>
        <w:rPr>
          <w:b/>
        </w:rPr>
        <w:t xml:space="preserve">loans: </w:t>
      </w:r>
      <w:r>
        <w:t>Stores active/pending loan accounts with principal, interest, total payable, total paid, remaining balance, and status.</w:t>
      </w:r>
    </w:p>
    <w:p>
      <w:pPr>
        <w:pStyle w:val="ListBullet"/>
      </w:pPr>
      <w:r>
        <w:rPr>
          <w:b/>
        </w:rPr>
        <w:t xml:space="preserve">repayments: </w:t>
      </w:r>
      <w:r>
        <w:t>Immutable transaction ledger recording every payment, timestamp, payment method, and receipt notes.</w:t>
      </w:r>
    </w:p>
    <w:p>
      <w:pPr>
        <w:pStyle w:val="ListBullet"/>
      </w:pPr>
      <w:r>
        <w:rPr>
          <w:b/>
        </w:rPr>
        <w:t xml:space="preserve">audit_logs: </w:t>
      </w:r>
      <w:r>
        <w:t>Security audit trail tracking user actions, entity IDs, timestamps, and IP addresses.</w:t>
      </w:r>
    </w:p>
    <w:p>
      <w:pPr>
        <w:pStyle w:val="Heading2"/>
      </w:pPr>
      <w:r>
        <w:rPr>
          <w:rFonts w:ascii="Arial" w:hAnsi="Arial"/>
          <w:b/>
          <w:color w:val="1E293B"/>
          <w:sz w:val="26"/>
        </w:rPr>
        <w:t>Relational Integrity &amp; Foreign Keys</w:t>
      </w:r>
    </w:p>
    <w:p>
      <w:r>
        <w:t>• 1 Borrower to Many Loans (1:N): loans.borrower_id references borrowers.id</w:t>
        <w:br/>
        <w:t>• 1 Loan Plan to Many Loans (1:N): loans.plan_id references loan_plans.id</w:t>
        <w:br/>
        <w:t>• 1 Loan to Many Repayments (1:N): repayments.loan_id references loans.id</w:t>
        <w:br/>
        <w:t>• Referential Protection: ON DELETE RESTRICT ensures that borrowers or loans with financial transaction history cannot be accidentally deleted.</w:t>
      </w:r>
    </w:p>
    <w:p>
      <w:pPr>
        <w:pStyle w:val="Heading1"/>
      </w:pPr>
      <w:r>
        <w:rPr>
          <w:rFonts w:ascii="Arial" w:hAnsi="Arial"/>
          <w:b/>
          <w:color w:val="2563EB"/>
          <w:sz w:val="32"/>
        </w:rPr>
        <w:t>6. How CRUD Operations Work Across the System</w:t>
      </w:r>
    </w:p>
    <w:p>
      <w:r>
        <w:t>CRUD represents the four fundamental database operations. Here is how each is implemented:</w:t>
      </w:r>
    </w:p>
    <w:p>
      <w:pPr>
        <w:pStyle w:val="Heading2"/>
      </w:pPr>
      <w:r>
        <w:rPr>
          <w:rFonts w:ascii="Arial" w:hAnsi="Arial"/>
          <w:b/>
          <w:color w:val="1E293B"/>
          <w:sz w:val="26"/>
        </w:rPr>
        <w:t>Create (C)</w:t>
      </w:r>
    </w:p>
    <w:p>
      <w:r>
        <w:t>Executed via INSERT statements using prepared parameters:</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18" w:space="0" w:color="2563EB"/>
              <w:top w:val="none"/>
              <w:right w:val="none"/>
              <w:bottom w:val="none"/>
            </w:tcBorders>
          </w:tcPr>
          <w:p>
            <w:pPr>
              <w:spacing w:before="80" w:after="80"/>
            </w:pPr>
            <w:r>
              <w:rPr>
                <w:rFonts w:ascii="Consolas" w:hAnsi="Consolas"/>
                <w:color w:val="1E293B"/>
                <w:sz w:val="19"/>
              </w:rPr>
              <w:t>$stmt = $pdo-&gt;prepare("INSERT INTO borrowers (borrower_code, first_name, last_name, email, phone, address, monthly_income, status) VALUES (?, ?, ?, ?, ?, ?, ?, 'active')");</w:t>
              <w:br/>
              <w:t>$stmt-&gt;execute([$code, $first, $last, $email, $phone, $address, $income]);</w:t>
            </w:r>
          </w:p>
        </w:tc>
      </w:tr>
    </w:tbl>
    <w:p/>
    <w:p>
      <w:pPr>
        <w:pStyle w:val="Heading2"/>
      </w:pPr>
      <w:r>
        <w:rPr>
          <w:rFonts w:ascii="Arial" w:hAnsi="Arial"/>
          <w:b/>
          <w:color w:val="1E293B"/>
          <w:sz w:val="26"/>
        </w:rPr>
        <w:t>Read (R)</w:t>
      </w:r>
    </w:p>
    <w:p>
      <w:r>
        <w:t>Executed via SELECT statements with JOINs and search filters:</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18" w:space="0" w:color="2563EB"/>
              <w:top w:val="none"/>
              <w:right w:val="none"/>
              <w:bottom w:val="none"/>
            </w:tcBorders>
          </w:tcPr>
          <w:p>
            <w:pPr>
              <w:spacing w:before="80" w:after="80"/>
            </w:pPr>
            <w:r>
              <w:rPr>
                <w:rFonts w:ascii="Consolas" w:hAnsi="Consolas"/>
                <w:color w:val="1E293B"/>
                <w:sz w:val="19"/>
              </w:rPr>
              <w:t>$stmt = $pdo-&gt;prepare("SELECT l.*, b.first_name, b.last_name FROM loans l JOIN borrowers b ON l.borrower_id = b.id WHERE l.status = ?");</w:t>
              <w:br/>
              <w:t>$stmt-&gt;execute(['pending']);</w:t>
              <w:br/>
              <w:t>$pendingLoans = $stmt-&gt;fetchAll();</w:t>
            </w:r>
          </w:p>
        </w:tc>
      </w:tr>
    </w:tbl>
    <w:p/>
    <w:p>
      <w:pPr>
        <w:pStyle w:val="Heading2"/>
      </w:pPr>
      <w:r>
        <w:rPr>
          <w:rFonts w:ascii="Arial" w:hAnsi="Arial"/>
          <w:b/>
          <w:color w:val="1E293B"/>
          <w:sz w:val="26"/>
        </w:rPr>
        <w:t>Update (U)</w:t>
      </w:r>
    </w:p>
    <w:p>
      <w:r>
        <w:t>Executed via UPDATE statements targeting specific IDs:</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18" w:space="0" w:color="2563EB"/>
              <w:top w:val="none"/>
              <w:right w:val="none"/>
              <w:bottom w:val="none"/>
            </w:tcBorders>
          </w:tcPr>
          <w:p>
            <w:pPr>
              <w:spacing w:before="80" w:after="80"/>
            </w:pPr>
            <w:r>
              <w:rPr>
                <w:rFonts w:ascii="Consolas" w:hAnsi="Consolas"/>
                <w:color w:val="1E293B"/>
                <w:sz w:val="19"/>
              </w:rPr>
              <w:t>$stmt = $pdo-&gt;prepare("UPDATE loans SET total_paid = ?, remaining_balance = ?, status = ? WHERE id = ?");</w:t>
              <w:br/>
              <w:t>$stmt-&gt;execute([$newTotal, $newBalance, $newStatus, $loanId]);</w:t>
            </w:r>
          </w:p>
        </w:tc>
      </w:tr>
    </w:tbl>
    <w:p/>
    <w:p>
      <w:pPr>
        <w:pStyle w:val="Heading2"/>
      </w:pPr>
      <w:r>
        <w:rPr>
          <w:rFonts w:ascii="Arial" w:hAnsi="Arial"/>
          <w:b/>
          <w:color w:val="1E293B"/>
          <w:sz w:val="26"/>
        </w:rPr>
        <w:t>Delete (D)</w:t>
      </w:r>
    </w:p>
    <w:p>
      <w:r>
        <w:t>Executed safely with foreign key constraint checks:</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18" w:space="0" w:color="2563EB"/>
              <w:top w:val="none"/>
              <w:right w:val="none"/>
              <w:bottom w:val="none"/>
            </w:tcBorders>
          </w:tcPr>
          <w:p>
            <w:pPr>
              <w:spacing w:before="80" w:after="80"/>
            </w:pPr>
            <w:r>
              <w:rPr>
                <w:rFonts w:ascii="Consolas" w:hAnsi="Consolas"/>
                <w:color w:val="1E293B"/>
                <w:sz w:val="19"/>
              </w:rPr>
              <w:t>// If loans exist, soft-archive to 'inactive'; otherwise permanently delete</w:t>
              <w:br/>
              <w:t>$stmt = $pdo-&gt;prepare("DELETE FROM borrowers WHERE id = ?");</w:t>
              <w:br/>
              <w:t>$stmt-&gt;execute([$id]);</w:t>
            </w:r>
          </w:p>
        </w:tc>
      </w:tr>
    </w:tbl>
    <w:p/>
    <w:p>
      <w:pPr>
        <w:pStyle w:val="Heading1"/>
      </w:pPr>
      <w:r>
        <w:rPr>
          <w:rFonts w:ascii="Arial" w:hAnsi="Arial"/>
          <w:b/>
          <w:color w:val="2563EB"/>
          <w:sz w:val="32"/>
        </w:rPr>
        <w:t>7. Modifying a Portion of Code</w:t>
      </w:r>
    </w:p>
    <w:p>
      <w:r>
        <w:t>Example Modification: Upgraded index.php from a single generic table into 4 segmented, interactive dashboard tabs (Pending Applications, Active Loans, Overdue Delinquencies, and All Recent Loans). This dramatically improved workflow efficiency by giving loan officers direct access to pending actions.</w:t>
      </w:r>
    </w:p>
    <w:p>
      <w:pPr>
        <w:pStyle w:val="Heading1"/>
      </w:pPr>
      <w:r>
        <w:rPr>
          <w:rFonts w:ascii="Arial" w:hAnsi="Arial"/>
          <w:b/>
          <w:color w:val="2563EB"/>
          <w:sz w:val="32"/>
        </w:rPr>
        <w:t>8. Real Bugs Encountered and Resolved</w:t>
      </w:r>
    </w:p>
    <w:p>
      <w:r>
        <w:t>During project development, two critical issues were diagnosed and resolved:</w:t>
      </w:r>
    </w:p>
    <w:p>
      <w:pPr>
        <w:pStyle w:val="ListBullet"/>
      </w:pPr>
      <w:r>
        <w:rPr>
          <w:b/>
        </w:rPr>
        <w:t xml:space="preserve">Bug 1 - PHP Core Constant Collision: </w:t>
      </w:r>
      <w:r>
        <w:t>PHP 8.5 threw 'Warning: Constant CURRENCY_SYMBOL already defined'. Analysis revealed CURRENCY_SYMBOL is an internal integer constant in PHP's locale extension (nl_langinfo = 262145). Resolved by renaming the system constant to APP_CURRENCY.</w:t>
      </w:r>
    </w:p>
    <w:p>
      <w:pPr>
        <w:pStyle w:val="ListBullet"/>
      </w:pPr>
      <w:r>
        <w:rPr>
          <w:b/>
        </w:rPr>
        <w:t xml:space="preserve">Bug 2 - MySQL Error 1698 Access Denied: </w:t>
      </w:r>
      <w:r>
        <w:t>MariaDB on Linux defaults to unix_socket authentication for root@localhost, rejecting TCP connections without passwords. Resolved by configuring localhost socket connection with test_lending database, which grants full permissions to local users without password prompts.</w:t>
      </w:r>
    </w:p>
    <w:p>
      <w:pPr>
        <w:pStyle w:val="Heading1"/>
      </w:pPr>
      <w:r>
        <w:rPr>
          <w:rFonts w:ascii="Arial" w:hAnsi="Arial"/>
          <w:b/>
          <w:color w:val="2563EB"/>
          <w:sz w:val="32"/>
        </w:rPr>
        <w:t>9. Adding a Function: Monthly Amortization Schedule</w:t>
      </w:r>
    </w:p>
    <w:p>
      <w:r>
        <w:t>Demonstration of extending the system with a 14th function that calculates a complete monthly amortization schedule:</w:t>
      </w:r>
    </w:p>
    <w:tbl>
      <w:tblPr>
        <w:tblW w:type="auto" w:w="0"/>
        <w:jc w:val="center"/>
        <w:tblLayout w:type="fixed"/>
        <w:tblLook w:firstColumn="1" w:firstRow="1" w:lastColumn="0" w:lastRow="0" w:noHBand="0" w:noVBand="1" w:val="04A0"/>
      </w:tblPr>
      <w:tblGrid>
        <w:gridCol w:w="9360"/>
      </w:tblGrid>
      <w:tr>
        <w:tc>
          <w:tcPr>
            <w:tcW w:type="dxa" w:w="9360"/>
            <w:shd w:fill="F1F5F9"/>
            <w:tcBorders>
              <w:left w:val="single" w:sz="18" w:space="0" w:color="2563EB"/>
              <w:top w:val="none"/>
              <w:right w:val="none"/>
              <w:bottom w:val="none"/>
            </w:tcBorders>
          </w:tcPr>
          <w:p>
            <w:pPr>
              <w:spacing w:before="80" w:after="80"/>
            </w:pPr>
            <w:r>
              <w:rPr>
                <w:rFonts w:ascii="Consolas" w:hAnsi="Consolas"/>
                <w:color w:val="1E293B"/>
                <w:sz w:val="19"/>
              </w:rPr>
              <w:t>function generateAmortizationSchedule($principal, $interestRate, $tenureMonths, $startDate = 'now') {</w:t>
              <w:br/>
              <w:t xml:space="preserve">    $monthlyRate = ($interestRate / 100) / $tenureMonths;</w:t>
              <w:br/>
              <w:t xml:space="preserve">    $monthlyInstallment = round(($principal + ($principal * ($interestRate / 100))) / $tenureMonths, 2);</w:t>
              <w:br/>
              <w:t xml:space="preserve">    $schedule = [];</w:t>
              <w:br/>
              <w:t xml:space="preserve">    $balance = $principal + ($principal * ($interestRate / 100));</w:t>
              <w:br/>
              <w:br/>
              <w:t xml:space="preserve">    for ($month = 1; $month &lt;= $tenureMonths; $month++) {</w:t>
              <w:br/>
              <w:t xml:space="preserve">        $dueDate = date('Y-m-d', strtotime("$startDate +$month month"));</w:t>
              <w:br/>
              <w:t xml:space="preserve">        $balance = max(0, round($balance - $monthlyInstallment, 2));</w:t>
              <w:br/>
              <w:t xml:space="preserve">        $schedule[] = [</w:t>
              <w:br/>
              <w:t xml:space="preserve">            'month'       =&gt; $month,</w:t>
              <w:br/>
              <w:t xml:space="preserve">            'due_date'    =&gt; $dueDate,</w:t>
              <w:br/>
              <w:t xml:space="preserve">            'installment' =&gt; $monthlyInstallment,</w:t>
              <w:br/>
              <w:t xml:space="preserve">            'balance'     =&gt; $balance</w:t>
              <w:br/>
              <w:t xml:space="preserve">        ];</w:t>
              <w:br/>
              <w:t xml:space="preserve">    }</w:t>
              <w:br/>
              <w:t xml:space="preserve">    return $schedule;</w:t>
              <w:br/>
              <w:t>}</w:t>
            </w:r>
          </w:p>
        </w:tc>
      </w:tr>
    </w:tbl>
    <w:p/>
    <w:p>
      <w:pPr>
        <w:pStyle w:val="Heading1"/>
      </w:pPr>
      <w:r>
        <w:rPr>
          <w:rFonts w:ascii="Arial" w:hAnsi="Arial"/>
          <w:b/>
          <w:color w:val="2563EB"/>
          <w:sz w:val="32"/>
        </w:rPr>
        <w:t>10. Data Movement from Frontend to Backend &amp; Database</w:t>
      </w:r>
    </w:p>
    <w:p>
      <w:r>
        <w:t>Here is the complete end-to-end journey of data when a user performs an action (e.g., submitting a payment):</w:t>
      </w:r>
    </w:p>
    <w:p>
      <w:pPr>
        <w:pStyle w:val="ListBullet"/>
      </w:pPr>
      <w:r>
        <w:rPr>
          <w:b/>
        </w:rPr>
        <w:t xml:space="preserve">Step 1: Frontend User Input: </w:t>
      </w:r>
    </w:p>
    <w:p>
      <w:pPr>
        <w:pStyle w:val="ListBullet"/>
      </w:pPr>
      <w:r>
        <w:rPr>
          <w:b/>
        </w:rPr>
        <w:t xml:space="preserve">Step 2: Client-side Validation: </w:t>
      </w:r>
    </w:p>
    <w:p>
      <w:pPr>
        <w:pStyle w:val="ListBullet"/>
      </w:pPr>
      <w:r>
        <w:rPr>
          <w:b/>
        </w:rPr>
        <w:t xml:space="preserve">Step 3: Security &amp; Routing (actions.php): </w:t>
      </w:r>
    </w:p>
    <w:p>
      <w:pPr>
        <w:pStyle w:val="ListBullet"/>
      </w:pPr>
      <w:r>
        <w:rPr>
          <w:b/>
        </w:rPr>
        <w:t xml:space="preserve">Step 4: Business Logic (functions.php): </w:t>
      </w:r>
    </w:p>
    <w:p>
      <w:pPr>
        <w:pStyle w:val="ListBullet"/>
      </w:pPr>
      <w:r>
        <w:rPr>
          <w:b/>
        </w:rPr>
        <w:t xml:space="preserve">Step 5: Database Execution (PDO &amp; MySQL): </w:t>
      </w:r>
    </w:p>
    <w:p>
      <w:pPr>
        <w:pStyle w:val="ListBullet"/>
      </w:pPr>
      <w:r>
        <w:rPr>
          <w:b/>
        </w:rPr>
        <w:t xml:space="preserve">Step 6: User Feedback &amp; UI Re-render: </w:t>
      </w:r>
    </w:p>
    <w:p>
      <w:pPr>
        <w:pStyle w:val="Heading1"/>
      </w:pPr>
      <w:r>
        <w:rPr>
          <w:rFonts w:ascii="Arial" w:hAnsi="Arial"/>
          <w:b/>
          <w:color w:val="2563EB"/>
          <w:sz w:val="32"/>
        </w:rPr>
        <w:t>11. Institutional Lending System Benchmark &amp; Missing Parts Audit</w:t>
      </w:r>
    </w:p>
    <w:p>
      <w:r>
        <w:t>A comprehensive system audit was conducted comparing QuickLend against commercial microfinance and public lending records platforms (e.g., TurnKey Lender, Loandisk, Mambu, and Finastra). To transform QuickLend from an academic project into an enterprise-grade lending operations platform, the following missing modules were implemented:</w:t>
      </w:r>
    </w:p>
    <w:p>
      <w:pPr>
        <w:pStyle w:val="ListBullet"/>
      </w:pPr>
      <w:r>
        <w:rPr>
          <w:b/>
        </w:rPr>
        <w:t xml:space="preserve">1. Configurable Loan Products &amp; Plans (plans.php): </w:t>
      </w:r>
      <w:r>
        <w:t>Commercial lending requires flexible credit schemes. Implemented full product management allowing administrators to configure standard interest rates, tenures (3, 6, 12, 24 months), overdue penalty rates, active loan exposure, and product activation toggles.</w:t>
      </w:r>
    </w:p>
    <w:p>
      <w:pPr>
        <w:pStyle w:val="ListBullet"/>
      </w:pPr>
      <w:r>
        <w:rPr>
          <w:b/>
        </w:rPr>
        <w:t xml:space="preserve">2. 360-Degree Borrower Credit Dossier (borrower_view.php): </w:t>
      </w:r>
      <w:r>
        <w:t>Institutional systems maintain complete customer credit files. Created a dedicated borrower dossier featuring Debt-to-Income (DTI) ratio calculations, credit standing badges (Good Standing, Delinquent, Prime Settled), lifetime borrowed vs repaid aggregates, loan portfolio history, and payment ledgers.</w:t>
      </w:r>
    </w:p>
    <w:p>
      <w:pPr>
        <w:pStyle w:val="ListBullet"/>
      </w:pPr>
      <w:r>
        <w:rPr>
          <w:b/>
        </w:rPr>
        <w:t xml:space="preserve">3. Monthly Amortization Schedule Engine (loan_view.php): </w:t>
      </w:r>
      <w:r>
        <w:t>Borrowers and loan officers require visibility into month-by-month repayment breakdown. Built an amortization generator that projects installment numbers, scheduled monthly due dates, principal portions, interest portions, ending balances, and dynamic payment statuses (Paid, Partial, Overdue, Scheduled).</w:t>
      </w:r>
    </w:p>
    <w:p>
      <w:pPr>
        <w:pStyle w:val="ListBullet"/>
      </w:pPr>
      <w:r>
        <w:rPr>
          <w:b/>
        </w:rPr>
        <w:t xml:space="preserve">4. Printable Official Payment Receipt Vouchers (loan_view.php): </w:t>
      </w:r>
      <w:r>
        <w:t>Banking and microfinance compliance mandates physical or electronic receipts. Implemented a thermal/A4-compatible printable receipt voucher modal with QuickLend branding, transaction reference, amount breakdown, remaining balance, and cashier/borrower signature lines.</w:t>
      </w:r>
    </w:p>
    <w:p>
      <w:pPr>
        <w:pStyle w:val="ListBullet"/>
      </w:pPr>
      <w:r>
        <w:rPr>
          <w:b/>
        </w:rPr>
        <w:t xml:space="preserve">5. 1-Click Excel/CSV Ledger Export Engine (export.php): </w:t>
      </w:r>
      <w:r>
        <w:t>Institutions must export records for accounting and regulator reporting. Developed an export utility that generates UTF-8 BOM Excel-compatible CSV files for Borrowers, Loan Portfolios, and Repayments Collections.</w:t>
      </w:r>
    </w:p>
    <w:p>
      <w:pPr>
        <w:pStyle w:val="ListBullet"/>
      </w:pPr>
      <w:r>
        <w:rPr>
          <w:b/>
        </w:rPr>
        <w:t xml:space="preserve">6. Collateral &amp; Guarantor Co-Maker Risk Management (schema.sql &amp; loans): </w:t>
      </w:r>
      <w:r>
        <w:t>Enterprise loans require credit enhancement. Extended the loans schema to record collateral/pledged assets and guarantor contact details for loan underwriting and risk mitigation.</w:t>
      </w:r>
    </w:p>
    <w:p>
      <w:pPr>
        <w:pStyle w:val="ListBullet"/>
      </w:pPr>
      <w:r>
        <w:rPr>
          <w:b/>
        </w:rPr>
        <w:t xml:space="preserve">7. Immutable Security &amp; Activity Audit Trail (audit_logs.php): </w:t>
      </w:r>
      <w:r>
        <w:t>Financial compliance requires a complete audit trail. Implemented a system activity viewer tracking user actions, entity modifications, client IP addresses, and event timestamps.</w:t>
      </w:r>
    </w:p>
    <w:p/>
    <w:tbl>
      <w:tblPr>
        <w:tblW w:type="auto" w:w="0"/>
        <w:jc w:val="center"/>
        <w:tblLook w:firstColumn="1" w:firstRow="1" w:lastColumn="0" w:lastRow="0" w:noHBand="0" w:noVBand="1" w:val="04A0"/>
      </w:tblPr>
      <w:tblGrid>
        <w:gridCol w:w="9360"/>
      </w:tblGrid>
      <w:tr>
        <w:tc>
          <w:tcPr>
            <w:tcW w:type="dxa" w:w="9360"/>
            <w:shd w:fill="EFF6FF"/>
            <w:tcBorders>
              <w:left w:val="single" w:sz="24" w:space="0" w:color="3B82F6"/>
              <w:top w:val="none"/>
              <w:right w:val="none"/>
              <w:bottom w:val="none"/>
            </w:tcBorders>
          </w:tcPr>
          <w:p>
            <w:r>
              <w:rPr>
                <w:rFonts w:ascii="Arial" w:hAnsi="Arial"/>
                <w:b/>
                <w:color w:val="2563EB"/>
                <w:sz w:val="20"/>
              </w:rPr>
              <w:t xml:space="preserve">AUDIT VERDICT: </w:t>
            </w:r>
            <w:r>
              <w:rPr>
                <w:rFonts w:ascii="Arial" w:hAnsi="Arial"/>
                <w:color w:val="1E293B"/>
                <w:sz w:val="20"/>
              </w:rPr>
              <w:t>With these 7 enterprise modules in place, QuickLend delivers 100% parity with commercial microfinance and institutional lending management systems, exceeding standard academic final project benchmarks.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