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44"/>
        </w:rPr>
        <w:t>QuickLend Tracking System</w:t>
      </w:r>
    </w:p>
    <w:p>
      <w:pPr>
        <w:jc w:val="center"/>
      </w:pPr>
      <w:r>
        <w:rPr>
          <w:rFonts w:ascii="Arial" w:hAnsi="Arial"/>
          <w:i/>
          <w:color w:val="64748B"/>
          <w:sz w:val="23"/>
        </w:rPr>
        <w:t>Executive System Summary &amp; Architectural Overview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563EB"/>
                <w:sz w:val="21"/>
              </w:rPr>
              <w:t xml:space="preserve">EXECUTIVE OVERVIEW: </w:t>
            </w:r>
            <w:r>
              <w:rPr>
                <w:rFonts w:ascii="Arial" w:hAnsi="Arial"/>
                <w:color w:val="1E293B"/>
                <w:sz w:val="21"/>
              </w:rPr>
              <w:t>QuickLend is a full-stack web-based Lending and Loan Management Tracking System designed to manage the end-to-end lifecycle of microfinance and lending operations—from borrower registration and loan origination to amortization tracking, repayment collection, and compliance auditing.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2563EB"/>
          <w:sz w:val="29"/>
        </w:rPr>
        <w:t>1. Technology Stack &amp; Architecture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Backend: </w:t>
      </w:r>
      <w:r>
        <w:rPr>
          <w:rFonts w:ascii="Arial" w:hAnsi="Arial"/>
          <w:sz w:val="21"/>
        </w:rPr>
        <w:t>PHP 8+ using a modular Controller-Service architecture (actions.php for POST request routing and functions.php for core business and financial logic).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Database: </w:t>
      </w:r>
      <w:r>
        <w:rPr>
          <w:rFonts w:ascii="Arial" w:hAnsi="Arial"/>
          <w:sz w:val="21"/>
        </w:rPr>
        <w:t>MySQL / MariaDB (InnoDB storage engine, 3NF normalized schema) connected via PDO (config.php) using parameterized prepared statements.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Frontend: </w:t>
      </w:r>
      <w:r>
        <w:rPr>
          <w:rFonts w:ascii="Arial" w:hAnsi="Arial"/>
          <w:sz w:val="21"/>
        </w:rPr>
        <w:t>Semantic HTML5, Bootstrap 5.3 (with native Light/Dark mode support), Bootstrap Icons, and vanilla JavaScript.</w:t>
      </w:r>
    </w:p>
    <w:p>
      <w:pPr>
        <w:pStyle w:val="Heading1"/>
      </w:pPr>
      <w:r>
        <w:rPr>
          <w:rFonts w:ascii="Arial" w:hAnsi="Arial"/>
          <w:b/>
          <w:color w:val="2563EB"/>
          <w:sz w:val="29"/>
        </w:rPr>
        <w:t>2. Database Architecture (5 Core Tables)</w:t>
      </w:r>
    </w:p>
    <w:p>
      <w:r>
        <w:rPr>
          <w:rFonts w:ascii="Arial" w:hAnsi="Arial"/>
          <w:sz w:val="21"/>
        </w:rPr>
        <w:t>Defined in schema.sql and initialized via setup_db.php, the database enforces referential integrity across 5 relational tables: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1. borrowers: </w:t>
      </w:r>
      <w:r>
        <w:rPr>
          <w:rFonts w:ascii="Arial" w:hAnsi="Arial"/>
          <w:sz w:val="21"/>
        </w:rPr>
        <w:t>Stores client profiles (borrower_code, full name, email, phone, address, monthly income, and account standing: active, inactive, blacklisted).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2. loan_plans: </w:t>
      </w:r>
      <w:r>
        <w:rPr>
          <w:rFonts w:ascii="Arial" w:hAnsi="Arial"/>
          <w:sz w:val="21"/>
        </w:rPr>
        <w:t>Defines configurable lending schemes (plan name, interest rate %, tenure in months, and late penalty rate %).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3. loans: </w:t>
      </w:r>
      <w:r>
        <w:rPr>
          <w:rFonts w:ascii="Arial" w:hAnsi="Arial"/>
          <w:sz w:val="21"/>
        </w:rPr>
        <w:t>Tracks loan applications and active accounts (loan_code, principal, interest, total payable, total paid, remaining balance, monthly installment, collateral, guarantor details, due date, and status: pending, approved, disbursed, completed, rejected).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4. repayments: </w:t>
      </w:r>
      <w:r>
        <w:rPr>
          <w:rFonts w:ascii="Arial" w:hAnsi="Arial"/>
          <w:sz w:val="21"/>
        </w:rPr>
        <w:t>Immutable transaction ledger (transaction_reference, amount paid, penalty paid, payment method, payment date, and receipt notes).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5. audit_logs: </w:t>
      </w:r>
      <w:r>
        <w:rPr>
          <w:rFonts w:ascii="Arial" w:hAnsi="Arial"/>
          <w:sz w:val="21"/>
        </w:rPr>
        <w:t>System-wide compliance trail recording every action (action_type, entity_type, entity_id, description, operator, IP address, and timestamp).</w:t>
      </w:r>
    </w:p>
    <w:p>
      <w:pPr>
        <w:pStyle w:val="Heading1"/>
      </w:pPr>
      <w:r>
        <w:rPr>
          <w:rFonts w:ascii="Arial" w:hAnsi="Arial"/>
          <w:b/>
          <w:color w:val="2563EB"/>
          <w:sz w:val="29"/>
        </w:rPr>
        <w:t>3. Core System Modules &amp;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563E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216"/>
            <w:shd w:fill="2563E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Source File(s)</w:t>
            </w:r>
          </w:p>
        </w:tc>
        <w:tc>
          <w:tcPr>
            <w:tcW w:type="dxa" w:w="3216"/>
            <w:shd w:fill="2563E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Capabilities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Executive Dashboard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index.php</w:t>
            </w:r>
          </w:p>
        </w:tc>
        <w:tc>
          <w:tcPr>
            <w:tcW w:type="dxa" w:w="54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Displays live financial KPIs (getDashboardMetrics(): Total Disbursed, Collected, Outstanding Balance, Active Borrowers) and a 4-tab workspace (Pending Applications, Active &amp; Disbursed, Overdue Delinquent, and All Recent Loans).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Borrower Management &amp; 360° Dossier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borrowers.php</w:t>
              <w:br/>
              <w:t>borrower_view.php</w:t>
            </w:r>
          </w:p>
        </w:tc>
        <w:tc>
          <w:tcPr>
            <w:tcW w:type="dxa" w:w="54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Full CRUD (registerBorrower(), getAllBorrowers(), updateBorrower(), deleteBorrower()) plus a 360° profile (getBorrowerProfile()) computing Debt-to-Income (DTI) ratio and automatic credit standing badges.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Loan Plans &amp; Products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plans.php</w:t>
            </w:r>
          </w:p>
        </w:tc>
        <w:tc>
          <w:tcPr>
            <w:tcW w:type="dxa" w:w="54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Create and manage lending products (getLoanPlans()), interest rates, payment terms, penalty rates, and view active portfolio exposure per plan.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Loan Origination &amp; Lifecycle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loans.php</w:t>
              <w:br/>
              <w:t>loan_view.php</w:t>
            </w:r>
          </w:p>
        </w:tc>
        <w:tc>
          <w:tcPr>
            <w:tcW w:type="dxa" w:w="54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Automated interest and EMI calculation (applyLoan()), status workflow transitions (Pending -&gt; Approved -&gt; Disbursed -&gt; Completed via updateLoanStatus()), collateral/guarantor tracking, and month-by-month amortization schedule generation (generateAmortizationSchedule()).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Repayments &amp; Official Receipts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payments.php</w:t>
              <w:br/>
              <w:t>loan_view.php</w:t>
            </w:r>
          </w:p>
        </w:tc>
        <w:tc>
          <w:tcPr>
            <w:tcW w:type="dxa" w:w="54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Processes payments (recordRepayment()), calculates overdue penalties (calculateOverduePenalty()), automatically reduces balances, settles loans when balance hits zero, and generates printable Official Receipt Vouchers.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Audit Trail &amp; CSV Exports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audit_logs.php</w:t>
              <w:br/>
              <w:t>export.php</w:t>
            </w:r>
          </w:p>
        </w:tc>
        <w:tc>
          <w:tcPr>
            <w:tcW w:type="dxa" w:w="54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Filterable compliance log viewer (getAuditLogs(), logAudit()) and 1-click Excel-compatible CSV exports for Borrowers, Loans, and Repayments.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2563EB"/>
          <w:sz w:val="29"/>
        </w:rPr>
        <w:t>4. End-to-End System Workflow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1. Onboarding: </w:t>
      </w:r>
      <w:r>
        <w:rPr>
          <w:rFonts w:ascii="Arial" w:hAnsi="Arial"/>
          <w:sz w:val="21"/>
        </w:rPr>
        <w:t>An officer registers a borrower in borrowers.php and verifies their monthly income and contact details.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2. Application: </w:t>
      </w:r>
      <w:r>
        <w:rPr>
          <w:rFonts w:ascii="Arial" w:hAnsi="Arial"/>
          <w:sz w:val="21"/>
        </w:rPr>
        <w:t>The borrower applies for a loan under a specific plan in loans.php; the system calculates simple interest (Interest = Principal × Rate / 100), total payable, and monthly installments.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3. Approval &amp; Disbursement: </w:t>
      </w:r>
      <w:r>
        <w:rPr>
          <w:rFonts w:ascii="Arial" w:hAnsi="Arial"/>
          <w:sz w:val="21"/>
        </w:rPr>
        <w:t>The loan is reviewed, approved, and disbursed via actions.php, recording the release date and activating the amortization schedule.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4. Collection &amp; Settlement: </w:t>
      </w:r>
      <w:r>
        <w:rPr>
          <w:rFonts w:ascii="Arial" w:hAnsi="Arial"/>
          <w:sz w:val="21"/>
        </w:rPr>
        <w:t>As payments are posted in loan_view.php, the system generates a unique TXN-YYYYMMDD-XXXX reference, deducts from the remaining balance, and automatically transitions the loan to 'completed' once fully paid.</w:t>
      </w:r>
    </w:p>
    <w:p>
      <w:pPr>
        <w:pStyle w:val="Heading1"/>
      </w:pPr>
      <w:r>
        <w:rPr>
          <w:rFonts w:ascii="Arial" w:hAnsi="Arial"/>
          <w:b/>
          <w:color w:val="2563EB"/>
          <w:sz w:val="29"/>
        </w:rPr>
        <w:t>5. Security &amp; Data Integrity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SQL Injection Prevention: </w:t>
      </w:r>
      <w:r>
        <w:rPr>
          <w:rFonts w:ascii="Arial" w:hAnsi="Arial"/>
          <w:sz w:val="21"/>
        </w:rPr>
        <w:t>100% PDO prepared statements with bound parameters across all database queries in functions.php.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CSRF Protection: </w:t>
      </w:r>
      <w:r>
        <w:rPr>
          <w:rFonts w:ascii="Arial" w:hAnsi="Arial"/>
          <w:sz w:val="21"/>
        </w:rPr>
        <w:t>Cryptographic session tokens validated via hash_equals() on every state-changing POST request in config.php and actions.php.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XSS Protection: </w:t>
      </w:r>
      <w:r>
        <w:rPr>
          <w:rFonts w:ascii="Arial" w:hAnsi="Arial"/>
          <w:sz w:val="21"/>
        </w:rPr>
        <w:t>All dynamic HTML output is sanitized using a dedicated h() helper function wrapping htmlspecialchars().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Referential Integrity: </w:t>
      </w:r>
      <w:r>
        <w:rPr>
          <w:rFonts w:ascii="Arial" w:hAnsi="Arial"/>
          <w:sz w:val="21"/>
        </w:rPr>
        <w:t>Foreign key constraints (ON DELETE RESTRICT) and soft-archiving in deleteBorrower() prevent accidental deletion of borrowers with active or historical loan records.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