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000000"/>
        </w:rPr>
        <w:t>DATA PROTECTION AGREEMENT (DPA)</w:t>
      </w:r>
    </w:p>
    <w:p>
      <w:pPr>
        <w:pStyle w:val="Heading1"/>
      </w:pPr>
      <w:r>
        <w:rPr>
          <w:rFonts w:ascii="Calibri" w:hAnsi="Calibri"/>
          <w:color w:val="000000"/>
        </w:rPr>
        <w:t>Master Template — LINEKORA</w:t>
      </w:r>
    </w:p>
    <w:p>
      <w:r>
        <w:rPr>
          <w:rFonts w:ascii="Calibri" w:hAnsi="Calibri"/>
          <w:b/>
        </w:rPr>
        <w:t>Between:</w:t>
      </w:r>
    </w:p>
    <w:p>
      <w:pPr>
        <w:pStyle w:val="ListBullet"/>
        <w:ind w:left="360"/>
      </w:pPr>
      <w:r>
        <w:rPr>
          <w:rFonts w:ascii="Calibri" w:hAnsi="Calibri"/>
          <w:b/>
        </w:rPr>
        <w:t>Data Controller:</w:t>
      </w:r>
      <w:r>
        <w:rPr>
          <w:rFonts w:ascii="Calibri" w:hAnsi="Calibri"/>
        </w:rPr>
        <w:t xml:space="preserve"> NDIVE LABS LTD (registered in Rwanda), trading as LINEKORA (hereinafter "the Company")</w:t>
      </w:r>
    </w:p>
    <w:p>
      <w:pPr>
        <w:pStyle w:val="ListBullet"/>
        <w:ind w:left="360"/>
      </w:pPr>
      <w:r>
        <w:rPr>
          <w:rFonts w:ascii="Calibri" w:hAnsi="Calibri"/>
          <w:b/>
        </w:rPr>
        <w:t>Data Processor:</w:t>
      </w:r>
      <w:r>
        <w:rPr>
          <w:rFonts w:ascii="Calibri" w:hAnsi="Calibri"/>
        </w:rPr>
        <w:t xml:space="preserve"> [PROCESSOR NAME] (hereinafter "the Processor")</w:t>
      </w:r>
    </w:p>
    <w:p>
      <w:r>
        <w:rPr>
          <w:rFonts w:ascii="Calibri" w:hAnsi="Calibri"/>
          <w:b/>
        </w:rPr>
        <w:t>Effective Date:</w:t>
      </w:r>
      <w:r>
        <w:rPr>
          <w:rFonts w:ascii="Calibri" w:hAnsi="Calibri"/>
        </w:rPr>
        <w:t xml:space="preserve"> _______________</w:t>
      </w:r>
    </w:p>
    <w:p>
      <w:r>
        <w:rPr>
          <w:rFonts w:ascii="Calibri" w:hAnsi="Calibri"/>
          <w:b/>
        </w:rPr>
        <w:t>Agreement Reference:</w:t>
      </w:r>
      <w:r>
        <w:rPr>
          <w:rFonts w:ascii="Calibri" w:hAnsi="Calibri"/>
        </w:rPr>
        <w:t xml:space="preserve"> LINEKORA-DPA-[PROCESSOR]-[YEAR]</w:t>
      </w:r>
    </w:p>
    <w:p>
      <w:pPr>
        <w:shd w:val="clear" w:color="auto" w:fill="F2F2F2"/>
      </w:pPr>
      <w:r>
        <w:rPr>
          <w:rFonts w:ascii="Calibri" w:hAnsi="Calibri"/>
          <w:b/>
          <w:sz w:val="20"/>
        </w:rPr>
        <w:t>IMPORTANT — READ FIRST:</w:t>
      </w:r>
      <w:r>
        <w:rPr>
          <w:rFonts w:ascii="Calibri" w:hAnsi="Calibri"/>
          <w:sz w:val="20"/>
        </w:rPr>
        <w:t xml:space="preserve"> This is LINEKORA's </w:t>
      </w:r>
      <w:r>
        <w:rPr>
          <w:rFonts w:ascii="Calibri" w:hAnsi="Calibri"/>
          <w:b/>
          <w:sz w:val="20"/>
        </w:rPr>
        <w:t>internal master template</w:t>
      </w:r>
      <w:r>
        <w:rPr>
          <w:rFonts w:ascii="Calibri" w:hAnsi="Calibri"/>
          <w:sz w:val="20"/>
        </w:rPr>
        <w:t xml:space="preserve"> used to build internal reference records. The </w:t>
      </w:r>
      <w:r>
        <w:rPr>
          <w:rFonts w:ascii="Calibri" w:hAnsi="Calibri"/>
          <w:b/>
          <w:sz w:val="20"/>
        </w:rPr>
        <w:t>binding contract</w:t>
      </w:r>
      <w:r>
        <w:rPr>
          <w:rFonts w:ascii="Calibri" w:hAnsi="Calibri"/>
          <w:sz w:val="20"/>
        </w:rPr>
        <w:t xml:space="preserve"> for any cloud processor (Vercel, Neon, Google/Firebase, Stripe, Twilio, etc.) is that provider's </w:t>
      </w:r>
      <w:r>
        <w:rPr>
          <w:rFonts w:ascii="Calibri" w:hAnsi="Calibri"/>
          <w:b/>
          <w:sz w:val="20"/>
        </w:rPr>
        <w:t>official DPA</w:t>
      </w:r>
      <w:r>
        <w:rPr>
          <w:rFonts w:ascii="Calibri" w:hAnsi="Calibri"/>
          <w:sz w:val="20"/>
        </w:rPr>
        <w:t>, accepted under their Terms of Service. Always download and keep the provider's official DPA for the Rwanda DPO; never present custom templates to providers for signature.</w:t>
      </w:r>
    </w:p>
    <w:p>
      <w:pPr>
        <w:pBdr>
          <w:bottom w:val="single" w:sz="6" w:space="1" w:color="666666"/>
        </w:pBdr>
      </w:pPr>
    </w:p>
    <w:p>
      <w:pPr>
        <w:pStyle w:val="Heading2"/>
      </w:pPr>
      <w:r>
        <w:rPr>
          <w:rFonts w:ascii="Calibri" w:hAnsi="Calibri"/>
          <w:color w:val="000000"/>
        </w:rPr>
        <w:t>1. PURPOSE</w:t>
      </w:r>
    </w:p>
    <w:p>
      <w:r>
        <w:rPr>
          <w:rFonts w:ascii="Calibri" w:hAnsi="Calibri"/>
        </w:rPr>
        <w:t>This Data Protection Agreement ("DPA") sets out the terms that apply when Personal Data is processed by the Processor on behalf of the Data Controller in the course of providing services. This DPA supplements and forms part of the main service agreement between the parties.</w:t>
      </w:r>
    </w:p>
    <w:p>
      <w:r>
        <w:rPr>
          <w:rFonts w:ascii="Calibri" w:hAnsi="Calibri"/>
        </w:rPr>
        <w:t xml:space="preserve">This DPA is required for compliance with the </w:t>
      </w:r>
      <w:r>
        <w:rPr>
          <w:rFonts w:ascii="Calibri" w:hAnsi="Calibri"/>
          <w:b/>
        </w:rPr>
        <w:t>Rwanda Data Protection Law No. 058/2021 of 13/10/2021</w:t>
      </w:r>
      <w:r>
        <w:rPr>
          <w:rFonts w:ascii="Calibri" w:hAnsi="Calibri"/>
        </w:rPr>
        <w:t xml:space="preserve"> and the </w:t>
      </w:r>
      <w:r>
        <w:rPr>
          <w:rFonts w:ascii="Calibri" w:hAnsi="Calibri"/>
          <w:b/>
        </w:rPr>
        <w:t>Personal Data Protection Policy (PDPB)</w:t>
      </w:r>
      <w:r>
        <w:rPr>
          <w:rFonts w:ascii="Calibri" w:hAnsi="Calibri"/>
        </w:rPr>
        <w:t xml:space="preserve"> issued by the Rwanda Data Protection Authority (DPA).</w:t>
      </w:r>
    </w:p>
    <w:p>
      <w:pPr>
        <w:pBdr>
          <w:bottom w:val="single" w:sz="6" w:space="1" w:color="666666"/>
        </w:pBdr>
      </w:pPr>
    </w:p>
    <w:p>
      <w:pPr>
        <w:pStyle w:val="Heading2"/>
      </w:pPr>
      <w:r>
        <w:rPr>
          <w:rFonts w:ascii="Calibri" w:hAnsi="Calibri"/>
          <w:color w:val="000000"/>
        </w:rPr>
        <w:t>2. DEFINITIONS</w:t>
      </w:r>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rPr>
              <w:t>Term</w:t>
            </w:r>
          </w:p>
        </w:tc>
        <w:tc>
          <w:tcPr>
            <w:tcW w:type="dxa" w:w="4320"/>
          </w:tcPr>
          <w:p>
            <w:r/>
            <w:r>
              <w:rPr>
                <w:rFonts w:ascii="Calibri" w:hAnsi="Calibri"/>
                <w:b/>
              </w:rPr>
              <w:t>Definition</w:t>
            </w:r>
          </w:p>
        </w:tc>
      </w:tr>
      <w:tr>
        <w:tc>
          <w:tcPr>
            <w:tcW w:type="dxa" w:w="4320"/>
          </w:tcPr>
          <w:p>
            <w:r/>
            <w:r>
              <w:rPr>
                <w:rFonts w:ascii="Calibri" w:hAnsi="Calibri"/>
                <w:b/>
              </w:rPr>
              <w:t>Personal Data</w:t>
            </w:r>
          </w:p>
        </w:tc>
        <w:tc>
          <w:tcPr>
            <w:tcW w:type="dxa" w:w="4320"/>
          </w:tcPr>
          <w:p>
            <w:r/>
            <w:r>
              <w:rPr>
                <w:rFonts w:ascii="Calibri" w:hAnsi="Calibri"/>
              </w:rPr>
              <w:t>Any information relating to an identified or identifiable natural person</w:t>
            </w:r>
          </w:p>
        </w:tc>
      </w:tr>
      <w:tr>
        <w:tc>
          <w:tcPr>
            <w:tcW w:type="dxa" w:w="4320"/>
          </w:tcPr>
          <w:p>
            <w:r/>
            <w:r>
              <w:rPr>
                <w:rFonts w:ascii="Calibri" w:hAnsi="Calibri"/>
                <w:b/>
              </w:rPr>
              <w:t>Processing</w:t>
            </w:r>
          </w:p>
        </w:tc>
        <w:tc>
          <w:tcPr>
            <w:tcW w:type="dxa" w:w="4320"/>
          </w:tcPr>
          <w:p>
            <w:r/>
            <w:r>
              <w:rPr>
                <w:rFonts w:ascii="Calibri" w:hAnsi="Calibri"/>
              </w:rPr>
              <w:t>Any operation performed on Personal Data (collection, storage, use, transmission, deletion)</w:t>
            </w:r>
          </w:p>
        </w:tc>
      </w:tr>
      <w:tr>
        <w:tc>
          <w:tcPr>
            <w:tcW w:type="dxa" w:w="4320"/>
          </w:tcPr>
          <w:p>
            <w:r/>
            <w:r>
              <w:rPr>
                <w:rFonts w:ascii="Calibri" w:hAnsi="Calibri"/>
                <w:b/>
              </w:rPr>
              <w:t>Data Controller</w:t>
            </w:r>
          </w:p>
        </w:tc>
        <w:tc>
          <w:tcPr>
            <w:tcW w:type="dxa" w:w="4320"/>
          </w:tcPr>
          <w:p>
            <w:r/>
            <w:r>
              <w:rPr>
                <w:rFonts w:ascii="Calibri" w:hAnsi="Calibri"/>
              </w:rPr>
              <w:t>NDIVE LABS LTD (LINEKORA) — determines the purposes and means of processing</w:t>
            </w:r>
          </w:p>
        </w:tc>
      </w:tr>
      <w:tr>
        <w:tc>
          <w:tcPr>
            <w:tcW w:type="dxa" w:w="4320"/>
          </w:tcPr>
          <w:p>
            <w:r/>
            <w:r>
              <w:rPr>
                <w:rFonts w:ascii="Calibri" w:hAnsi="Calibri"/>
                <w:b/>
              </w:rPr>
              <w:t>Data Processor</w:t>
            </w:r>
          </w:p>
        </w:tc>
        <w:tc>
          <w:tcPr>
            <w:tcW w:type="dxa" w:w="4320"/>
          </w:tcPr>
          <w:p>
            <w:r/>
            <w:r>
              <w:rPr>
                <w:rFonts w:ascii="Calibri" w:hAnsi="Calibri"/>
              </w:rPr>
              <w:t>[PROCESSOR NAME] — processes data on behalf of the Controller</w:t>
            </w:r>
          </w:p>
        </w:tc>
      </w:tr>
      <w:tr>
        <w:tc>
          <w:tcPr>
            <w:tcW w:type="dxa" w:w="4320"/>
          </w:tcPr>
          <w:p>
            <w:r/>
            <w:r>
              <w:rPr>
                <w:rFonts w:ascii="Calibri" w:hAnsi="Calibri"/>
                <w:b/>
              </w:rPr>
              <w:t>Data Subject</w:t>
            </w:r>
          </w:p>
        </w:tc>
        <w:tc>
          <w:tcPr>
            <w:tcW w:type="dxa" w:w="4320"/>
          </w:tcPr>
          <w:p>
            <w:r/>
            <w:r>
              <w:rPr>
                <w:rFonts w:ascii="Calibri" w:hAnsi="Calibri"/>
              </w:rPr>
              <w:t>The individual whose data is processed (Worker, Employer, or Company representative)</w:t>
            </w:r>
          </w:p>
        </w:tc>
      </w:tr>
      <w:tr>
        <w:tc>
          <w:tcPr>
            <w:tcW w:type="dxa" w:w="4320"/>
          </w:tcPr>
          <w:p>
            <w:r/>
            <w:r>
              <w:rPr>
                <w:rFonts w:ascii="Calibri" w:hAnsi="Calibri"/>
                <w:b/>
              </w:rPr>
              <w:t>DPO</w:t>
            </w:r>
          </w:p>
        </w:tc>
        <w:tc>
          <w:tcPr>
            <w:tcW w:type="dxa" w:w="4320"/>
          </w:tcPr>
          <w:p>
            <w:r/>
            <w:r>
              <w:rPr>
                <w:rFonts w:ascii="Calibri" w:hAnsi="Calibri"/>
              </w:rPr>
              <w:t>Data Protection Officer of LINEKORA</w:t>
            </w:r>
          </w:p>
        </w:tc>
      </w:tr>
      <w:tr>
        <w:tc>
          <w:tcPr>
            <w:tcW w:type="dxa" w:w="4320"/>
          </w:tcPr>
          <w:p>
            <w:r/>
            <w:r>
              <w:rPr>
                <w:rFonts w:ascii="Calibri" w:hAnsi="Calibri"/>
                <w:b/>
              </w:rPr>
              <w:t>RDB</w:t>
            </w:r>
          </w:p>
        </w:tc>
        <w:tc>
          <w:tcPr>
            <w:tcW w:type="dxa" w:w="4320"/>
          </w:tcPr>
          <w:p>
            <w:r/>
            <w:r>
              <w:rPr>
                <w:rFonts w:ascii="Calibri" w:hAnsi="Calibri"/>
              </w:rPr>
              <w:t>Rwanda Development Board</w:t>
            </w:r>
          </w:p>
        </w:tc>
      </w:tr>
      <w:tr>
        <w:tc>
          <w:tcPr>
            <w:tcW w:type="dxa" w:w="4320"/>
          </w:tcPr>
          <w:p>
            <w:r/>
            <w:r>
              <w:rPr>
                <w:rFonts w:ascii="Calibri" w:hAnsi="Calibri"/>
                <w:b/>
              </w:rPr>
              <w:t>Cross-border Transfer</w:t>
            </w:r>
          </w:p>
        </w:tc>
        <w:tc>
          <w:tcPr>
            <w:tcW w:type="dxa" w:w="4320"/>
          </w:tcPr>
          <w:p>
            <w:r/>
            <w:r>
              <w:rPr>
                <w:rFonts w:ascii="Calibri" w:hAnsi="Calibri"/>
              </w:rPr>
              <w:t>Transfer of Personal Data outside of Rwanda</w:t>
            </w:r>
          </w:p>
        </w:tc>
      </w:tr>
    </w:tbl>
    <w:p/>
    <w:p>
      <w:pPr>
        <w:pBdr>
          <w:bottom w:val="single" w:sz="6" w:space="1" w:color="666666"/>
        </w:pBdr>
      </w:pPr>
    </w:p>
    <w:p>
      <w:pPr>
        <w:pStyle w:val="Heading2"/>
      </w:pPr>
      <w:r>
        <w:rPr>
          <w:rFonts w:ascii="Calibri" w:hAnsi="Calibri"/>
          <w:color w:val="000000"/>
        </w:rPr>
        <w:t>3. SCOPE OF PROCESSING</w:t>
      </w:r>
    </w:p>
    <w:p>
      <w:pPr>
        <w:pStyle w:val="Heading3"/>
      </w:pPr>
      <w:r>
        <w:rPr>
          <w:rFonts w:ascii="Calibri" w:hAnsi="Calibri"/>
          <w:color w:val="000000"/>
        </w:rPr>
        <w:t>3.1 Data Categories Processed</w:t>
      </w:r>
    </w:p>
    <w:p>
      <w:r>
        <w:rPr>
          <w:rFonts w:ascii="Calibri" w:hAnsi="Calibri"/>
        </w:rPr>
        <w:t>The Processor shall process the following categories of Personal Data on behalf of the Controller:</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rPr>
              <w:t>Data Category</w:t>
            </w:r>
          </w:p>
        </w:tc>
        <w:tc>
          <w:tcPr>
            <w:tcW w:type="dxa" w:w="2880"/>
          </w:tcPr>
          <w:p>
            <w:r/>
            <w:r>
              <w:rPr>
                <w:rFonts w:ascii="Calibri" w:hAnsi="Calibri"/>
                <w:b/>
              </w:rPr>
              <w:t>Data Elements</w:t>
            </w:r>
          </w:p>
        </w:tc>
        <w:tc>
          <w:tcPr>
            <w:tcW w:type="dxa" w:w="2880"/>
          </w:tcPr>
          <w:p>
            <w:r/>
            <w:r>
              <w:rPr>
                <w:rFonts w:ascii="Calibri" w:hAnsi="Calibri"/>
                <w:b/>
              </w:rPr>
              <w:t>Purpose</w:t>
            </w:r>
          </w:p>
        </w:tc>
      </w:tr>
      <w:tr>
        <w:tc>
          <w:tcPr>
            <w:tcW w:type="dxa" w:w="2880"/>
          </w:tcPr>
          <w:p>
            <w:r/>
            <w:r>
              <w:rPr>
                <w:rFonts w:ascii="Calibri" w:hAnsi="Calibri"/>
              </w:rPr>
              <w:t>Worker PII</w:t>
            </w:r>
          </w:p>
        </w:tc>
        <w:tc>
          <w:tcPr>
            <w:tcW w:type="dxa" w:w="2880"/>
          </w:tcPr>
          <w:p>
            <w:r/>
            <w:r>
              <w:rPr>
                <w:rFonts w:ascii="Calibri" w:hAnsi="Calibri"/>
              </w:rPr>
              <w:t>Name, Phone, Gender, District, Sector, Village, ID, Photo, Skills</w:t>
            </w:r>
          </w:p>
        </w:tc>
        <w:tc>
          <w:tcPr>
            <w:tcW w:type="dxa" w:w="2880"/>
          </w:tcPr>
          <w:p>
            <w:r/>
            <w:r>
              <w:rPr>
                <w:rFonts w:ascii="Calibri" w:hAnsi="Calibri"/>
              </w:rPr>
              <w:t>Registration, KYC, Task Matching</w:t>
            </w:r>
          </w:p>
        </w:tc>
      </w:tr>
      <w:tr>
        <w:tc>
          <w:tcPr>
            <w:tcW w:type="dxa" w:w="2880"/>
          </w:tcPr>
          <w:p>
            <w:r/>
            <w:r>
              <w:rPr>
                <w:rFonts w:ascii="Calibri" w:hAnsi="Calibri"/>
              </w:rPr>
              <w:t>Employer PII</w:t>
            </w:r>
          </w:p>
        </w:tc>
        <w:tc>
          <w:tcPr>
            <w:tcW w:type="dxa" w:w="2880"/>
          </w:tcPr>
          <w:p>
            <w:r/>
            <w:r>
              <w:rPr>
                <w:rFonts w:ascii="Calibri" w:hAnsi="Calibri"/>
              </w:rPr>
              <w:t>Name, Phone, Company, Location, Payment Details</w:t>
            </w:r>
          </w:p>
        </w:tc>
        <w:tc>
          <w:tcPr>
            <w:tcW w:type="dxa" w:w="2880"/>
          </w:tcPr>
          <w:p>
            <w:r/>
            <w:r>
              <w:rPr>
                <w:rFonts w:ascii="Calibri" w:hAnsi="Calibri"/>
              </w:rPr>
              <w:t>Registration, Task Creation, Payments</w:t>
            </w:r>
          </w:p>
        </w:tc>
      </w:tr>
      <w:tr>
        <w:tc>
          <w:tcPr>
            <w:tcW w:type="dxa" w:w="2880"/>
          </w:tcPr>
          <w:p>
            <w:r/>
            <w:r>
              <w:rPr>
                <w:rFonts w:ascii="Calibri" w:hAnsi="Calibri"/>
              </w:rPr>
              <w:t>User Activity Data</w:t>
            </w:r>
          </w:p>
        </w:tc>
        <w:tc>
          <w:tcPr>
            <w:tcW w:type="dxa" w:w="2880"/>
          </w:tcPr>
          <w:p>
            <w:r/>
            <w:r>
              <w:rPr>
                <w:rFonts w:ascii="Calibri" w:hAnsi="Calibri"/>
              </w:rPr>
              <w:t>IP Address, Device ID, Geolocation</w:t>
            </w:r>
          </w:p>
        </w:tc>
        <w:tc>
          <w:tcPr>
            <w:tcW w:type="dxa" w:w="2880"/>
          </w:tcPr>
          <w:p>
            <w:r/>
            <w:r>
              <w:rPr>
                <w:rFonts w:ascii="Calibri" w:hAnsi="Calibri"/>
              </w:rPr>
              <w:t>Security, Analytics</w:t>
            </w:r>
          </w:p>
        </w:tc>
      </w:tr>
      <w:tr>
        <w:tc>
          <w:tcPr>
            <w:tcW w:type="dxa" w:w="2880"/>
          </w:tcPr>
          <w:p>
            <w:r/>
            <w:r>
              <w:rPr>
                <w:rFonts w:ascii="Calibri" w:hAnsi="Calibri"/>
              </w:rPr>
              <w:t>Payment Data</w:t>
            </w:r>
          </w:p>
        </w:tc>
        <w:tc>
          <w:tcPr>
            <w:tcW w:type="dxa" w:w="2880"/>
          </w:tcPr>
          <w:p>
            <w:r/>
            <w:r>
              <w:rPr>
                <w:rFonts w:ascii="Calibri" w:hAnsi="Calibri"/>
              </w:rPr>
              <w:t>Card Details, Billing Info, Transaction ID</w:t>
            </w:r>
          </w:p>
        </w:tc>
        <w:tc>
          <w:tcPr>
            <w:tcW w:type="dxa" w:w="2880"/>
          </w:tcPr>
          <w:p>
            <w:r/>
            <w:r>
              <w:rPr>
                <w:rFonts w:ascii="Calibri" w:hAnsi="Calibri"/>
              </w:rPr>
              <w:t>Payment Processing</w:t>
            </w:r>
          </w:p>
        </w:tc>
      </w:tr>
      <w:tr>
        <w:tc>
          <w:tcPr>
            <w:tcW w:type="dxa" w:w="2880"/>
          </w:tcPr>
          <w:p>
            <w:r/>
            <w:r>
              <w:rPr>
                <w:rFonts w:ascii="Calibri" w:hAnsi="Calibri"/>
              </w:rPr>
              <w:t>Notification Data</w:t>
            </w:r>
          </w:p>
        </w:tc>
        <w:tc>
          <w:tcPr>
            <w:tcW w:type="dxa" w:w="2880"/>
          </w:tcPr>
          <w:p>
            <w:r/>
            <w:r>
              <w:rPr>
                <w:rFonts w:ascii="Calibri" w:hAnsi="Calibri"/>
              </w:rPr>
              <w:t>Name, Phone, Transaction ID</w:t>
            </w:r>
          </w:p>
        </w:tc>
        <w:tc>
          <w:tcPr>
            <w:tcW w:type="dxa" w:w="2880"/>
          </w:tcPr>
          <w:p>
            <w:r/>
            <w:r>
              <w:rPr>
                <w:rFonts w:ascii="Calibri" w:hAnsi="Calibri"/>
              </w:rPr>
              <w:t>SMS/Mobile Money Alerts</w:t>
            </w:r>
          </w:p>
        </w:tc>
      </w:tr>
      <w:tr>
        <w:tc>
          <w:tcPr>
            <w:tcW w:type="dxa" w:w="2880"/>
          </w:tcPr>
          <w:p>
            <w:r/>
            <w:r>
              <w:rPr>
                <w:rFonts w:ascii="Calibri" w:hAnsi="Calibri"/>
              </w:rPr>
              <w:t>Support Data</w:t>
            </w:r>
          </w:p>
        </w:tc>
        <w:tc>
          <w:tcPr>
            <w:tcW w:type="dxa" w:w="2880"/>
          </w:tcPr>
          <w:p>
            <w:r/>
            <w:r>
              <w:rPr>
                <w:rFonts w:ascii="Calibri" w:hAnsi="Calibri"/>
              </w:rPr>
              <w:t>Name, Phone, Issue Description</w:t>
            </w:r>
          </w:p>
        </w:tc>
        <w:tc>
          <w:tcPr>
            <w:tcW w:type="dxa" w:w="2880"/>
          </w:tcPr>
          <w:p>
            <w:r/>
            <w:r>
              <w:rPr>
                <w:rFonts w:ascii="Calibri" w:hAnsi="Calibri"/>
              </w:rPr>
              <w:t>Customer Support</w:t>
            </w:r>
          </w:p>
        </w:tc>
      </w:tr>
      <w:tr>
        <w:tc>
          <w:tcPr>
            <w:tcW w:type="dxa" w:w="2880"/>
          </w:tcPr>
          <w:p>
            <w:r/>
            <w:r>
              <w:rPr>
                <w:rFonts w:ascii="Calibri" w:hAnsi="Calibri"/>
              </w:rPr>
              <w:t>Auth Data</w:t>
            </w:r>
          </w:p>
        </w:tc>
        <w:tc>
          <w:tcPr>
            <w:tcW w:type="dxa" w:w="2880"/>
          </w:tcPr>
          <w:p>
            <w:r/>
            <w:r>
              <w:rPr>
                <w:rFonts w:ascii="Calibri" w:hAnsi="Calibri"/>
              </w:rPr>
              <w:t>UID, Phone, Role, Auth Token</w:t>
            </w:r>
          </w:p>
        </w:tc>
        <w:tc>
          <w:tcPr>
            <w:tcW w:type="dxa" w:w="2880"/>
          </w:tcPr>
          <w:p>
            <w:r/>
            <w:r>
              <w:rPr>
                <w:rFonts w:ascii="Calibri" w:hAnsi="Calibri"/>
              </w:rPr>
              <w:t>Authentication, Session Management</w:t>
            </w:r>
          </w:p>
        </w:tc>
      </w:tr>
    </w:tbl>
    <w:p/>
    <w:p>
      <w:pPr>
        <w:pStyle w:val="Heading3"/>
      </w:pPr>
      <w:r>
        <w:rPr>
          <w:rFonts w:ascii="Calibri" w:hAnsi="Calibri"/>
          <w:color w:val="000000"/>
        </w:rPr>
        <w:t>3.2 Purpose of Processing</w:t>
      </w:r>
    </w:p>
    <w:p>
      <w:r>
        <w:rPr>
          <w:rFonts w:ascii="Calibri" w:hAnsi="Calibri"/>
        </w:rPr>
        <w:t>The Processor shall process Personal Data solely for the purpose of providing the agreed services to the Controller, and not for any other purpose without the Controller's prior written consent.</w:t>
      </w:r>
    </w:p>
    <w:p>
      <w:pPr>
        <w:pStyle w:val="Heading3"/>
      </w:pPr>
      <w:r>
        <w:rPr>
          <w:rFonts w:ascii="Calibri" w:hAnsi="Calibri"/>
          <w:color w:val="000000"/>
        </w:rPr>
        <w:t>3.3 Duration of Processing</w:t>
      </w:r>
    </w:p>
    <w:p>
      <w:r>
        <w:rPr>
          <w:rFonts w:ascii="Calibri" w:hAnsi="Calibri"/>
        </w:rPr>
        <w:t xml:space="preserve">This DPA shall remain in effect for the duration of the main service agreement, and for a period of </w:t>
      </w:r>
      <w:r>
        <w:rPr>
          <w:rFonts w:ascii="Calibri" w:hAnsi="Calibri"/>
          <w:b/>
        </w:rPr>
        <w:t>2 years</w:t>
      </w:r>
      <w:r>
        <w:rPr>
          <w:rFonts w:ascii="Calibri" w:hAnsi="Calibri"/>
        </w:rPr>
        <w:t xml:space="preserve"> after termination (for data retention obligations).</w:t>
      </w:r>
    </w:p>
    <w:p>
      <w:pPr>
        <w:pBdr>
          <w:bottom w:val="single" w:sz="6" w:space="1" w:color="666666"/>
        </w:pBdr>
      </w:pPr>
    </w:p>
    <w:p>
      <w:pPr>
        <w:pStyle w:val="Heading2"/>
      </w:pPr>
      <w:r>
        <w:rPr>
          <w:rFonts w:ascii="Calibri" w:hAnsi="Calibri"/>
          <w:color w:val="000000"/>
        </w:rPr>
        <w:t>4. OBLIGATIONS OF THE PROCESSOR</w:t>
      </w:r>
    </w:p>
    <w:p>
      <w:pPr>
        <w:pStyle w:val="Heading3"/>
      </w:pPr>
      <w:r>
        <w:rPr>
          <w:rFonts w:ascii="Calibri" w:hAnsi="Calibri"/>
          <w:color w:val="000000"/>
        </w:rPr>
        <w:t>4.1 Processing Instructions</w:t>
      </w:r>
    </w:p>
    <w:p>
      <w:r>
        <w:rPr>
          <w:rFonts w:ascii="Calibri" w:hAnsi="Calibri"/>
        </w:rPr>
        <w:t>The Processor shall:</w:t>
      </w:r>
    </w:p>
    <w:p>
      <w:pPr>
        <w:pStyle w:val="ListBullet"/>
        <w:ind w:left="360"/>
      </w:pPr>
      <w:r>
        <w:rPr>
          <w:rFonts w:ascii="Calibri" w:hAnsi="Calibri"/>
        </w:rPr>
        <w:t>Process Personal Data only on documented instructions from the Controller</w:t>
      </w:r>
    </w:p>
    <w:p>
      <w:pPr>
        <w:pStyle w:val="ListBullet"/>
        <w:ind w:left="360"/>
      </w:pPr>
      <w:r>
        <w:rPr>
          <w:rFonts w:ascii="Calibri" w:hAnsi="Calibri"/>
        </w:rPr>
        <w:t>Immediately inform the Controller if an instruction infringes on data protection laws</w:t>
      </w:r>
    </w:p>
    <w:p>
      <w:pPr>
        <w:pStyle w:val="ListBullet"/>
        <w:ind w:left="360"/>
      </w:pPr>
      <w:r>
        <w:rPr>
          <w:rFonts w:ascii="Calibri" w:hAnsi="Calibri"/>
        </w:rPr>
        <w:t>Not process Personal Data for any purpose other than the agreed services</w:t>
      </w:r>
    </w:p>
    <w:p>
      <w:pPr>
        <w:pStyle w:val="Heading3"/>
      </w:pPr>
      <w:r>
        <w:rPr>
          <w:rFonts w:ascii="Calibri" w:hAnsi="Calibri"/>
          <w:color w:val="000000"/>
        </w:rPr>
        <w:t>4.2 Confidentiality</w:t>
      </w:r>
    </w:p>
    <w:p>
      <w:r>
        <w:rPr>
          <w:rFonts w:ascii="Calibri" w:hAnsi="Calibri"/>
        </w:rPr>
        <w:t>The Processor shall ensure that:</w:t>
      </w:r>
    </w:p>
    <w:p>
      <w:pPr>
        <w:pStyle w:val="ListBullet"/>
        <w:ind w:left="360"/>
      </w:pPr>
      <w:r>
        <w:rPr>
          <w:rFonts w:ascii="Calibri" w:hAnsi="Calibri"/>
        </w:rPr>
        <w:t>All persons authorized to process Personal Data are bound by confidentiality obligations</w:t>
      </w:r>
    </w:p>
    <w:p>
      <w:pPr>
        <w:pStyle w:val="ListBullet"/>
        <w:ind w:left="360"/>
      </w:pPr>
      <w:r>
        <w:rPr>
          <w:rFonts w:ascii="Calibri" w:hAnsi="Calibri"/>
        </w:rPr>
        <w:t>Access to Personal Data is limited to authorized personnel only</w:t>
      </w:r>
    </w:p>
    <w:p>
      <w:pPr>
        <w:pStyle w:val="ListBullet"/>
        <w:ind w:left="360"/>
      </w:pPr>
      <w:r>
        <w:rPr>
          <w:rFonts w:ascii="Calibri" w:hAnsi="Calibri"/>
        </w:rPr>
        <w:t>Personal Data is not disclosed to unauthorized third parties</w:t>
      </w:r>
    </w:p>
    <w:p>
      <w:pPr>
        <w:pStyle w:val="Heading3"/>
      </w:pPr>
      <w:r>
        <w:rPr>
          <w:rFonts w:ascii="Calibri" w:hAnsi="Calibri"/>
          <w:color w:val="000000"/>
        </w:rPr>
        <w:t>4.3 Security Measures</w:t>
      </w:r>
    </w:p>
    <w:p>
      <w:r>
        <w:rPr>
          <w:rFonts w:ascii="Calibri" w:hAnsi="Calibri"/>
        </w:rPr>
        <w:t>The Processor shall implement appropriate technical and organizational measures, including but not limited to:</w:t>
      </w:r>
    </w:p>
    <w:p>
      <w:pPr>
        <w:pStyle w:val="ListBullet"/>
        <w:ind w:left="360"/>
      </w:pPr>
      <w:r>
        <w:rPr>
          <w:rFonts w:ascii="Calibri" w:hAnsi="Calibri"/>
        </w:rPr>
        <w:t xml:space="preserve">☐ </w:t>
      </w:r>
      <w:r>
        <w:rPr>
          <w:rFonts w:ascii="Calibri" w:hAnsi="Calibri"/>
          <w:b/>
        </w:rPr>
        <w:t>Encryption</w:t>
      </w:r>
      <w:r>
        <w:rPr>
          <w:rFonts w:ascii="Calibri" w:hAnsi="Calibri"/>
        </w:rPr>
        <w:t xml:space="preserve"> — AES-256 encryption at rest; TLS 1.2+ in transit</w:t>
      </w:r>
    </w:p>
    <w:p>
      <w:pPr>
        <w:pStyle w:val="ListBullet"/>
        <w:ind w:left="360"/>
      </w:pPr>
      <w:r>
        <w:rPr>
          <w:rFonts w:ascii="Calibri" w:hAnsi="Calibri"/>
        </w:rPr>
        <w:t xml:space="preserve">☐ </w:t>
      </w:r>
      <w:r>
        <w:rPr>
          <w:rFonts w:ascii="Calibri" w:hAnsi="Calibri"/>
          <w:b/>
        </w:rPr>
        <w:t>Access Controls</w:t>
      </w:r>
      <w:r>
        <w:rPr>
          <w:rFonts w:ascii="Calibri" w:hAnsi="Calibri"/>
        </w:rPr>
        <w:t xml:space="preserve"> — Role-based access control (RBAC)</w:t>
      </w:r>
    </w:p>
    <w:p>
      <w:pPr>
        <w:pStyle w:val="ListBullet"/>
        <w:ind w:left="360"/>
      </w:pPr>
      <w:r>
        <w:rPr>
          <w:rFonts w:ascii="Calibri" w:hAnsi="Calibri"/>
        </w:rPr>
        <w:t xml:space="preserve">☐ </w:t>
      </w:r>
      <w:r>
        <w:rPr>
          <w:rFonts w:ascii="Calibri" w:hAnsi="Calibri"/>
          <w:b/>
        </w:rPr>
        <w:t>Audit Logging</w:t>
      </w:r>
      <w:r>
        <w:rPr>
          <w:rFonts w:ascii="Calibri" w:hAnsi="Calibri"/>
        </w:rPr>
        <w:t xml:space="preserve"> — All access to Personal Data is logged</w:t>
      </w:r>
    </w:p>
    <w:p>
      <w:pPr>
        <w:pStyle w:val="ListBullet"/>
        <w:ind w:left="360"/>
      </w:pPr>
      <w:r>
        <w:rPr>
          <w:rFonts w:ascii="Calibri" w:hAnsi="Calibri"/>
        </w:rPr>
        <w:t xml:space="preserve">☐ </w:t>
      </w:r>
      <w:r>
        <w:rPr>
          <w:rFonts w:ascii="Calibri" w:hAnsi="Calibri"/>
          <w:b/>
        </w:rPr>
        <w:t>Vulnerability Management</w:t>
      </w:r>
      <w:r>
        <w:rPr>
          <w:rFonts w:ascii="Calibri" w:hAnsi="Calibri"/>
        </w:rPr>
        <w:t xml:space="preserve"> — Regular security assessments</w:t>
      </w:r>
    </w:p>
    <w:p>
      <w:pPr>
        <w:pStyle w:val="ListBullet"/>
        <w:ind w:left="360"/>
      </w:pPr>
      <w:r>
        <w:rPr>
          <w:rFonts w:ascii="Calibri" w:hAnsi="Calibri"/>
        </w:rPr>
        <w:t xml:space="preserve">☐ </w:t>
      </w:r>
      <w:r>
        <w:rPr>
          <w:rFonts w:ascii="Calibri" w:hAnsi="Calibri"/>
          <w:b/>
        </w:rPr>
        <w:t>Incident Response</w:t>
      </w:r>
      <w:r>
        <w:rPr>
          <w:rFonts w:ascii="Calibri" w:hAnsi="Calibri"/>
        </w:rPr>
        <w:t xml:space="preserve"> — Documented breach notification procedures</w:t>
      </w:r>
    </w:p>
    <w:p>
      <w:pPr>
        <w:pStyle w:val="ListBullet"/>
        <w:ind w:left="360"/>
      </w:pPr>
      <w:r>
        <w:rPr>
          <w:rFonts w:ascii="Calibri" w:hAnsi="Calibri"/>
        </w:rPr>
        <w:t xml:space="preserve">☐ </w:t>
      </w:r>
      <w:r>
        <w:rPr>
          <w:rFonts w:ascii="Calibri" w:hAnsi="Calibri"/>
          <w:b/>
        </w:rPr>
        <w:t>Data Minimization</w:t>
      </w:r>
      <w:r>
        <w:rPr>
          <w:rFonts w:ascii="Calibri" w:hAnsi="Calibri"/>
        </w:rPr>
        <w:t xml:space="preserve"> — Only collect/process data necessary for the purpose</w:t>
      </w:r>
    </w:p>
    <w:p>
      <w:pPr>
        <w:pStyle w:val="Heading3"/>
      </w:pPr>
      <w:r>
        <w:rPr>
          <w:rFonts w:ascii="Calibri" w:hAnsi="Calibri"/>
          <w:color w:val="000000"/>
        </w:rPr>
        <w:t>4.4 Sub-Processors</w:t>
      </w:r>
    </w:p>
    <w:p>
      <w:r>
        <w:rPr>
          <w:rFonts w:ascii="Calibri" w:hAnsi="Calibri"/>
        </w:rPr>
        <w:t>The Processor shall:</w:t>
      </w:r>
    </w:p>
    <w:p>
      <w:pPr>
        <w:pStyle w:val="ListBullet"/>
        <w:ind w:left="360"/>
      </w:pPr>
      <w:r>
        <w:rPr>
          <w:rFonts w:ascii="Calibri" w:hAnsi="Calibri"/>
        </w:rPr>
        <w:t>Obtain prior written authorization from the Controller before engaging sub-processors</w:t>
      </w:r>
    </w:p>
    <w:p>
      <w:pPr>
        <w:pStyle w:val="ListBullet"/>
        <w:ind w:left="360"/>
      </w:pPr>
      <w:r>
        <w:rPr>
          <w:rFonts w:ascii="Calibri" w:hAnsi="Calibri"/>
        </w:rPr>
        <w:t>Maintain a current list of all sub-processors</w:t>
      </w:r>
    </w:p>
    <w:p>
      <w:pPr>
        <w:pStyle w:val="ListBullet"/>
        <w:ind w:left="360"/>
      </w:pPr>
      <w:r>
        <w:rPr>
          <w:rFonts w:ascii="Calibri" w:hAnsi="Calibri"/>
        </w:rPr>
        <w:t>Enter into binding agreements with sub-processors that impose equivalent data protection obligations</w:t>
      </w:r>
    </w:p>
    <w:p>
      <w:pPr>
        <w:pStyle w:val="ListBullet"/>
        <w:ind w:left="360"/>
      </w:pPr>
      <w:r>
        <w:rPr>
          <w:rFonts w:ascii="Calibri" w:hAnsi="Calibri"/>
        </w:rPr>
        <w:t>Remain fully liable for the acts and omissions of its sub-processors</w:t>
      </w:r>
    </w:p>
    <w:p>
      <w:pPr>
        <w:pStyle w:val="Heading3"/>
      </w:pPr>
      <w:r>
        <w:rPr>
          <w:rFonts w:ascii="Calibri" w:hAnsi="Calibri"/>
          <w:color w:val="000000"/>
        </w:rPr>
        <w:t>4.5 Data Subject Rights</w:t>
      </w:r>
    </w:p>
    <w:p>
      <w:r>
        <w:rPr>
          <w:rFonts w:ascii="Calibri" w:hAnsi="Calibri"/>
        </w:rPr>
        <w:t>The Processor shall assist the Controller in responding to Data Subject requests, including:</w:t>
      </w:r>
    </w:p>
    <w:p>
      <w:pPr>
        <w:pStyle w:val="ListBullet"/>
        <w:ind w:left="360"/>
      </w:pPr>
      <w:r>
        <w:rPr>
          <w:rFonts w:ascii="Calibri" w:hAnsi="Calibri"/>
        </w:rPr>
        <w:t>Right of access</w:t>
      </w:r>
    </w:p>
    <w:p>
      <w:pPr>
        <w:pStyle w:val="ListBullet"/>
        <w:ind w:left="360"/>
      </w:pPr>
      <w:r>
        <w:rPr>
          <w:rFonts w:ascii="Calibri" w:hAnsi="Calibri"/>
        </w:rPr>
        <w:t>Right to rectification</w:t>
      </w:r>
    </w:p>
    <w:p>
      <w:pPr>
        <w:pStyle w:val="ListBullet"/>
        <w:ind w:left="360"/>
      </w:pPr>
      <w:r>
        <w:rPr>
          <w:rFonts w:ascii="Calibri" w:hAnsi="Calibri"/>
        </w:rPr>
        <w:t>Right to erasure ("right to be forgotten")</w:t>
      </w:r>
    </w:p>
    <w:p>
      <w:pPr>
        <w:pStyle w:val="ListBullet"/>
        <w:ind w:left="360"/>
      </w:pPr>
      <w:r>
        <w:rPr>
          <w:rFonts w:ascii="Calibri" w:hAnsi="Calibri"/>
        </w:rPr>
        <w:t>Right to restrict processing</w:t>
      </w:r>
    </w:p>
    <w:p>
      <w:pPr>
        <w:pStyle w:val="ListBullet"/>
        <w:ind w:left="360"/>
      </w:pPr>
      <w:r>
        <w:rPr>
          <w:rFonts w:ascii="Calibri" w:hAnsi="Calibri"/>
        </w:rPr>
        <w:t>Right to data portability</w:t>
      </w:r>
    </w:p>
    <w:p>
      <w:pPr>
        <w:pStyle w:val="ListBullet"/>
        <w:ind w:left="360"/>
      </w:pPr>
      <w:r>
        <w:rPr>
          <w:rFonts w:ascii="Calibri" w:hAnsi="Calibri"/>
        </w:rPr>
        <w:t>Right to object to processing</w:t>
      </w:r>
    </w:p>
    <w:p>
      <w:pPr>
        <w:pStyle w:val="Heading3"/>
      </w:pPr>
      <w:r>
        <w:rPr>
          <w:rFonts w:ascii="Calibri" w:hAnsi="Calibri"/>
          <w:color w:val="000000"/>
        </w:rPr>
        <w:t>4.6 Data Breach Notification</w:t>
      </w:r>
    </w:p>
    <w:p>
      <w:r>
        <w:rPr>
          <w:rFonts w:ascii="Calibri" w:hAnsi="Calibri"/>
        </w:rPr>
        <w:t>The Processor shall:</w:t>
      </w:r>
    </w:p>
    <w:p>
      <w:pPr>
        <w:pStyle w:val="ListBullet"/>
        <w:ind w:left="360"/>
      </w:pPr>
      <w:r>
        <w:rPr>
          <w:rFonts w:ascii="Calibri" w:hAnsi="Calibri"/>
        </w:rPr>
        <w:t xml:space="preserve">Notify the Controller </w:t>
      </w:r>
      <w:r>
        <w:rPr>
          <w:rFonts w:ascii="Calibri" w:hAnsi="Calibri"/>
          <w:b/>
        </w:rPr>
        <w:t>within 48 hours</w:t>
      </w:r>
      <w:r>
        <w:rPr>
          <w:rFonts w:ascii="Calibri" w:hAnsi="Calibri"/>
        </w:rPr>
        <w:t xml:space="preserve"> of becoming aware of a Personal Data breach</w:t>
      </w:r>
    </w:p>
    <w:p>
      <w:pPr>
        <w:pStyle w:val="ListBullet"/>
        <w:ind w:left="360"/>
      </w:pPr>
      <w:r>
        <w:rPr>
          <w:rFonts w:ascii="Calibri" w:hAnsi="Calibri"/>
        </w:rPr>
        <w:t xml:space="preserve">Provide all information necessary for the Controller to comply with the </w:t>
      </w:r>
      <w:r>
        <w:rPr>
          <w:rFonts w:ascii="Calibri" w:hAnsi="Calibri"/>
          <w:b/>
        </w:rPr>
        <w:t>72-hour breach notification</w:t>
      </w:r>
      <w:r>
        <w:rPr>
          <w:rFonts w:ascii="Calibri" w:hAnsi="Calibri"/>
        </w:rPr>
        <w:t xml:space="preserve"> requirement under Rwanda's PDPB</w:t>
      </w:r>
    </w:p>
    <w:p>
      <w:pPr>
        <w:pStyle w:val="ListBullet"/>
        <w:ind w:left="360"/>
      </w:pPr>
      <w:r>
        <w:rPr>
          <w:rFonts w:ascii="Calibri" w:hAnsi="Calibri"/>
        </w:rPr>
        <w:t>Take immediate steps to contain and remediate the breach</w:t>
      </w:r>
    </w:p>
    <w:p>
      <w:pPr>
        <w:pStyle w:val="Heading3"/>
      </w:pPr>
      <w:r>
        <w:rPr>
          <w:rFonts w:ascii="Calibri" w:hAnsi="Calibri"/>
          <w:color w:val="000000"/>
        </w:rPr>
        <w:t>4.7 Data Protection Impact Assessment (DPIA)</w:t>
      </w:r>
    </w:p>
    <w:p>
      <w:r>
        <w:rPr>
          <w:rFonts w:ascii="Calibri" w:hAnsi="Calibri"/>
        </w:rPr>
        <w:t>The Processor shall cooperate with and assist the Controller in conducting Data Protection Impact Assessments as required under Rwanda's data protection law.</w:t>
      </w:r>
    </w:p>
    <w:p>
      <w:pPr>
        <w:pBdr>
          <w:bottom w:val="single" w:sz="6" w:space="1" w:color="666666"/>
        </w:pBdr>
      </w:pPr>
    </w:p>
    <w:p>
      <w:pPr>
        <w:pStyle w:val="Heading2"/>
      </w:pPr>
      <w:r>
        <w:rPr>
          <w:rFonts w:ascii="Calibri" w:hAnsi="Calibri"/>
          <w:color w:val="000000"/>
        </w:rPr>
        <w:t>5. CROSS-BORDER DATA TRANSFERS</w:t>
      </w:r>
    </w:p>
    <w:p>
      <w:pPr>
        <w:pStyle w:val="Heading3"/>
      </w:pPr>
      <w:r>
        <w:rPr>
          <w:rFonts w:ascii="Calibri" w:hAnsi="Calibri"/>
          <w:color w:val="000000"/>
        </w:rPr>
        <w:t>5.1 International Storage Authorization</w:t>
      </w:r>
    </w:p>
    <w:p>
      <w:r>
        <w:rPr>
          <w:rFonts w:ascii="Calibri" w:hAnsi="Calibri"/>
        </w:rPr>
        <w:t xml:space="preserve">The Processor acknowledges that Personal Data is stored and processed </w:t>
      </w:r>
      <w:r>
        <w:rPr>
          <w:rFonts w:ascii="Calibri" w:hAnsi="Calibri"/>
          <w:b/>
        </w:rPr>
        <w:t>outside of Rwanda</w:t>
      </w:r>
      <w:r>
        <w:rPr>
          <w:rFonts w:ascii="Calibri" w:hAnsi="Calibri"/>
        </w:rPr>
        <w:t xml:space="preserve"> and that such transfer requires:</w:t>
      </w:r>
    </w:p>
    <w:p>
      <w:pPr>
        <w:pStyle w:val="ListNumber"/>
        <w:ind w:left="360"/>
      </w:pPr>
      <w:r>
        <w:rPr>
          <w:rFonts w:ascii="Calibri" w:hAnsi="Calibri"/>
          <w:b/>
        </w:rPr>
        <w:t>Authorization from the Rwanda DPA</w:t>
      </w:r>
      <w:r>
        <w:rPr>
          <w:rFonts w:ascii="Calibri" w:hAnsi="Calibri"/>
        </w:rPr>
        <w:t xml:space="preserve"> for international storage</w:t>
      </w:r>
    </w:p>
    <w:p>
      <w:pPr>
        <w:pStyle w:val="ListNumber"/>
        <w:ind w:left="360"/>
      </w:pPr>
      <w:r>
        <w:rPr>
          <w:rFonts w:ascii="Calibri" w:hAnsi="Calibri"/>
          <w:b/>
        </w:rPr>
        <w:t>Data Protection Agreement</w:t>
      </w:r>
      <w:r>
        <w:rPr>
          <w:rFonts w:ascii="Calibri" w:hAnsi="Calibri"/>
        </w:rPr>
        <w:t xml:space="preserve"> (this document) between Controller and Processor</w:t>
      </w:r>
    </w:p>
    <w:p>
      <w:pPr>
        <w:pStyle w:val="ListNumber"/>
        <w:ind w:left="360"/>
      </w:pPr>
      <w:r>
        <w:rPr>
          <w:rFonts w:ascii="Calibri" w:hAnsi="Calibri"/>
          <w:b/>
        </w:rPr>
        <w:t>Adequate safeguards</w:t>
      </w:r>
      <w:r>
        <w:rPr>
          <w:rFonts w:ascii="Calibri" w:hAnsi="Calibri"/>
        </w:rPr>
        <w:t xml:space="preserve"> for the protection of Personal Data</w:t>
      </w:r>
    </w:p>
    <w:p>
      <w:pPr>
        <w:pStyle w:val="Heading3"/>
      </w:pPr>
      <w:r>
        <w:rPr>
          <w:rFonts w:ascii="Calibri" w:hAnsi="Calibri"/>
          <w:color w:val="000000"/>
        </w:rPr>
        <w:t>5.2 Safeguards for International Transfers</w:t>
      </w:r>
    </w:p>
    <w:p>
      <w:r>
        <w:rPr>
          <w:rFonts w:ascii="Calibri" w:hAnsi="Calibri"/>
        </w:rPr>
        <w:t>The Processor shall ensure that any cross-border transfer of Personal Data is protected by:</w:t>
      </w:r>
    </w:p>
    <w:p>
      <w:pPr>
        <w:pStyle w:val="ListBullet"/>
        <w:ind w:left="360"/>
      </w:pPr>
      <w:r>
        <w:rPr>
          <w:rFonts w:ascii="Calibri" w:hAnsi="Calibri"/>
        </w:rPr>
        <w:t>☐ Standard Contractual Clauses (SCCs)</w:t>
      </w:r>
    </w:p>
    <w:p>
      <w:pPr>
        <w:pStyle w:val="ListBullet"/>
        <w:ind w:left="360"/>
      </w:pPr>
      <w:r>
        <w:rPr>
          <w:rFonts w:ascii="Calibri" w:hAnsi="Calibri"/>
        </w:rPr>
        <w:t>☐ Binding Corporate Rules (BCRs) where applicable</w:t>
      </w:r>
    </w:p>
    <w:p>
      <w:pPr>
        <w:pStyle w:val="ListBullet"/>
        <w:ind w:left="360"/>
      </w:pPr>
      <w:r>
        <w:rPr>
          <w:rFonts w:ascii="Calibri" w:hAnsi="Calibri"/>
        </w:rPr>
        <w:t>☐ Adequacy decisions by the relevant data protection authority</w:t>
      </w:r>
    </w:p>
    <w:p>
      <w:pPr>
        <w:pStyle w:val="ListBullet"/>
        <w:ind w:left="360"/>
      </w:pPr>
      <w:r>
        <w:rPr>
          <w:rFonts w:ascii="Calibri" w:hAnsi="Calibri"/>
        </w:rPr>
        <w:t>☐ Other appropriate safeguards as required by law</w:t>
      </w:r>
    </w:p>
    <w:p>
      <w:pPr>
        <w:pStyle w:val="Heading3"/>
      </w:pPr>
      <w:r>
        <w:rPr>
          <w:rFonts w:ascii="Calibri" w:hAnsi="Calibri"/>
          <w:color w:val="000000"/>
        </w:rPr>
        <w:t>5.3 Processor Location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rPr>
              <w:t>Processor</w:t>
            </w:r>
          </w:p>
        </w:tc>
        <w:tc>
          <w:tcPr>
            <w:tcW w:type="dxa" w:w="2160"/>
          </w:tcPr>
          <w:p>
            <w:r/>
            <w:r>
              <w:rPr>
                <w:rFonts w:ascii="Calibri" w:hAnsi="Calibri"/>
                <w:b/>
              </w:rPr>
              <w:t>Location</w:t>
            </w:r>
          </w:p>
        </w:tc>
        <w:tc>
          <w:tcPr>
            <w:tcW w:type="dxa" w:w="2160"/>
          </w:tcPr>
          <w:p>
            <w:r/>
            <w:r>
              <w:rPr>
                <w:rFonts w:ascii="Calibri" w:hAnsi="Calibri"/>
                <w:b/>
              </w:rPr>
              <w:t>Data Stored</w:t>
            </w:r>
          </w:p>
        </w:tc>
        <w:tc>
          <w:tcPr>
            <w:tcW w:type="dxa" w:w="2160"/>
          </w:tcPr>
          <w:p>
            <w:r/>
            <w:r>
              <w:rPr>
                <w:rFonts w:ascii="Calibri" w:hAnsi="Calibri"/>
                <w:b/>
              </w:rPr>
              <w:t>Transfer Mechanism</w:t>
            </w:r>
          </w:p>
        </w:tc>
      </w:tr>
      <w:tr>
        <w:tc>
          <w:tcPr>
            <w:tcW w:type="dxa" w:w="2160"/>
          </w:tcPr>
          <w:p>
            <w:r/>
            <w:r>
              <w:rPr>
                <w:rFonts w:ascii="Calibri" w:hAnsi="Calibri"/>
              </w:rPr>
              <w:t>[PROCESSOR]</w:t>
            </w:r>
          </w:p>
        </w:tc>
        <w:tc>
          <w:tcPr>
            <w:tcW w:type="dxa" w:w="2160"/>
          </w:tcPr>
          <w:p>
            <w:r/>
            <w:r>
              <w:rPr>
                <w:rFonts w:ascii="Calibri" w:hAnsi="Calibri"/>
              </w:rPr>
              <w:t>[COUNTRY]</w:t>
            </w:r>
          </w:p>
        </w:tc>
        <w:tc>
          <w:tcPr>
            <w:tcW w:type="dxa" w:w="2160"/>
          </w:tcPr>
          <w:p>
            <w:r/>
            <w:r>
              <w:rPr>
                <w:rFonts w:ascii="Calibri" w:hAnsi="Calibri"/>
              </w:rPr>
              <w:t>[DATA TYPES]</w:t>
            </w:r>
          </w:p>
        </w:tc>
        <w:tc>
          <w:tcPr>
            <w:tcW w:type="dxa" w:w="2160"/>
          </w:tcPr>
          <w:p>
            <w:r/>
            <w:r>
              <w:rPr>
                <w:rFonts w:ascii="Calibri" w:hAnsi="Calibri"/>
              </w:rPr>
              <w:t>[SCCs/BCRs/Adequacy]</w:t>
            </w:r>
          </w:p>
        </w:tc>
      </w:tr>
    </w:tbl>
    <w:p/>
    <w:p>
      <w:pPr>
        <w:pBdr>
          <w:bottom w:val="single" w:sz="6" w:space="1" w:color="666666"/>
        </w:pBdr>
      </w:pPr>
    </w:p>
    <w:p>
      <w:pPr>
        <w:pStyle w:val="Heading2"/>
      </w:pPr>
      <w:r>
        <w:rPr>
          <w:rFonts w:ascii="Calibri" w:hAnsi="Calibri"/>
          <w:color w:val="000000"/>
        </w:rPr>
        <w:t>6. DATA RETENTION AND DELETION</w:t>
      </w:r>
    </w:p>
    <w:p>
      <w:pPr>
        <w:pStyle w:val="Heading3"/>
      </w:pPr>
      <w:r>
        <w:rPr>
          <w:rFonts w:ascii="Calibri" w:hAnsi="Calibri"/>
          <w:color w:val="000000"/>
        </w:rPr>
        <w:t>6.1 Retention Period</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rPr>
              <w:t>Data Category</w:t>
            </w:r>
          </w:p>
        </w:tc>
        <w:tc>
          <w:tcPr>
            <w:tcW w:type="dxa" w:w="2880"/>
          </w:tcPr>
          <w:p>
            <w:r/>
            <w:r>
              <w:rPr>
                <w:rFonts w:ascii="Calibri" w:hAnsi="Calibri"/>
                <w:b/>
              </w:rPr>
              <w:t>Retention Period</w:t>
            </w:r>
          </w:p>
        </w:tc>
        <w:tc>
          <w:tcPr>
            <w:tcW w:type="dxa" w:w="2880"/>
          </w:tcPr>
          <w:p>
            <w:r/>
            <w:r>
              <w:rPr>
                <w:rFonts w:ascii="Calibri" w:hAnsi="Calibri"/>
                <w:b/>
              </w:rPr>
              <w:t>Deletion Method</w:t>
            </w:r>
          </w:p>
        </w:tc>
      </w:tr>
      <w:tr>
        <w:tc>
          <w:tcPr>
            <w:tcW w:type="dxa" w:w="2880"/>
          </w:tcPr>
          <w:p>
            <w:r/>
            <w:r>
              <w:rPr>
                <w:rFonts w:ascii="Calibri" w:hAnsi="Calibri"/>
              </w:rPr>
              <w:t>Worker PII</w:t>
            </w:r>
          </w:p>
        </w:tc>
        <w:tc>
          <w:tcPr>
            <w:tcW w:type="dxa" w:w="2880"/>
          </w:tcPr>
          <w:p>
            <w:r/>
            <w:r>
              <w:rPr>
                <w:rFonts w:ascii="Calibri" w:hAnsi="Calibri"/>
              </w:rPr>
              <w:t>Active account + 2 years</w:t>
            </w:r>
          </w:p>
        </w:tc>
        <w:tc>
          <w:tcPr>
            <w:tcW w:type="dxa" w:w="2880"/>
          </w:tcPr>
          <w:p>
            <w:r/>
            <w:r>
              <w:rPr>
                <w:rFonts w:ascii="Calibri" w:hAnsi="Calibri"/>
              </w:rPr>
              <w:t>Secure deletion</w:t>
            </w:r>
          </w:p>
        </w:tc>
      </w:tr>
      <w:tr>
        <w:tc>
          <w:tcPr>
            <w:tcW w:type="dxa" w:w="2880"/>
          </w:tcPr>
          <w:p>
            <w:r/>
            <w:r>
              <w:rPr>
                <w:rFonts w:ascii="Calibri" w:hAnsi="Calibri"/>
              </w:rPr>
              <w:t>Employer PII</w:t>
            </w:r>
          </w:p>
        </w:tc>
        <w:tc>
          <w:tcPr>
            <w:tcW w:type="dxa" w:w="2880"/>
          </w:tcPr>
          <w:p>
            <w:r/>
            <w:r>
              <w:rPr>
                <w:rFonts w:ascii="Calibri" w:hAnsi="Calibri"/>
              </w:rPr>
              <w:t>Active account + 2 years</w:t>
            </w:r>
          </w:p>
        </w:tc>
        <w:tc>
          <w:tcPr>
            <w:tcW w:type="dxa" w:w="2880"/>
          </w:tcPr>
          <w:p>
            <w:r/>
            <w:r>
              <w:rPr>
                <w:rFonts w:ascii="Calibri" w:hAnsi="Calibri"/>
              </w:rPr>
              <w:t>Secure deletion</w:t>
            </w:r>
          </w:p>
        </w:tc>
      </w:tr>
      <w:tr>
        <w:tc>
          <w:tcPr>
            <w:tcW w:type="dxa" w:w="2880"/>
          </w:tcPr>
          <w:p>
            <w:r/>
            <w:r>
              <w:rPr>
                <w:rFonts w:ascii="Calibri" w:hAnsi="Calibri"/>
              </w:rPr>
              <w:t>Transaction Records</w:t>
            </w:r>
          </w:p>
        </w:tc>
        <w:tc>
          <w:tcPr>
            <w:tcW w:type="dxa" w:w="2880"/>
          </w:tcPr>
          <w:p>
            <w:r/>
            <w:r>
              <w:rPr>
                <w:rFonts w:ascii="Calibri" w:hAnsi="Calibri"/>
              </w:rPr>
              <w:t>7 years (legal requirement)</w:t>
            </w:r>
          </w:p>
        </w:tc>
        <w:tc>
          <w:tcPr>
            <w:tcW w:type="dxa" w:w="2880"/>
          </w:tcPr>
          <w:p>
            <w:r/>
            <w:r>
              <w:rPr>
                <w:rFonts w:ascii="Calibri" w:hAnsi="Calibri"/>
              </w:rPr>
              <w:t>Archive then delete</w:t>
            </w:r>
          </w:p>
        </w:tc>
      </w:tr>
      <w:tr>
        <w:tc>
          <w:tcPr>
            <w:tcW w:type="dxa" w:w="2880"/>
          </w:tcPr>
          <w:p>
            <w:r/>
            <w:r>
              <w:rPr>
                <w:rFonts w:ascii="Calibri" w:hAnsi="Calibri"/>
              </w:rPr>
              <w:t>Support Tickets</w:t>
            </w:r>
          </w:p>
        </w:tc>
        <w:tc>
          <w:tcPr>
            <w:tcW w:type="dxa" w:w="2880"/>
          </w:tcPr>
          <w:p>
            <w:r/>
            <w:r>
              <w:rPr>
                <w:rFonts w:ascii="Calibri" w:hAnsi="Calibri"/>
              </w:rPr>
              <w:t>Resolution + 1 year</w:t>
            </w:r>
          </w:p>
        </w:tc>
        <w:tc>
          <w:tcPr>
            <w:tcW w:type="dxa" w:w="2880"/>
          </w:tcPr>
          <w:p>
            <w:r/>
            <w:r>
              <w:rPr>
                <w:rFonts w:ascii="Calibri" w:hAnsi="Calibri"/>
              </w:rPr>
              <w:t>Secure deletion</w:t>
            </w:r>
          </w:p>
        </w:tc>
      </w:tr>
      <w:tr>
        <w:tc>
          <w:tcPr>
            <w:tcW w:type="dxa" w:w="2880"/>
          </w:tcPr>
          <w:p>
            <w:r/>
            <w:r>
              <w:rPr>
                <w:rFonts w:ascii="Calibri" w:hAnsi="Calibri"/>
              </w:rPr>
              <w:t>Analytics Data</w:t>
            </w:r>
          </w:p>
        </w:tc>
        <w:tc>
          <w:tcPr>
            <w:tcW w:type="dxa" w:w="2880"/>
          </w:tcPr>
          <w:p>
            <w:r/>
            <w:r>
              <w:rPr>
                <w:rFonts w:ascii="Calibri" w:hAnsi="Calibri"/>
              </w:rPr>
              <w:t>1 year</w:t>
            </w:r>
          </w:p>
        </w:tc>
        <w:tc>
          <w:tcPr>
            <w:tcW w:type="dxa" w:w="2880"/>
          </w:tcPr>
          <w:p>
            <w:r/>
            <w:r>
              <w:rPr>
                <w:rFonts w:ascii="Calibri" w:hAnsi="Calibri"/>
              </w:rPr>
              <w:t>Automatic purge</w:t>
            </w:r>
          </w:p>
        </w:tc>
      </w:tr>
    </w:tbl>
    <w:p/>
    <w:p>
      <w:pPr>
        <w:pStyle w:val="Heading3"/>
      </w:pPr>
      <w:r>
        <w:rPr>
          <w:rFonts w:ascii="Calibri" w:hAnsi="Calibri"/>
          <w:color w:val="000000"/>
        </w:rPr>
        <w:t>6.2 Return and Deletion</w:t>
      </w:r>
    </w:p>
    <w:p>
      <w:r>
        <w:rPr>
          <w:rFonts w:ascii="Calibri" w:hAnsi="Calibri"/>
        </w:rPr>
        <w:t>Upon termination of the service agreement or upon Controller's request, the Processor shall:</w:t>
      </w:r>
    </w:p>
    <w:p>
      <w:pPr>
        <w:pStyle w:val="ListBullet"/>
        <w:ind w:left="360"/>
      </w:pPr>
      <w:r>
        <w:rPr>
          <w:rFonts w:ascii="Calibri" w:hAnsi="Calibri"/>
        </w:rPr>
        <w:t>Return all Personal Data to the Controller in a commonly used, machine-readable format</w:t>
      </w:r>
    </w:p>
    <w:p>
      <w:pPr>
        <w:pStyle w:val="ListBullet"/>
        <w:ind w:left="360"/>
      </w:pPr>
      <w:r>
        <w:rPr>
          <w:rFonts w:ascii="Calibri" w:hAnsi="Calibri"/>
        </w:rPr>
        <w:t xml:space="preserve">Delete all copies of Personal Data within </w:t>
      </w:r>
      <w:r>
        <w:rPr>
          <w:rFonts w:ascii="Calibri" w:hAnsi="Calibri"/>
          <w:b/>
        </w:rPr>
        <w:t>30 days</w:t>
      </w:r>
      <w:r>
        <w:rPr>
          <w:rFonts w:ascii="Calibri" w:hAnsi="Calibri"/>
        </w:rPr>
        <w:t xml:space="preserve"> of receiving the request</w:t>
      </w:r>
    </w:p>
    <w:p>
      <w:pPr>
        <w:pStyle w:val="ListBullet"/>
        <w:ind w:left="360"/>
      </w:pPr>
      <w:r>
        <w:rPr>
          <w:rFonts w:ascii="Calibri" w:hAnsi="Calibri"/>
        </w:rPr>
        <w:t>Provide written certification of deletion upon request</w:t>
      </w:r>
    </w:p>
    <w:p>
      <w:pPr>
        <w:pBdr>
          <w:bottom w:val="single" w:sz="6" w:space="1" w:color="666666"/>
        </w:pBdr>
      </w:pPr>
    </w:p>
    <w:p>
      <w:pPr>
        <w:pStyle w:val="Heading2"/>
      </w:pPr>
      <w:r>
        <w:rPr>
          <w:rFonts w:ascii="Calibri" w:hAnsi="Calibri"/>
          <w:color w:val="000000"/>
        </w:rPr>
        <w:t>7. AUDIT RIGHTS</w:t>
      </w:r>
    </w:p>
    <w:p>
      <w:r>
        <w:rPr>
          <w:rFonts w:ascii="Calibri" w:hAnsi="Calibri"/>
        </w:rPr>
        <w:t>The Controller (or its authorized auditor) shall have the right to:</w:t>
      </w:r>
    </w:p>
    <w:p>
      <w:pPr>
        <w:pStyle w:val="ListBullet"/>
        <w:ind w:left="360"/>
      </w:pPr>
      <w:r>
        <w:rPr>
          <w:rFonts w:ascii="Calibri" w:hAnsi="Calibri"/>
        </w:rPr>
        <w:t>Conduct audits of the Processor's data processing activities</w:t>
      </w:r>
    </w:p>
    <w:p>
      <w:pPr>
        <w:pStyle w:val="ListBullet"/>
        <w:ind w:left="360"/>
      </w:pPr>
      <w:r>
        <w:rPr>
          <w:rFonts w:ascii="Calibri" w:hAnsi="Calibri"/>
        </w:rPr>
        <w:t>Request documentation and evidence of compliance</w:t>
      </w:r>
    </w:p>
    <w:p>
      <w:pPr>
        <w:pStyle w:val="ListBullet"/>
        <w:ind w:left="360"/>
      </w:pPr>
      <w:r>
        <w:rPr>
          <w:rFonts w:ascii="Calibri" w:hAnsi="Calibri"/>
        </w:rPr>
        <w:t>Inspect security measures and facilities</w:t>
      </w:r>
    </w:p>
    <w:p>
      <w:pPr>
        <w:pStyle w:val="ListBullet"/>
        <w:ind w:left="360"/>
      </w:pPr>
      <w:r>
        <w:rPr>
          <w:rFonts w:ascii="Calibri" w:hAnsi="Calibri"/>
        </w:rPr>
        <w:t xml:space="preserve">Conduct audits </w:t>
      </w:r>
      <w:r>
        <w:rPr>
          <w:rFonts w:ascii="Calibri" w:hAnsi="Calibri"/>
          <w:b/>
        </w:rPr>
        <w:t>once per year</w:t>
      </w:r>
      <w:r>
        <w:rPr>
          <w:rFonts w:ascii="Calibri" w:hAnsi="Calibri"/>
        </w:rPr>
        <w:t xml:space="preserve"> or upon reasonable suspicion of non-compliance</w:t>
      </w:r>
    </w:p>
    <w:p>
      <w:r>
        <w:rPr>
          <w:rFonts w:ascii="Calibri" w:hAnsi="Calibri"/>
        </w:rPr>
        <w:t>The Processor shall cooperate fully with any audit and provide access to relevant records, facilities, and personnel.</w:t>
      </w:r>
    </w:p>
    <w:p>
      <w:pPr>
        <w:pBdr>
          <w:bottom w:val="single" w:sz="6" w:space="1" w:color="666666"/>
        </w:pBdr>
      </w:pPr>
    </w:p>
    <w:p>
      <w:pPr>
        <w:pStyle w:val="Heading2"/>
      </w:pPr>
      <w:r>
        <w:rPr>
          <w:rFonts w:ascii="Calibri" w:hAnsi="Calibri"/>
          <w:color w:val="000000"/>
        </w:rPr>
        <w:t>8. LIABILITY AND INDEMNIFICATION</w:t>
      </w:r>
    </w:p>
    <w:p>
      <w:pPr>
        <w:pStyle w:val="Heading3"/>
      </w:pPr>
      <w:r>
        <w:rPr>
          <w:rFonts w:ascii="Calibri" w:hAnsi="Calibri"/>
          <w:color w:val="000000"/>
        </w:rPr>
        <w:t>8.1 Liability</w:t>
      </w:r>
    </w:p>
    <w:p>
      <w:r>
        <w:rPr>
          <w:rFonts w:ascii="Calibri" w:hAnsi="Calibri"/>
        </w:rPr>
        <w:t>The Processor shall be liable for any damage caused by processing that does not comply with this DPA or applicable data protection law.</w:t>
      </w:r>
    </w:p>
    <w:p>
      <w:pPr>
        <w:pStyle w:val="Heading3"/>
      </w:pPr>
      <w:r>
        <w:rPr>
          <w:rFonts w:ascii="Calibri" w:hAnsi="Calibri"/>
          <w:color w:val="000000"/>
        </w:rPr>
        <w:t>8.2 Indemnification</w:t>
      </w:r>
    </w:p>
    <w:p>
      <w:r>
        <w:rPr>
          <w:rFonts w:ascii="Calibri" w:hAnsi="Calibri"/>
        </w:rPr>
        <w:t>The Processor shall indemnify and hold harmless the Controller from and against any claims, damages, losses, and expenses arising from the Processor's breach of this DPA.</w:t>
      </w:r>
    </w:p>
    <w:p>
      <w:pPr>
        <w:pBdr>
          <w:bottom w:val="single" w:sz="6" w:space="1" w:color="666666"/>
        </w:pBdr>
      </w:pPr>
    </w:p>
    <w:p>
      <w:pPr>
        <w:pStyle w:val="Heading2"/>
      </w:pPr>
      <w:r>
        <w:rPr>
          <w:rFonts w:ascii="Calibri" w:hAnsi="Calibri"/>
          <w:color w:val="000000"/>
        </w:rPr>
        <w:t>9. TERM AND TERMINATION</w:t>
      </w:r>
    </w:p>
    <w:p>
      <w:pPr>
        <w:pStyle w:val="Heading3"/>
      </w:pPr>
      <w:r>
        <w:rPr>
          <w:rFonts w:ascii="Calibri" w:hAnsi="Calibri"/>
          <w:color w:val="000000"/>
        </w:rPr>
        <w:t>9.1 Term</w:t>
      </w:r>
    </w:p>
    <w:p>
      <w:r>
        <w:rPr>
          <w:rFonts w:ascii="Calibri" w:hAnsi="Calibri"/>
        </w:rPr>
        <w:t>This DPA shall commence on the Effective Date and remain in effect for the duration of the main service agreement.</w:t>
      </w:r>
    </w:p>
    <w:p>
      <w:pPr>
        <w:pStyle w:val="Heading3"/>
      </w:pPr>
      <w:r>
        <w:rPr>
          <w:rFonts w:ascii="Calibri" w:hAnsi="Calibri"/>
          <w:color w:val="000000"/>
        </w:rPr>
        <w:t>9.2 Termination</w:t>
      </w:r>
    </w:p>
    <w:p>
      <w:r>
        <w:rPr>
          <w:rFonts w:ascii="Calibri" w:hAnsi="Calibri"/>
        </w:rPr>
        <w:t>This DPA shall automatically terminate upon:</w:t>
      </w:r>
    </w:p>
    <w:p>
      <w:pPr>
        <w:pStyle w:val="ListBullet"/>
        <w:ind w:left="360"/>
      </w:pPr>
      <w:r>
        <w:rPr>
          <w:rFonts w:ascii="Calibri" w:hAnsi="Calibri"/>
        </w:rPr>
        <w:t>Termination of the main service agreement</w:t>
      </w:r>
    </w:p>
    <w:p>
      <w:pPr>
        <w:pStyle w:val="ListBullet"/>
        <w:ind w:left="360"/>
      </w:pPr>
      <w:r>
        <w:rPr>
          <w:rFonts w:ascii="Calibri" w:hAnsi="Calibri"/>
        </w:rPr>
        <w:t>Mutual written agreement of the parties</w:t>
      </w:r>
    </w:p>
    <w:p>
      <w:pPr>
        <w:pStyle w:val="ListBullet"/>
        <w:ind w:left="360"/>
      </w:pPr>
      <w:r>
        <w:rPr>
          <w:rFonts w:ascii="Calibri" w:hAnsi="Calibri"/>
        </w:rPr>
        <w:t>Breach of material terms that remains uncured for 30 days after written notice</w:t>
      </w:r>
    </w:p>
    <w:p>
      <w:pPr>
        <w:pStyle w:val="Heading3"/>
      </w:pPr>
      <w:r>
        <w:rPr>
          <w:rFonts w:ascii="Calibri" w:hAnsi="Calibri"/>
          <w:color w:val="000000"/>
        </w:rPr>
        <w:t>9.3 Survival</w:t>
      </w:r>
    </w:p>
    <w:p>
      <w:r>
        <w:rPr>
          <w:rFonts w:ascii="Calibri" w:hAnsi="Calibri"/>
        </w:rPr>
        <w:t>The obligations under Sections 4 (Confidentiality), 6 (Data Retention), 8 (Liability) shall survive termination of this DPA.</w:t>
      </w:r>
    </w:p>
    <w:p>
      <w:pPr>
        <w:pBdr>
          <w:bottom w:val="single" w:sz="6" w:space="1" w:color="666666"/>
        </w:pBdr>
      </w:pPr>
    </w:p>
    <w:p>
      <w:pPr>
        <w:pStyle w:val="Heading2"/>
      </w:pPr>
      <w:r>
        <w:rPr>
          <w:rFonts w:ascii="Calibri" w:hAnsi="Calibri"/>
          <w:color w:val="000000"/>
        </w:rPr>
        <w:t>10. GOVERNING LAW AND DISPUTE RESOLUTION</w:t>
      </w:r>
    </w:p>
    <w:p>
      <w:pPr>
        <w:pStyle w:val="Heading3"/>
      </w:pPr>
      <w:r>
        <w:rPr>
          <w:rFonts w:ascii="Calibri" w:hAnsi="Calibri"/>
          <w:color w:val="000000"/>
        </w:rPr>
        <w:t>10.1 Governing Law</w:t>
      </w:r>
    </w:p>
    <w:p>
      <w:r>
        <w:rPr>
          <w:rFonts w:ascii="Calibri" w:hAnsi="Calibri"/>
        </w:rPr>
        <w:t xml:space="preserve">This DPA shall be governed by and construed in accordance with the laws of the </w:t>
      </w:r>
      <w:r>
        <w:rPr>
          <w:rFonts w:ascii="Calibri" w:hAnsi="Calibri"/>
          <w:b/>
        </w:rPr>
        <w:t>Republic of Rwanda</w:t>
      </w:r>
      <w:r>
        <w:rPr>
          <w:rFonts w:ascii="Calibri" w:hAnsi="Calibri"/>
        </w:rPr>
        <w:t>, including:</w:t>
      </w:r>
    </w:p>
    <w:p>
      <w:pPr>
        <w:pStyle w:val="ListBullet"/>
        <w:ind w:left="360"/>
      </w:pPr>
      <w:r>
        <w:rPr>
          <w:rFonts w:ascii="Calibri" w:hAnsi="Calibri"/>
        </w:rPr>
        <w:t>Law No. 058/2021 of 13/10/2021 on the Protection of Personal Data</w:t>
      </w:r>
    </w:p>
    <w:p>
      <w:pPr>
        <w:pStyle w:val="ListBullet"/>
        <w:ind w:left="360"/>
      </w:pPr>
      <w:r>
        <w:rPr>
          <w:rFonts w:ascii="Calibri" w:hAnsi="Calibri"/>
        </w:rPr>
        <w:t>Personal Data Protection Policy (PDPB) No. 3/2021</w:t>
      </w:r>
    </w:p>
    <w:p>
      <w:pPr>
        <w:pStyle w:val="ListBullet"/>
        <w:ind w:left="360"/>
      </w:pPr>
      <w:r>
        <w:rPr>
          <w:rFonts w:ascii="Calibri" w:hAnsi="Calibri"/>
        </w:rPr>
        <w:t>Any regulations issued by the Rwanda Data Protection Authority</w:t>
      </w:r>
    </w:p>
    <w:p>
      <w:pPr>
        <w:pStyle w:val="Heading3"/>
      </w:pPr>
      <w:r>
        <w:rPr>
          <w:rFonts w:ascii="Calibri" w:hAnsi="Calibri"/>
          <w:color w:val="000000"/>
        </w:rPr>
        <w:t>10.2 Dispute Resolution</w:t>
      </w:r>
    </w:p>
    <w:p>
      <w:r>
        <w:rPr>
          <w:rFonts w:ascii="Calibri" w:hAnsi="Calibri"/>
        </w:rPr>
        <w:t>Any dispute arising out of or in connection with this DPA shall be resolved through:</w:t>
      </w:r>
    </w:p>
    <w:p>
      <w:pPr>
        <w:pStyle w:val="ListNumber"/>
        <w:ind w:left="360"/>
      </w:pPr>
      <w:r>
        <w:rPr>
          <w:rFonts w:ascii="Calibri" w:hAnsi="Calibri"/>
        </w:rPr>
        <w:t>Good faith negotiation between the parties</w:t>
      </w:r>
    </w:p>
    <w:p>
      <w:pPr>
        <w:pStyle w:val="ListNumber"/>
        <w:ind w:left="360"/>
      </w:pPr>
      <w:r>
        <w:rPr>
          <w:rFonts w:ascii="Calibri" w:hAnsi="Calibri"/>
        </w:rPr>
        <w:t>Mediation</w:t>
      </w:r>
    </w:p>
    <w:p>
      <w:pPr>
        <w:pStyle w:val="ListNumber"/>
        <w:ind w:left="360"/>
      </w:pPr>
      <w:r>
        <w:rPr>
          <w:rFonts w:ascii="Calibri" w:hAnsi="Calibri"/>
        </w:rPr>
        <w:t>Arbitration under the rules of the Kigali International Arbitration Centre</w:t>
      </w:r>
    </w:p>
    <w:p>
      <w:pPr>
        <w:pBdr>
          <w:bottom w:val="single" w:sz="6" w:space="1" w:color="666666"/>
        </w:pBdr>
      </w:pPr>
    </w:p>
    <w:p>
      <w:pPr>
        <w:pStyle w:val="Heading2"/>
      </w:pPr>
      <w:r>
        <w:rPr>
          <w:rFonts w:ascii="Calibri" w:hAnsi="Calibri"/>
          <w:color w:val="000000"/>
        </w:rPr>
        <w:t>11. SIGNATURES</w:t>
      </w:r>
    </w:p>
    <w:p>
      <w:pPr>
        <w:pStyle w:val="Heading3"/>
      </w:pPr>
      <w:r>
        <w:rPr>
          <w:rFonts w:ascii="Calibri" w:hAnsi="Calibri"/>
          <w:color w:val="000000"/>
        </w:rPr>
        <w:t>Data Controller: NDIVE LABS LTD (LINEKORA)</w:t>
      </w:r>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rPr>
              <w:t>Field</w:t>
            </w:r>
          </w:p>
        </w:tc>
        <w:tc>
          <w:tcPr>
            <w:tcW w:type="dxa" w:w="4320"/>
          </w:tcPr>
          <w:p>
            <w:r/>
            <w:r>
              <w:rPr>
                <w:rFonts w:ascii="Calibri" w:hAnsi="Calibri"/>
                <w:b/>
              </w:rPr>
              <w:t>Details</w:t>
            </w:r>
          </w:p>
        </w:tc>
      </w:tr>
      <w:tr>
        <w:tc>
          <w:tcPr>
            <w:tcW w:type="dxa" w:w="4320"/>
          </w:tcPr>
          <w:p>
            <w:r/>
            <w:r>
              <w:rPr>
                <w:rFonts w:ascii="Calibri" w:hAnsi="Calibri"/>
              </w:rPr>
              <w:t>Name</w:t>
            </w:r>
          </w:p>
        </w:tc>
        <w:tc>
          <w:tcPr>
            <w:tcW w:type="dxa" w:w="4320"/>
          </w:tcPr>
          <w:p>
            <w:r/>
            <w:r>
              <w:rPr>
                <w:rFonts w:ascii="Calibri" w:hAnsi="Calibri"/>
              </w:rPr>
              <w:t>_________________________</w:t>
            </w:r>
          </w:p>
        </w:tc>
      </w:tr>
      <w:tr>
        <w:tc>
          <w:tcPr>
            <w:tcW w:type="dxa" w:w="4320"/>
          </w:tcPr>
          <w:p>
            <w:r/>
            <w:r>
              <w:rPr>
                <w:rFonts w:ascii="Calibri" w:hAnsi="Calibri"/>
              </w:rPr>
              <w:t>Title</w:t>
            </w:r>
          </w:p>
        </w:tc>
        <w:tc>
          <w:tcPr>
            <w:tcW w:type="dxa" w:w="4320"/>
          </w:tcPr>
          <w:p>
            <w:r/>
            <w:r>
              <w:rPr>
                <w:rFonts w:ascii="Calibri" w:hAnsi="Calibri"/>
              </w:rPr>
              <w:t>_________________________</w:t>
            </w:r>
          </w:p>
        </w:tc>
      </w:tr>
      <w:tr>
        <w:tc>
          <w:tcPr>
            <w:tcW w:type="dxa" w:w="4320"/>
          </w:tcPr>
          <w:p>
            <w:r/>
            <w:r>
              <w:rPr>
                <w:rFonts w:ascii="Calibri" w:hAnsi="Calibri"/>
              </w:rPr>
              <w:t>Date</w:t>
            </w:r>
          </w:p>
        </w:tc>
        <w:tc>
          <w:tcPr>
            <w:tcW w:type="dxa" w:w="4320"/>
          </w:tcPr>
          <w:p>
            <w:r/>
            <w:r>
              <w:rPr>
                <w:rFonts w:ascii="Calibri" w:hAnsi="Calibri"/>
              </w:rPr>
              <w:t>_________________________</w:t>
            </w:r>
          </w:p>
        </w:tc>
      </w:tr>
      <w:tr>
        <w:tc>
          <w:tcPr>
            <w:tcW w:type="dxa" w:w="4320"/>
          </w:tcPr>
          <w:p>
            <w:r/>
            <w:r>
              <w:rPr>
                <w:rFonts w:ascii="Calibri" w:hAnsi="Calibri"/>
              </w:rPr>
              <w:t>Signature</w:t>
            </w:r>
          </w:p>
        </w:tc>
        <w:tc>
          <w:tcPr>
            <w:tcW w:type="dxa" w:w="4320"/>
          </w:tcPr>
          <w:p>
            <w:r/>
            <w:r>
              <w:rPr>
                <w:rFonts w:ascii="Calibri" w:hAnsi="Calibri"/>
              </w:rPr>
              <w:t>_________________________</w:t>
            </w:r>
          </w:p>
        </w:tc>
      </w:tr>
    </w:tbl>
    <w:p/>
    <w:p>
      <w:pPr>
        <w:pStyle w:val="Heading3"/>
      </w:pPr>
      <w:r>
        <w:rPr>
          <w:rFonts w:ascii="Calibri" w:hAnsi="Calibri"/>
          <w:color w:val="000000"/>
        </w:rPr>
        <w:t>Data Processor: [PROCESSOR NAME]</w:t>
      </w:r>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rPr>
              <w:t>Field</w:t>
            </w:r>
          </w:p>
        </w:tc>
        <w:tc>
          <w:tcPr>
            <w:tcW w:type="dxa" w:w="4320"/>
          </w:tcPr>
          <w:p>
            <w:r/>
            <w:r>
              <w:rPr>
                <w:rFonts w:ascii="Calibri" w:hAnsi="Calibri"/>
                <w:b/>
              </w:rPr>
              <w:t>Details</w:t>
            </w:r>
          </w:p>
        </w:tc>
      </w:tr>
      <w:tr>
        <w:tc>
          <w:tcPr>
            <w:tcW w:type="dxa" w:w="4320"/>
          </w:tcPr>
          <w:p>
            <w:r/>
            <w:r>
              <w:rPr>
                <w:rFonts w:ascii="Calibri" w:hAnsi="Calibri"/>
              </w:rPr>
              <w:t>Name</w:t>
            </w:r>
          </w:p>
        </w:tc>
        <w:tc>
          <w:tcPr>
            <w:tcW w:type="dxa" w:w="4320"/>
          </w:tcPr>
          <w:p>
            <w:r/>
            <w:r>
              <w:rPr>
                <w:rFonts w:ascii="Calibri" w:hAnsi="Calibri"/>
              </w:rPr>
              <w:t>_________________________</w:t>
            </w:r>
          </w:p>
        </w:tc>
      </w:tr>
      <w:tr>
        <w:tc>
          <w:tcPr>
            <w:tcW w:type="dxa" w:w="4320"/>
          </w:tcPr>
          <w:p>
            <w:r/>
            <w:r>
              <w:rPr>
                <w:rFonts w:ascii="Calibri" w:hAnsi="Calibri"/>
              </w:rPr>
              <w:t>Title</w:t>
            </w:r>
          </w:p>
        </w:tc>
        <w:tc>
          <w:tcPr>
            <w:tcW w:type="dxa" w:w="4320"/>
          </w:tcPr>
          <w:p>
            <w:r/>
            <w:r>
              <w:rPr>
                <w:rFonts w:ascii="Calibri" w:hAnsi="Calibri"/>
              </w:rPr>
              <w:t>_________________________</w:t>
            </w:r>
          </w:p>
        </w:tc>
      </w:tr>
      <w:tr>
        <w:tc>
          <w:tcPr>
            <w:tcW w:type="dxa" w:w="4320"/>
          </w:tcPr>
          <w:p>
            <w:r/>
            <w:r>
              <w:rPr>
                <w:rFonts w:ascii="Calibri" w:hAnsi="Calibri"/>
              </w:rPr>
              <w:t>Date</w:t>
            </w:r>
          </w:p>
        </w:tc>
        <w:tc>
          <w:tcPr>
            <w:tcW w:type="dxa" w:w="4320"/>
          </w:tcPr>
          <w:p>
            <w:r/>
            <w:r>
              <w:rPr>
                <w:rFonts w:ascii="Calibri" w:hAnsi="Calibri"/>
              </w:rPr>
              <w:t>_________________________</w:t>
            </w:r>
          </w:p>
        </w:tc>
      </w:tr>
      <w:tr>
        <w:tc>
          <w:tcPr>
            <w:tcW w:type="dxa" w:w="4320"/>
          </w:tcPr>
          <w:p>
            <w:r/>
            <w:r>
              <w:rPr>
                <w:rFonts w:ascii="Calibri" w:hAnsi="Calibri"/>
              </w:rPr>
              <w:t>Signature</w:t>
            </w:r>
          </w:p>
        </w:tc>
        <w:tc>
          <w:tcPr>
            <w:tcW w:type="dxa" w:w="4320"/>
          </w:tcPr>
          <w:p>
            <w:r/>
            <w:r>
              <w:rPr>
                <w:rFonts w:ascii="Calibri" w:hAnsi="Calibri"/>
              </w:rPr>
              <w:t>_________________________</w:t>
            </w:r>
          </w:p>
        </w:tc>
      </w:tr>
    </w:tbl>
    <w:p/>
    <w:p>
      <w:pPr>
        <w:pBdr>
          <w:bottom w:val="single" w:sz="6" w:space="1" w:color="666666"/>
        </w:pBdr>
      </w:pPr>
    </w:p>
    <w:p>
      <w:pPr>
        <w:pStyle w:val="Heading2"/>
      </w:pPr>
      <w:r>
        <w:rPr>
          <w:rFonts w:ascii="Calibri" w:hAnsi="Calibri"/>
          <w:color w:val="000000"/>
        </w:rPr>
        <w:t>ANNEX A: TECHNICAL AND ORGANIZATIONAL MEASURES</w:t>
      </w:r>
    </w:p>
    <w:p>
      <w:r>
        <w:rPr>
          <w:rFonts w:ascii="Calibri" w:hAnsi="Calibri"/>
        </w:rPr>
        <w:t>The Processor shall implement the following security measures:</w:t>
      </w:r>
    </w:p>
    <w:p>
      <w:pPr>
        <w:pStyle w:val="Heading3"/>
      </w:pPr>
      <w:r>
        <w:rPr>
          <w:rFonts w:ascii="Calibri" w:hAnsi="Calibri"/>
          <w:color w:val="000000"/>
        </w:rPr>
        <w:t>A.1 Access Control</w:t>
      </w:r>
    </w:p>
    <w:p>
      <w:pPr>
        <w:pStyle w:val="ListBullet"/>
        <w:ind w:left="360"/>
      </w:pPr>
      <w:r>
        <w:rPr>
          <w:rFonts w:ascii="Calibri" w:hAnsi="Calibri"/>
        </w:rPr>
        <w:t>☐ Role-based access control (RBAC)</w:t>
      </w:r>
    </w:p>
    <w:p>
      <w:pPr>
        <w:pStyle w:val="ListBullet"/>
        <w:ind w:left="360"/>
      </w:pPr>
      <w:r>
        <w:rPr>
          <w:rFonts w:ascii="Calibri" w:hAnsi="Calibri"/>
        </w:rPr>
        <w:t>☐ Multi-factor authentication (MFA)</w:t>
      </w:r>
    </w:p>
    <w:p>
      <w:pPr>
        <w:pStyle w:val="ListBullet"/>
        <w:ind w:left="360"/>
      </w:pPr>
      <w:r>
        <w:rPr>
          <w:rFonts w:ascii="Calibri" w:hAnsi="Calibri"/>
        </w:rPr>
        <w:t>☐ Regular access reviews</w:t>
      </w:r>
    </w:p>
    <w:p>
      <w:pPr>
        <w:pStyle w:val="ListBullet"/>
        <w:ind w:left="360"/>
      </w:pPr>
      <w:r>
        <w:rPr>
          <w:rFonts w:ascii="Calibri" w:hAnsi="Calibri"/>
        </w:rPr>
        <w:t>☐ Immediate revocation upon termination</w:t>
      </w:r>
    </w:p>
    <w:p>
      <w:pPr>
        <w:pStyle w:val="Heading3"/>
      </w:pPr>
      <w:r>
        <w:rPr>
          <w:rFonts w:ascii="Calibri" w:hAnsi="Calibri"/>
          <w:color w:val="000000"/>
        </w:rPr>
        <w:t>A.2 Encryption</w:t>
      </w:r>
    </w:p>
    <w:p>
      <w:pPr>
        <w:pStyle w:val="ListBullet"/>
        <w:ind w:left="360"/>
      </w:pPr>
      <w:r>
        <w:rPr>
          <w:rFonts w:ascii="Calibri" w:hAnsi="Calibri"/>
        </w:rPr>
        <w:t>☐ AES-256 encryption at rest</w:t>
      </w:r>
    </w:p>
    <w:p>
      <w:pPr>
        <w:pStyle w:val="ListBullet"/>
        <w:ind w:left="360"/>
      </w:pPr>
      <w:r>
        <w:rPr>
          <w:rFonts w:ascii="Calibri" w:hAnsi="Calibri"/>
        </w:rPr>
        <w:t>☐ TLS 1.2+ encryption in transit</w:t>
      </w:r>
    </w:p>
    <w:p>
      <w:pPr>
        <w:pStyle w:val="ListBullet"/>
        <w:ind w:left="360"/>
      </w:pPr>
      <w:r>
        <w:rPr>
          <w:rFonts w:ascii="Calibri" w:hAnsi="Calibri"/>
        </w:rPr>
        <w:t>☐ Key management procedures</w:t>
      </w:r>
    </w:p>
    <w:p>
      <w:pPr>
        <w:pStyle w:val="ListBullet"/>
        <w:ind w:left="360"/>
      </w:pPr>
      <w:r>
        <w:rPr>
          <w:rFonts w:ascii="Calibri" w:hAnsi="Calibri"/>
        </w:rPr>
        <w:t>☐ Regular key rotation</w:t>
      </w:r>
    </w:p>
    <w:p>
      <w:pPr>
        <w:pStyle w:val="Heading3"/>
      </w:pPr>
      <w:r>
        <w:rPr>
          <w:rFonts w:ascii="Calibri" w:hAnsi="Calibri"/>
          <w:color w:val="000000"/>
        </w:rPr>
        <w:t>A.3 Monitoring and Logging</w:t>
      </w:r>
    </w:p>
    <w:p>
      <w:pPr>
        <w:pStyle w:val="ListBullet"/>
        <w:ind w:left="360"/>
      </w:pPr>
      <w:r>
        <w:rPr>
          <w:rFonts w:ascii="Calibri" w:hAnsi="Calibri"/>
        </w:rPr>
        <w:t>☐ Comprehensive audit logging</w:t>
      </w:r>
    </w:p>
    <w:p>
      <w:pPr>
        <w:pStyle w:val="ListBullet"/>
        <w:ind w:left="360"/>
      </w:pPr>
      <w:r>
        <w:rPr>
          <w:rFonts w:ascii="Calibri" w:hAnsi="Calibri"/>
        </w:rPr>
        <w:t>☐ Real-time monitoring</w:t>
      </w:r>
    </w:p>
    <w:p>
      <w:pPr>
        <w:pStyle w:val="ListBullet"/>
        <w:ind w:left="360"/>
      </w:pPr>
      <w:r>
        <w:rPr>
          <w:rFonts w:ascii="Calibri" w:hAnsi="Calibri"/>
        </w:rPr>
        <w:t>☐ Log retention for minimum 1 year</w:t>
      </w:r>
    </w:p>
    <w:p>
      <w:pPr>
        <w:pStyle w:val="ListBullet"/>
        <w:ind w:left="360"/>
      </w:pPr>
      <w:r>
        <w:rPr>
          <w:rFonts w:ascii="Calibri" w:hAnsi="Calibri"/>
        </w:rPr>
        <w:t>☐ Tamper-proof log storage</w:t>
      </w:r>
    </w:p>
    <w:p>
      <w:pPr>
        <w:pStyle w:val="Heading3"/>
      </w:pPr>
      <w:r>
        <w:rPr>
          <w:rFonts w:ascii="Calibri" w:hAnsi="Calibri"/>
          <w:color w:val="000000"/>
        </w:rPr>
        <w:t>A.4 Incident Response</w:t>
      </w:r>
    </w:p>
    <w:p>
      <w:pPr>
        <w:pStyle w:val="ListBullet"/>
        <w:ind w:left="360"/>
      </w:pPr>
      <w:r>
        <w:rPr>
          <w:rFonts w:ascii="Calibri" w:hAnsi="Calibri"/>
        </w:rPr>
        <w:t>☐ Documented incident response plan</w:t>
      </w:r>
    </w:p>
    <w:p>
      <w:pPr>
        <w:pStyle w:val="ListBullet"/>
        <w:ind w:left="360"/>
      </w:pPr>
      <w:r>
        <w:rPr>
          <w:rFonts w:ascii="Calibri" w:hAnsi="Calibri"/>
        </w:rPr>
        <w:t>☐ 48-hour breach notification to Controller</w:t>
      </w:r>
    </w:p>
    <w:p>
      <w:pPr>
        <w:pStyle w:val="ListBullet"/>
        <w:ind w:left="360"/>
      </w:pPr>
      <w:r>
        <w:rPr>
          <w:rFonts w:ascii="Calibri" w:hAnsi="Calibri"/>
        </w:rPr>
        <w:t>☐ Regular incident response drills</w:t>
      </w:r>
    </w:p>
    <w:p>
      <w:pPr>
        <w:pStyle w:val="ListBullet"/>
        <w:ind w:left="360"/>
      </w:pPr>
      <w:r>
        <w:rPr>
          <w:rFonts w:ascii="Calibri" w:hAnsi="Calibri"/>
        </w:rPr>
        <w:t>☐ Post-incident review process</w:t>
      </w:r>
    </w:p>
    <w:p>
      <w:pPr>
        <w:pStyle w:val="Heading3"/>
      </w:pPr>
      <w:r>
        <w:rPr>
          <w:rFonts w:ascii="Calibri" w:hAnsi="Calibri"/>
          <w:color w:val="000000"/>
        </w:rPr>
        <w:t>A.5 Business Continuity</w:t>
      </w:r>
    </w:p>
    <w:p>
      <w:pPr>
        <w:pStyle w:val="ListBullet"/>
        <w:ind w:left="360"/>
      </w:pPr>
      <w:r>
        <w:rPr>
          <w:rFonts w:ascii="Calibri" w:hAnsi="Calibri"/>
        </w:rPr>
        <w:t>☐ Regular data backups</w:t>
      </w:r>
    </w:p>
    <w:p>
      <w:pPr>
        <w:pStyle w:val="ListBullet"/>
        <w:ind w:left="360"/>
      </w:pPr>
      <w:r>
        <w:rPr>
          <w:rFonts w:ascii="Calibri" w:hAnsi="Calibri"/>
        </w:rPr>
        <w:t>☐ Disaster recovery plan</w:t>
      </w:r>
    </w:p>
    <w:p>
      <w:pPr>
        <w:pStyle w:val="ListBullet"/>
        <w:ind w:left="360"/>
      </w:pPr>
      <w:r>
        <w:rPr>
          <w:rFonts w:ascii="Calibri" w:hAnsi="Calibri"/>
        </w:rPr>
        <w:t>☐ Regular testing of recovery procedures</w:t>
      </w:r>
    </w:p>
    <w:p>
      <w:pPr>
        <w:pStyle w:val="ListBullet"/>
        <w:ind w:left="360"/>
      </w:pPr>
      <w:r>
        <w:rPr>
          <w:rFonts w:ascii="Calibri" w:hAnsi="Calibri"/>
        </w:rPr>
        <w:t>☐ Defined Recovery Time Objectives (RTO)</w:t>
      </w:r>
    </w:p>
    <w:p>
      <w:pPr>
        <w:pBdr>
          <w:bottom w:val="single" w:sz="6" w:space="1" w:color="666666"/>
        </w:pBdr>
      </w:pPr>
    </w:p>
    <w:p>
      <w:pPr>
        <w:pStyle w:val="Heading2"/>
      </w:pPr>
      <w:r>
        <w:rPr>
          <w:rFonts w:ascii="Calibri" w:hAnsi="Calibri"/>
          <w:color w:val="000000"/>
        </w:rPr>
        <w:t>ANNEX B: SUB-PROCESSORS 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rPr>
              <w:t>Sub-Processor</w:t>
            </w:r>
          </w:p>
        </w:tc>
        <w:tc>
          <w:tcPr>
            <w:tcW w:type="dxa" w:w="2160"/>
          </w:tcPr>
          <w:p>
            <w:r/>
            <w:r>
              <w:rPr>
                <w:rFonts w:ascii="Calibri" w:hAnsi="Calibri"/>
                <w:b/>
              </w:rPr>
              <w:t>Purpose</w:t>
            </w:r>
          </w:p>
        </w:tc>
        <w:tc>
          <w:tcPr>
            <w:tcW w:type="dxa" w:w="2160"/>
          </w:tcPr>
          <w:p>
            <w:r/>
            <w:r>
              <w:rPr>
                <w:rFonts w:ascii="Calibri" w:hAnsi="Calibri"/>
                <w:b/>
              </w:rPr>
              <w:t>Location</w:t>
            </w:r>
          </w:p>
        </w:tc>
        <w:tc>
          <w:tcPr>
            <w:tcW w:type="dxa" w:w="2160"/>
          </w:tcPr>
          <w:p>
            <w:r/>
            <w:r>
              <w:rPr>
                <w:rFonts w:ascii="Calibri" w:hAnsi="Calibri"/>
                <w:b/>
              </w:rPr>
              <w:t>Data Processed</w:t>
            </w:r>
          </w:p>
        </w:tc>
      </w:tr>
      <w:tr>
        <w:tc>
          <w:tcPr>
            <w:tcW w:type="dxa" w:w="2160"/>
          </w:tcPr>
          <w:p>
            <w:r/>
            <w:r>
              <w:rPr>
                <w:rFonts w:ascii="Calibri" w:hAnsi="Calibri"/>
              </w:rPr>
              <w:t>[NAME]</w:t>
            </w:r>
          </w:p>
        </w:tc>
        <w:tc>
          <w:tcPr>
            <w:tcW w:type="dxa" w:w="2160"/>
          </w:tcPr>
          <w:p>
            <w:r/>
            <w:r>
              <w:rPr>
                <w:rFonts w:ascii="Calibri" w:hAnsi="Calibri"/>
              </w:rPr>
              <w:t>[PURPOSE]</w:t>
            </w:r>
          </w:p>
        </w:tc>
        <w:tc>
          <w:tcPr>
            <w:tcW w:type="dxa" w:w="2160"/>
          </w:tcPr>
          <w:p>
            <w:r/>
            <w:r>
              <w:rPr>
                <w:rFonts w:ascii="Calibri" w:hAnsi="Calibri"/>
              </w:rPr>
              <w:t>[LOCATION]</w:t>
            </w:r>
          </w:p>
        </w:tc>
        <w:tc>
          <w:tcPr>
            <w:tcW w:type="dxa" w:w="2160"/>
          </w:tcPr>
          <w:p>
            <w:r/>
            <w:r>
              <w:rPr>
                <w:rFonts w:ascii="Calibri" w:hAnsi="Calibri"/>
              </w:rPr>
              <w:t>[DATA TYPES]</w:t>
            </w:r>
          </w:p>
        </w:tc>
      </w:tr>
    </w:tbl>
    <w:p/>
    <w:p>
      <w:r>
        <w:rPr>
          <w:rFonts w:ascii="Calibri" w:hAnsi="Calibri"/>
          <w:i/>
        </w:rPr>
        <w:t>This list must be updated whenever a new sub-processor is engaged.</w:t>
      </w:r>
    </w:p>
    <w:p>
      <w:pPr>
        <w:pBdr>
          <w:bottom w:val="single" w:sz="6" w:space="1" w:color="666666"/>
        </w:pBdr>
      </w:pPr>
    </w:p>
    <w:p>
      <w:r>
        <w:rPr>
          <w:rFonts w:ascii="Calibri" w:hAnsi="Calibri"/>
          <w:i/>
        </w:rPr>
        <w:t>Document prepared for LINEKORA Data Protection Compliance</w:t>
      </w:r>
    </w:p>
    <w:p>
      <w:r>
        <w:rPr>
          <w:rFonts w:ascii="Calibri" w:hAnsi="Calibri"/>
          <w:i/>
        </w:rPr>
        <w:t>Pursuant to Rwanda Data Protection Law No. 058/2021 of 13/10/2021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