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000000"/>
        </w:rPr>
        <w:t>DATA PROTECTION AGREEMENT (DPA)</w:t>
      </w:r>
    </w:p>
    <w:p>
      <w:pPr>
        <w:pStyle w:val="Heading1"/>
      </w:pPr>
      <w:r>
        <w:rPr>
          <w:rFonts w:ascii="Calibri" w:hAnsi="Calibri"/>
          <w:color w:val="000000"/>
        </w:rPr>
        <w:t>Vercel — LINEKORA</w:t>
      </w:r>
    </w:p>
    <w:p>
      <w:r>
        <w:rPr>
          <w:rFonts w:ascii="Calibri" w:hAnsi="Calibri"/>
          <w:b/>
        </w:rPr>
        <w:t>Between:</w:t>
      </w:r>
    </w:p>
    <w:p>
      <w:pPr>
        <w:pStyle w:val="ListBullet"/>
        <w:ind w:left="360"/>
      </w:pPr>
      <w:r>
        <w:rPr>
          <w:rFonts w:ascii="Calibri" w:hAnsi="Calibri"/>
          <w:b/>
        </w:rPr>
        <w:t>Data Controller:</w:t>
      </w:r>
      <w:r>
        <w:rPr>
          <w:rFonts w:ascii="Calibri" w:hAnsi="Calibri"/>
        </w:rPr>
        <w:t xml:space="preserve"> NDIVE LABS LTD (registered in Rwanda), trading as LINEKORA (hereinafter "the Company")</w:t>
      </w:r>
    </w:p>
    <w:p>
      <w:pPr>
        <w:pStyle w:val="ListBullet"/>
        <w:ind w:left="360"/>
      </w:pPr>
      <w:r>
        <w:rPr>
          <w:rFonts w:ascii="Calibri" w:hAnsi="Calibri"/>
          <w:b/>
        </w:rPr>
        <w:t>Data Processor:</w:t>
      </w:r>
      <w:r>
        <w:rPr>
          <w:rFonts w:ascii="Calibri" w:hAnsi="Calibri"/>
        </w:rPr>
        <w:t xml:space="preserve"> Vercel Inc. (hereinafter "Vercel")</w:t>
      </w:r>
    </w:p>
    <w:p>
      <w:r>
        <w:rPr>
          <w:rFonts w:ascii="Calibri" w:hAnsi="Calibri"/>
          <w:b/>
        </w:rPr>
        <w:t>Effective Date:</w:t>
      </w:r>
      <w:r>
        <w:rPr>
          <w:rFonts w:ascii="Calibri" w:hAnsi="Calibri"/>
        </w:rPr>
        <w:t xml:space="preserve"> _______________</w:t>
      </w:r>
    </w:p>
    <w:p>
      <w:r>
        <w:rPr>
          <w:rFonts w:ascii="Calibri" w:hAnsi="Calibri"/>
          <w:b/>
        </w:rPr>
        <w:t>Agreement Reference:</w:t>
      </w:r>
      <w:r>
        <w:rPr>
          <w:rFonts w:ascii="Calibri" w:hAnsi="Calibri"/>
        </w:rPr>
        <w:t xml:space="preserve"> LINEKORA-DPA-VERCEL-2026</w:t>
      </w:r>
    </w:p>
    <w:p>
      <w:pPr>
        <w:shd w:val="clear" w:color="auto" w:fill="F2F2F2"/>
      </w:pPr>
      <w:r>
        <w:rPr>
          <w:rFonts w:ascii="Calibri" w:hAnsi="Calibri"/>
          <w:b/>
          <w:sz w:val="20"/>
        </w:rPr>
        <w:t>IMPORTANT — READ FIRST:</w:t>
      </w:r>
      <w:r>
        <w:rPr>
          <w:rFonts w:ascii="Calibri" w:hAnsi="Calibri"/>
          <w:sz w:val="20"/>
        </w:rPr>
        <w:t xml:space="preserve"> This document is LINEKORA's </w:t>
      </w:r>
      <w:r>
        <w:rPr>
          <w:rFonts w:ascii="Calibri" w:hAnsi="Calibri"/>
          <w:b/>
          <w:sz w:val="20"/>
        </w:rPr>
        <w:t>internal reference copy</w:t>
      </w:r>
      <w:r>
        <w:rPr>
          <w:rFonts w:ascii="Calibri" w:hAnsi="Calibri"/>
          <w:sz w:val="20"/>
        </w:rPr>
        <w:t xml:space="preserve">. The </w:t>
      </w:r>
      <w:r>
        <w:rPr>
          <w:rFonts w:ascii="Calibri" w:hAnsi="Calibri"/>
          <w:b/>
          <w:sz w:val="20"/>
        </w:rPr>
        <w:t>binding contract</w:t>
      </w:r>
      <w:r>
        <w:rPr>
          <w:rFonts w:ascii="Calibri" w:hAnsi="Calibri"/>
          <w:sz w:val="20"/>
        </w:rPr>
        <w:t xml:space="preserve"> is Vercel's official Data Processing Agreement (DPA), which is accepted under the Vercel Customer Terms of Service, available at https://vercel.com/legal/dpa. Download and keep that official DPA for the Rwanda DPO. Do not present this template to Vercel for signature.</w:t>
      </w:r>
    </w:p>
    <w:p>
      <w:pPr>
        <w:pBdr>
          <w:bottom w:val="single" w:sz="6" w:space="1" w:color="666666"/>
        </w:pBdr>
      </w:pPr>
    </w:p>
    <w:p>
      <w:pPr>
        <w:pStyle w:val="Heading2"/>
      </w:pPr>
      <w:r>
        <w:rPr>
          <w:rFonts w:ascii="Calibri" w:hAnsi="Calibri"/>
          <w:color w:val="000000"/>
        </w:rPr>
        <w:t>1. PURPOSE</w:t>
      </w:r>
    </w:p>
    <w:p>
      <w:r>
        <w:rPr>
          <w:rFonts w:ascii="Calibri" w:hAnsi="Calibri"/>
        </w:rPr>
        <w:t xml:space="preserve">This DPA sets out the terms that apply when Personal Data is processed by Vercel on behalf of LINEKORA in the course of providing web hosting, CDN, and analytics services. This DPA is required for compliance with the </w:t>
      </w:r>
      <w:r>
        <w:rPr>
          <w:rFonts w:ascii="Calibri" w:hAnsi="Calibri"/>
          <w:b/>
        </w:rPr>
        <w:t>Rwanda Data Protection Law No. 058/2021 of 13/10/2021</w:t>
      </w:r>
      <w:r>
        <w:rPr>
          <w:rFonts w:ascii="Calibri" w:hAnsi="Calibri"/>
        </w:rPr>
        <w:t>.</w:t>
      </w:r>
    </w:p>
    <w:p>
      <w:pPr>
        <w:pBdr>
          <w:bottom w:val="single" w:sz="6" w:space="1" w:color="666666"/>
        </w:pBdr>
      </w:pPr>
    </w:p>
    <w:p>
      <w:pPr>
        <w:pStyle w:val="Heading2"/>
      </w:pPr>
      <w:r>
        <w:rPr>
          <w:rFonts w:ascii="Calibri" w:hAnsi="Calibri"/>
          <w:color w:val="000000"/>
        </w:rPr>
        <w:t>2. SCOPE OF PROCESSING</w:t>
      </w:r>
    </w:p>
    <w:p>
      <w:pPr>
        <w:pStyle w:val="Heading3"/>
      </w:pPr>
      <w:r>
        <w:rPr>
          <w:rFonts w:ascii="Calibri" w:hAnsi="Calibri"/>
          <w:color w:val="000000"/>
        </w:rPr>
        <w:t>2.1 Data Categories Processed by Vercel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rPr>
              <w:t>Data Category</w:t>
            </w:r>
          </w:p>
        </w:tc>
        <w:tc>
          <w:tcPr>
            <w:tcW w:type="dxa" w:w="2880"/>
          </w:tcPr>
          <w:p>
            <w:r/>
            <w:r>
              <w:rPr>
                <w:rFonts w:ascii="Calibri" w:hAnsi="Calibri"/>
                <w:b/>
              </w:rPr>
              <w:t>Data Elements</w:t>
            </w:r>
          </w:p>
        </w:tc>
        <w:tc>
          <w:tcPr>
            <w:tcW w:type="dxa" w:w="2880"/>
          </w:tcPr>
          <w:p>
            <w:r/>
            <w:r>
              <w:rPr>
                <w:rFonts w:ascii="Calibri" w:hAnsi="Calibri"/>
                <w:b/>
              </w:rPr>
              <w:t>Purpose</w:t>
            </w:r>
          </w:p>
        </w:tc>
      </w:tr>
      <w:tr>
        <w:tc>
          <w:tcPr>
            <w:tcW w:type="dxa" w:w="2880"/>
          </w:tcPr>
          <w:p>
            <w:r/>
            <w:r>
              <w:rPr>
                <w:rFonts w:ascii="Calibri" w:hAnsi="Calibri"/>
              </w:rPr>
              <w:t>User Activity Data</w:t>
            </w:r>
          </w:p>
        </w:tc>
        <w:tc>
          <w:tcPr>
            <w:tcW w:type="dxa" w:w="2880"/>
          </w:tcPr>
          <w:p>
            <w:r/>
            <w:r>
              <w:rPr>
                <w:rFonts w:ascii="Calibri" w:hAnsi="Calibri"/>
              </w:rPr>
              <w:t>IP Address, Device ID, Geolocation</w:t>
            </w:r>
          </w:p>
        </w:tc>
        <w:tc>
          <w:tcPr>
            <w:tcW w:type="dxa" w:w="2880"/>
          </w:tcPr>
          <w:p>
            <w:r/>
            <w:r>
              <w:rPr>
                <w:rFonts w:ascii="Calibri" w:hAnsi="Calibri"/>
              </w:rPr>
              <w:t>Security, Analytics</w:t>
            </w:r>
          </w:p>
        </w:tc>
      </w:tr>
      <w:tr>
        <w:tc>
          <w:tcPr>
            <w:tcW w:type="dxa" w:w="2880"/>
          </w:tcPr>
          <w:p>
            <w:r/>
            <w:r>
              <w:rPr>
                <w:rFonts w:ascii="Calibri" w:hAnsi="Calibri"/>
              </w:rPr>
              <w:t>Web Traffic Data</w:t>
            </w:r>
          </w:p>
        </w:tc>
        <w:tc>
          <w:tcPr>
            <w:tcW w:type="dxa" w:w="2880"/>
          </w:tcPr>
          <w:p>
            <w:r/>
            <w:r>
              <w:rPr>
                <w:rFonts w:ascii="Calibri" w:hAnsi="Calibri"/>
              </w:rPr>
              <w:t>Page views, Referrer, Browser type</w:t>
            </w:r>
          </w:p>
        </w:tc>
        <w:tc>
          <w:tcPr>
            <w:tcW w:type="dxa" w:w="2880"/>
          </w:tcPr>
          <w:p>
            <w:r/>
            <w:r>
              <w:rPr>
                <w:rFonts w:ascii="Calibri" w:hAnsi="Calibri"/>
              </w:rPr>
              <w:t>Performance monitoring</w:t>
            </w:r>
          </w:p>
        </w:tc>
      </w:tr>
      <w:tr>
        <w:tc>
          <w:tcPr>
            <w:tcW w:type="dxa" w:w="2880"/>
          </w:tcPr>
          <w:p>
            <w:r/>
            <w:r>
              <w:rPr>
                <w:rFonts w:ascii="Calibri" w:hAnsi="Calibri"/>
              </w:rPr>
              <w:t>Deployment Data</w:t>
            </w:r>
          </w:p>
        </w:tc>
        <w:tc>
          <w:tcPr>
            <w:tcW w:type="dxa" w:w="2880"/>
          </w:tcPr>
          <w:p>
            <w:r/>
            <w:r>
              <w:rPr>
                <w:rFonts w:ascii="Calibri" w:hAnsi="Calibri"/>
              </w:rPr>
              <w:t>Source code, Build logs</w:t>
            </w:r>
          </w:p>
        </w:tc>
        <w:tc>
          <w:tcPr>
            <w:tcW w:type="dxa" w:w="2880"/>
          </w:tcPr>
          <w:p>
            <w:r/>
            <w:r>
              <w:rPr>
                <w:rFonts w:ascii="Calibri" w:hAnsi="Calibri"/>
              </w:rPr>
              <w:t>Service delivery</w:t>
            </w:r>
          </w:p>
        </w:tc>
      </w:tr>
      <w:tr>
        <w:tc>
          <w:tcPr>
            <w:tcW w:type="dxa" w:w="2880"/>
          </w:tcPr>
          <w:p>
            <w:r/>
            <w:r>
              <w:rPr>
                <w:rFonts w:ascii="Calibri" w:hAnsi="Calibri"/>
              </w:rPr>
              <w:t>Error Logs</w:t>
            </w:r>
          </w:p>
        </w:tc>
        <w:tc>
          <w:tcPr>
            <w:tcW w:type="dxa" w:w="2880"/>
          </w:tcPr>
          <w:p>
            <w:r/>
            <w:r>
              <w:rPr>
                <w:rFonts w:ascii="Calibri" w:hAnsi="Calibri"/>
              </w:rPr>
              <w:t>Stack traces, Error messages</w:t>
            </w:r>
          </w:p>
        </w:tc>
        <w:tc>
          <w:tcPr>
            <w:tcW w:type="dxa" w:w="2880"/>
          </w:tcPr>
          <w:p>
            <w:r/>
            <w:r>
              <w:rPr>
                <w:rFonts w:ascii="Calibri" w:hAnsi="Calibri"/>
              </w:rPr>
              <w:t>Debugging</w:t>
            </w:r>
          </w:p>
        </w:tc>
      </w:tr>
    </w:tbl>
    <w:p/>
    <w:p>
      <w:pPr>
        <w:pStyle w:val="Heading3"/>
      </w:pPr>
      <w:r>
        <w:rPr>
          <w:rFonts w:ascii="Calibri" w:hAnsi="Calibri"/>
          <w:color w:val="000000"/>
        </w:rPr>
        <w:t>2.2 Purpose of Processing</w:t>
      </w:r>
    </w:p>
    <w:p>
      <w:r>
        <w:rPr>
          <w:rFonts w:ascii="Calibri" w:hAnsi="Calibri"/>
        </w:rPr>
        <w:t>Vercel shall process Personal Data solely for:</w:t>
      </w:r>
    </w:p>
    <w:p>
      <w:pPr>
        <w:pStyle w:val="ListBullet"/>
        <w:ind w:left="360"/>
      </w:pPr>
      <w:r>
        <w:rPr>
          <w:rFonts w:ascii="Calibri" w:hAnsi="Calibri"/>
        </w:rPr>
        <w:t>Hosting and serving the LINEKORA web application</w:t>
      </w:r>
    </w:p>
    <w:p>
      <w:pPr>
        <w:pStyle w:val="ListBullet"/>
        <w:ind w:left="360"/>
      </w:pPr>
      <w:r>
        <w:rPr>
          <w:rFonts w:ascii="Calibri" w:hAnsi="Calibri"/>
        </w:rPr>
        <w:t>Content delivery network (CDN) services</w:t>
      </w:r>
    </w:p>
    <w:p>
      <w:pPr>
        <w:pStyle w:val="ListBullet"/>
        <w:ind w:left="360"/>
      </w:pPr>
      <w:r>
        <w:rPr>
          <w:rFonts w:ascii="Calibri" w:hAnsi="Calibri"/>
        </w:rPr>
        <w:t>Analytics and performance monitoring</w:t>
      </w:r>
    </w:p>
    <w:p>
      <w:pPr>
        <w:pStyle w:val="ListBullet"/>
        <w:ind w:left="360"/>
      </w:pPr>
      <w:r>
        <w:rPr>
          <w:rFonts w:ascii="Calibri" w:hAnsi="Calibri"/>
        </w:rPr>
        <w:t>Security and fraud prevention</w:t>
      </w:r>
    </w:p>
    <w:p>
      <w:pPr>
        <w:pStyle w:val="Heading3"/>
      </w:pPr>
      <w:r>
        <w:rPr>
          <w:rFonts w:ascii="Calibri" w:hAnsi="Calibri"/>
          <w:color w:val="000000"/>
        </w:rPr>
        <w:t>2.3 Duration of Processing</w:t>
      </w:r>
    </w:p>
    <w:p>
      <w:r>
        <w:rPr>
          <w:rFonts w:ascii="Calibri" w:hAnsi="Calibri"/>
        </w:rPr>
        <w:t>This DPA shall remain in effect for the duration of the Vercel service agreement.</w:t>
      </w:r>
    </w:p>
    <w:p>
      <w:pPr>
        <w:pBdr>
          <w:bottom w:val="single" w:sz="6" w:space="1" w:color="666666"/>
        </w:pBdr>
      </w:pPr>
    </w:p>
    <w:p>
      <w:pPr>
        <w:pStyle w:val="Heading2"/>
      </w:pPr>
      <w:r>
        <w:rPr>
          <w:rFonts w:ascii="Calibri" w:hAnsi="Calibri"/>
          <w:color w:val="000000"/>
        </w:rPr>
        <w:t>3. OBLIGATIONS OF VERCEL</w:t>
      </w:r>
    </w:p>
    <w:p>
      <w:pPr>
        <w:pStyle w:val="Heading3"/>
      </w:pPr>
      <w:r>
        <w:rPr>
          <w:rFonts w:ascii="Calibri" w:hAnsi="Calibri"/>
          <w:color w:val="000000"/>
        </w:rPr>
        <w:t>3.1 Processing Instructions</w:t>
      </w:r>
    </w:p>
    <w:p>
      <w:pPr>
        <w:pStyle w:val="ListBullet"/>
        <w:ind w:left="360"/>
      </w:pPr>
      <w:r>
        <w:rPr>
          <w:rFonts w:ascii="Calibri" w:hAnsi="Calibri"/>
        </w:rPr>
        <w:t>Process Personal Data only on documented instructions from LINEKORA</w:t>
      </w:r>
    </w:p>
    <w:p>
      <w:pPr>
        <w:pStyle w:val="ListBullet"/>
        <w:ind w:left="360"/>
      </w:pPr>
      <w:r>
        <w:rPr>
          <w:rFonts w:ascii="Calibri" w:hAnsi="Calibri"/>
        </w:rPr>
        <w:t>Immediately inform LINEKORA if an instruction infringes on data protection laws</w:t>
      </w:r>
    </w:p>
    <w:p>
      <w:pPr>
        <w:pStyle w:val="ListBullet"/>
        <w:ind w:left="360"/>
      </w:pPr>
      <w:r>
        <w:rPr>
          <w:rFonts w:ascii="Calibri" w:hAnsi="Calibri"/>
        </w:rPr>
        <w:t>Not process Personal Data for any purpose other than the agreed services</w:t>
      </w:r>
    </w:p>
    <w:p>
      <w:pPr>
        <w:pStyle w:val="Heading3"/>
      </w:pPr>
      <w:r>
        <w:rPr>
          <w:rFonts w:ascii="Calibri" w:hAnsi="Calibri"/>
          <w:color w:val="000000"/>
        </w:rPr>
        <w:t>3.2 Confidentiality</w:t>
      </w:r>
    </w:p>
    <w:p>
      <w:pPr>
        <w:pStyle w:val="ListBullet"/>
        <w:ind w:left="360"/>
      </w:pPr>
      <w:r>
        <w:rPr>
          <w:rFonts w:ascii="Calibri" w:hAnsi="Calibri"/>
        </w:rPr>
        <w:t>All persons authorized to process Personal Data are bound by confidentiality obligations</w:t>
      </w:r>
    </w:p>
    <w:p>
      <w:pPr>
        <w:pStyle w:val="ListBullet"/>
        <w:ind w:left="360"/>
      </w:pPr>
      <w:r>
        <w:rPr>
          <w:rFonts w:ascii="Calibri" w:hAnsi="Calibri"/>
        </w:rPr>
        <w:t>Access to Personal Data is limited to authorized personnel only</w:t>
      </w:r>
    </w:p>
    <w:p>
      <w:pPr>
        <w:pStyle w:val="ListBullet"/>
        <w:ind w:left="360"/>
      </w:pPr>
      <w:r>
        <w:rPr>
          <w:rFonts w:ascii="Calibri" w:hAnsi="Calibri"/>
        </w:rPr>
        <w:t>Personal Data is not disclosed to unauthorized third parties</w:t>
      </w:r>
    </w:p>
    <w:p>
      <w:pPr>
        <w:pStyle w:val="Heading3"/>
      </w:pPr>
      <w:r>
        <w:rPr>
          <w:rFonts w:ascii="Calibri" w:hAnsi="Calibri"/>
          <w:color w:val="000000"/>
        </w:rPr>
        <w:t>3.3 Security Measures</w:t>
      </w:r>
    </w:p>
    <w:p>
      <w:r>
        <w:rPr>
          <w:rFonts w:ascii="Calibri" w:hAnsi="Calibri"/>
        </w:rPr>
        <w:t>Vercel shall implement:</w:t>
      </w:r>
    </w:p>
    <w:p>
      <w:pPr>
        <w:pStyle w:val="ListBullet"/>
        <w:ind w:left="360"/>
      </w:pPr>
      <w:r>
        <w:rPr>
          <w:rFonts w:ascii="Calibri" w:hAnsi="Calibri"/>
        </w:rPr>
        <w:t xml:space="preserve">☐ </w:t>
      </w:r>
      <w:r>
        <w:rPr>
          <w:rFonts w:ascii="Calibri" w:hAnsi="Calibri"/>
          <w:b/>
        </w:rPr>
        <w:t>Encryption</w:t>
      </w:r>
      <w:r>
        <w:rPr>
          <w:rFonts w:ascii="Calibri" w:hAnsi="Calibri"/>
        </w:rPr>
        <w:t xml:space="preserve"> — AES-256 encryption at rest; TLS 1.3 in transit</w:t>
      </w:r>
    </w:p>
    <w:p>
      <w:pPr>
        <w:pStyle w:val="ListBullet"/>
        <w:ind w:left="360"/>
      </w:pPr>
      <w:r>
        <w:rPr>
          <w:rFonts w:ascii="Calibri" w:hAnsi="Calibri"/>
        </w:rPr>
        <w:t xml:space="preserve">☐ </w:t>
      </w:r>
      <w:r>
        <w:rPr>
          <w:rFonts w:ascii="Calibri" w:hAnsi="Calibri"/>
          <w:b/>
        </w:rPr>
        <w:t>Access Controls</w:t>
      </w:r>
      <w:r>
        <w:rPr>
          <w:rFonts w:ascii="Calibri" w:hAnsi="Calibri"/>
        </w:rPr>
        <w:t xml:space="preserve"> — Role-based access control (RBAC)</w:t>
      </w:r>
    </w:p>
    <w:p>
      <w:pPr>
        <w:pStyle w:val="ListBullet"/>
        <w:ind w:left="360"/>
      </w:pPr>
      <w:r>
        <w:rPr>
          <w:rFonts w:ascii="Calibri" w:hAnsi="Calibri"/>
        </w:rPr>
        <w:t xml:space="preserve">☐ </w:t>
      </w:r>
      <w:r>
        <w:rPr>
          <w:rFonts w:ascii="Calibri" w:hAnsi="Calibri"/>
          <w:b/>
        </w:rPr>
        <w:t>Audit Logging</w:t>
      </w:r>
      <w:r>
        <w:rPr>
          <w:rFonts w:ascii="Calibri" w:hAnsi="Calibri"/>
        </w:rPr>
        <w:t xml:space="preserve"> — All access to Personal Data is logged</w:t>
      </w:r>
    </w:p>
    <w:p>
      <w:pPr>
        <w:pStyle w:val="ListBullet"/>
        <w:ind w:left="360"/>
      </w:pPr>
      <w:r>
        <w:rPr>
          <w:rFonts w:ascii="Calibri" w:hAnsi="Calibri"/>
        </w:rPr>
        <w:t xml:space="preserve">☐ </w:t>
      </w:r>
      <w:r>
        <w:rPr>
          <w:rFonts w:ascii="Calibri" w:hAnsi="Calibri"/>
          <w:b/>
        </w:rPr>
        <w:t>Vulnerability Management</w:t>
      </w:r>
      <w:r>
        <w:rPr>
          <w:rFonts w:ascii="Calibri" w:hAnsi="Calibri"/>
        </w:rPr>
        <w:t xml:space="preserve"> — Regular security assessments</w:t>
      </w:r>
    </w:p>
    <w:p>
      <w:pPr>
        <w:pStyle w:val="ListBullet"/>
        <w:ind w:left="360"/>
      </w:pPr>
      <w:r>
        <w:rPr>
          <w:rFonts w:ascii="Calibri" w:hAnsi="Calibri"/>
        </w:rPr>
        <w:t xml:space="preserve">☐ </w:t>
      </w:r>
      <w:r>
        <w:rPr>
          <w:rFonts w:ascii="Calibri" w:hAnsi="Calibri"/>
          <w:b/>
        </w:rPr>
        <w:t>Incident Response</w:t>
      </w:r>
      <w:r>
        <w:rPr>
          <w:rFonts w:ascii="Calibri" w:hAnsi="Calibri"/>
        </w:rPr>
        <w:t xml:space="preserve"> — Documented breach notification procedures</w:t>
      </w:r>
    </w:p>
    <w:p>
      <w:pPr>
        <w:pStyle w:val="ListBullet"/>
        <w:ind w:left="360"/>
      </w:pPr>
      <w:r>
        <w:rPr>
          <w:rFonts w:ascii="Calibri" w:hAnsi="Calibri"/>
        </w:rPr>
        <w:t xml:space="preserve">☐ </w:t>
      </w:r>
      <w:r>
        <w:rPr>
          <w:rFonts w:ascii="Calibri" w:hAnsi="Calibri"/>
          <w:b/>
        </w:rPr>
        <w:t>SOC 2 Type II Compliance</w:t>
      </w:r>
      <w:r>
        <w:rPr>
          <w:rFonts w:ascii="Calibri" w:hAnsi="Calibri"/>
        </w:rPr>
        <w:t xml:space="preserve"> — Annual audit</w:t>
      </w:r>
    </w:p>
    <w:p>
      <w:pPr>
        <w:pStyle w:val="Heading3"/>
      </w:pPr>
      <w:r>
        <w:rPr>
          <w:rFonts w:ascii="Calibri" w:hAnsi="Calibri"/>
          <w:color w:val="000000"/>
        </w:rPr>
        <w:t>3.4 Sub-Processors</w:t>
      </w:r>
    </w:p>
    <w:p>
      <w:r>
        <w:rPr>
          <w:rFonts w:ascii="Calibri" w:hAnsi="Calibri"/>
        </w:rPr>
        <w:t>Vercel maintains a list of sub-processors at: https://vercel.com/legal/subprocessors</w:t>
      </w:r>
    </w:p>
    <w:p>
      <w:r>
        <w:rPr>
          <w:rFonts w:ascii="Calibri" w:hAnsi="Calibri"/>
        </w:rPr>
        <w:t>LINEKORA must be notified of any changes to the sub-processor list.</w:t>
      </w:r>
    </w:p>
    <w:p>
      <w:pPr>
        <w:pStyle w:val="Heading3"/>
      </w:pPr>
      <w:r>
        <w:rPr>
          <w:rFonts w:ascii="Calibri" w:hAnsi="Calibri"/>
          <w:color w:val="000000"/>
        </w:rPr>
        <w:t>3.5 Data Breach Notification</w:t>
      </w:r>
    </w:p>
    <w:p>
      <w:pPr>
        <w:pStyle w:val="ListBullet"/>
        <w:ind w:left="360"/>
      </w:pPr>
      <w:r>
        <w:rPr>
          <w:rFonts w:ascii="Calibri" w:hAnsi="Calibri"/>
        </w:rPr>
        <w:t xml:space="preserve">Notify LINEKORA </w:t>
      </w:r>
      <w:r>
        <w:rPr>
          <w:rFonts w:ascii="Calibri" w:hAnsi="Calibri"/>
          <w:b/>
        </w:rPr>
        <w:t>within 48 hours</w:t>
      </w:r>
      <w:r>
        <w:rPr>
          <w:rFonts w:ascii="Calibri" w:hAnsi="Calibri"/>
        </w:rPr>
        <w:t xml:space="preserve"> of becoming aware of a Personal Data breach</w:t>
      </w:r>
    </w:p>
    <w:p>
      <w:pPr>
        <w:pStyle w:val="ListBullet"/>
        <w:ind w:left="360"/>
      </w:pPr>
      <w:r>
        <w:rPr>
          <w:rFonts w:ascii="Calibri" w:hAnsi="Calibri"/>
        </w:rPr>
        <w:t xml:space="preserve">Provide all information necessary for LINEKORA to comply with the </w:t>
      </w:r>
      <w:r>
        <w:rPr>
          <w:rFonts w:ascii="Calibri" w:hAnsi="Calibri"/>
          <w:b/>
        </w:rPr>
        <w:t>72-hour breach notification</w:t>
      </w:r>
      <w:r>
        <w:rPr>
          <w:rFonts w:ascii="Calibri" w:hAnsi="Calibri"/>
        </w:rPr>
        <w:t xml:space="preserve"> requirement under Rwanda's PDPB</w:t>
      </w:r>
    </w:p>
    <w:p>
      <w:pPr>
        <w:pStyle w:val="ListBullet"/>
        <w:ind w:left="360"/>
      </w:pPr>
      <w:r>
        <w:rPr>
          <w:rFonts w:ascii="Calibri" w:hAnsi="Calibri"/>
        </w:rPr>
        <w:t>Take immediate steps to contain and remediate the breach</w:t>
      </w:r>
    </w:p>
    <w:p>
      <w:pPr>
        <w:pBdr>
          <w:bottom w:val="single" w:sz="6" w:space="1" w:color="666666"/>
        </w:pBdr>
      </w:pPr>
    </w:p>
    <w:p>
      <w:pPr>
        <w:pStyle w:val="Heading2"/>
      </w:pPr>
      <w:r>
        <w:rPr>
          <w:rFonts w:ascii="Calibri" w:hAnsi="Calibri"/>
          <w:color w:val="000000"/>
        </w:rPr>
        <w:t>4. CROSS-BORDER DATA TRANSFERS</w:t>
      </w:r>
    </w:p>
    <w:p>
      <w:pPr>
        <w:pStyle w:val="Heading3"/>
      </w:pPr>
      <w:r>
        <w:rPr>
          <w:rFonts w:ascii="Calibri" w:hAnsi="Calibri"/>
          <w:color w:val="000000"/>
        </w:rPr>
        <w:t>4.1 Processor 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rPr>
              <w:t>Processor</w:t>
            </w:r>
          </w:p>
        </w:tc>
        <w:tc>
          <w:tcPr>
            <w:tcW w:type="dxa" w:w="2160"/>
          </w:tcPr>
          <w:p>
            <w:r/>
            <w:r>
              <w:rPr>
                <w:rFonts w:ascii="Calibri" w:hAnsi="Calibri"/>
                <w:b/>
              </w:rPr>
              <w:t>Location</w:t>
            </w:r>
          </w:p>
        </w:tc>
        <w:tc>
          <w:tcPr>
            <w:tcW w:type="dxa" w:w="2160"/>
          </w:tcPr>
          <w:p>
            <w:r/>
            <w:r>
              <w:rPr>
                <w:rFonts w:ascii="Calibri" w:hAnsi="Calibri"/>
                <w:b/>
              </w:rPr>
              <w:t>Data Stored</w:t>
            </w:r>
          </w:p>
        </w:tc>
        <w:tc>
          <w:tcPr>
            <w:tcW w:type="dxa" w:w="2160"/>
          </w:tcPr>
          <w:p>
            <w:r/>
            <w:r>
              <w:rPr>
                <w:rFonts w:ascii="Calibri" w:hAnsi="Calibri"/>
                <w:b/>
              </w:rPr>
              <w:t>Transfer Mechanism</w:t>
            </w:r>
          </w:p>
        </w:tc>
      </w:tr>
      <w:tr>
        <w:tc>
          <w:tcPr>
            <w:tcW w:type="dxa" w:w="2160"/>
          </w:tcPr>
          <w:p>
            <w:r/>
            <w:r>
              <w:rPr>
                <w:rFonts w:ascii="Calibri" w:hAnsi="Calibri"/>
              </w:rPr>
              <w:t>Vercel Inc.</w:t>
            </w:r>
          </w:p>
        </w:tc>
        <w:tc>
          <w:tcPr>
            <w:tcW w:type="dxa" w:w="2160"/>
          </w:tcPr>
          <w:p>
            <w:r/>
            <w:r>
              <w:rPr>
                <w:rFonts w:ascii="Calibri" w:hAnsi="Calibri"/>
              </w:rPr>
              <w:t>San Francisco, CA, USA</w:t>
            </w:r>
          </w:p>
        </w:tc>
        <w:tc>
          <w:tcPr>
            <w:tcW w:type="dxa" w:w="2160"/>
          </w:tcPr>
          <w:p>
            <w:r/>
            <w:r>
              <w:rPr>
                <w:rFonts w:ascii="Calibri" w:hAnsi="Calibri"/>
              </w:rPr>
              <w:t>Web traffic, Analytics, Deployment data</w:t>
            </w:r>
          </w:p>
        </w:tc>
        <w:tc>
          <w:tcPr>
            <w:tcW w:type="dxa" w:w="2160"/>
          </w:tcPr>
          <w:p>
            <w:r/>
            <w:r>
              <w:rPr>
                <w:rFonts w:ascii="Calibri" w:hAnsi="Calibri"/>
              </w:rPr>
              <w:t>Standard Contractual Clauses (SCCs)</w:t>
            </w:r>
          </w:p>
        </w:tc>
      </w:tr>
    </w:tbl>
    <w:p/>
    <w:p>
      <w:pPr>
        <w:pStyle w:val="Heading3"/>
      </w:pPr>
      <w:r>
        <w:rPr>
          <w:rFonts w:ascii="Calibri" w:hAnsi="Calibri"/>
          <w:color w:val="000000"/>
        </w:rPr>
        <w:t>4.2 Safeguards</w:t>
      </w:r>
    </w:p>
    <w:p>
      <w:r>
        <w:rPr>
          <w:rFonts w:ascii="Calibri" w:hAnsi="Calibri"/>
        </w:rPr>
        <w:t>Vercel shall ensure that any cross-border transfer of Personal Data is protected by:</w:t>
      </w:r>
    </w:p>
    <w:p>
      <w:pPr>
        <w:pStyle w:val="ListBullet"/>
        <w:ind w:left="360"/>
      </w:pPr>
      <w:r>
        <w:rPr>
          <w:rFonts w:ascii="Calibri" w:hAnsi="Calibri"/>
        </w:rPr>
        <w:t>Standard Contractual Clauses (SCCs)</w:t>
      </w:r>
    </w:p>
    <w:p>
      <w:pPr>
        <w:pStyle w:val="ListBullet"/>
        <w:ind w:left="360"/>
      </w:pPr>
      <w:r>
        <w:rPr>
          <w:rFonts w:ascii="Calibri" w:hAnsi="Calibri"/>
        </w:rPr>
        <w:t>Encryption at rest and in transit</w:t>
      </w:r>
    </w:p>
    <w:p>
      <w:pPr>
        <w:pStyle w:val="ListBullet"/>
        <w:ind w:left="360"/>
      </w:pPr>
      <w:r>
        <w:rPr>
          <w:rFonts w:ascii="Calibri" w:hAnsi="Calibri"/>
        </w:rPr>
        <w:t>Regular security audits</w:t>
      </w:r>
    </w:p>
    <w:p>
      <w:pPr>
        <w:pStyle w:val="Heading3"/>
      </w:pPr>
      <w:r>
        <w:rPr>
          <w:rFonts w:ascii="Calibri" w:hAnsi="Calibri"/>
          <w:color w:val="000000"/>
        </w:rPr>
        <w:t>4.3 International Storage Authorization</w:t>
      </w:r>
    </w:p>
    <w:p>
      <w:r>
        <w:rPr>
          <w:rFonts w:ascii="Calibri" w:hAnsi="Calibri"/>
        </w:rPr>
        <w:t xml:space="preserve">Vercel acknowledges that Personal Data is stored and processed </w:t>
      </w:r>
      <w:r>
        <w:rPr>
          <w:rFonts w:ascii="Calibri" w:hAnsi="Calibri"/>
          <w:b/>
        </w:rPr>
        <w:t>outside of Rwanda</w:t>
      </w:r>
      <w:r>
        <w:rPr>
          <w:rFonts w:ascii="Calibri" w:hAnsi="Calibri"/>
        </w:rPr>
        <w:t xml:space="preserve"> and that such transfer requires authorization from the </w:t>
      </w:r>
      <w:r>
        <w:rPr>
          <w:rFonts w:ascii="Calibri" w:hAnsi="Calibri"/>
          <w:b/>
        </w:rPr>
        <w:t>Rwanda Data Protection Authority</w:t>
      </w:r>
      <w:r>
        <w:rPr>
          <w:rFonts w:ascii="Calibri" w:hAnsi="Calibri"/>
        </w:rPr>
        <w:t>.</w:t>
      </w:r>
    </w:p>
    <w:p>
      <w:pPr>
        <w:pBdr>
          <w:bottom w:val="single" w:sz="6" w:space="1" w:color="666666"/>
        </w:pBdr>
      </w:pPr>
    </w:p>
    <w:p>
      <w:pPr>
        <w:pStyle w:val="Heading2"/>
      </w:pPr>
      <w:r>
        <w:rPr>
          <w:rFonts w:ascii="Calibri" w:hAnsi="Calibri"/>
          <w:color w:val="000000"/>
        </w:rPr>
        <w:t>5. DATA RETENTION AND DELETION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rPr>
              <w:t>Data Type</w:t>
            </w:r>
          </w:p>
        </w:tc>
        <w:tc>
          <w:tcPr>
            <w:tcW w:type="dxa" w:w="2880"/>
          </w:tcPr>
          <w:p>
            <w:r/>
            <w:r>
              <w:rPr>
                <w:rFonts w:ascii="Calibri" w:hAnsi="Calibri"/>
                <w:b/>
              </w:rPr>
              <w:t>Retention Period</w:t>
            </w:r>
          </w:p>
        </w:tc>
        <w:tc>
          <w:tcPr>
            <w:tcW w:type="dxa" w:w="2880"/>
          </w:tcPr>
          <w:p>
            <w:r/>
            <w:r>
              <w:rPr>
                <w:rFonts w:ascii="Calibri" w:hAnsi="Calibri"/>
                <w:b/>
              </w:rPr>
              <w:t>Deletion Method</w:t>
            </w:r>
          </w:p>
        </w:tc>
      </w:tr>
      <w:tr>
        <w:tc>
          <w:tcPr>
            <w:tcW w:type="dxa" w:w="2880"/>
          </w:tcPr>
          <w:p>
            <w:r/>
            <w:r>
              <w:rPr>
                <w:rFonts w:ascii="Calibri" w:hAnsi="Calibri"/>
              </w:rPr>
              <w:t>Web traffic logs</w:t>
            </w:r>
          </w:p>
        </w:tc>
        <w:tc>
          <w:tcPr>
            <w:tcW w:type="dxa" w:w="2880"/>
          </w:tcPr>
          <w:p>
            <w:r/>
            <w:r>
              <w:rPr>
                <w:rFonts w:ascii="Calibri" w:hAnsi="Calibri"/>
              </w:rPr>
              <w:t>30 days</w:t>
            </w:r>
          </w:p>
        </w:tc>
        <w:tc>
          <w:tcPr>
            <w:tcW w:type="dxa" w:w="2880"/>
          </w:tcPr>
          <w:p>
            <w:r/>
            <w:r>
              <w:rPr>
                <w:rFonts w:ascii="Calibri" w:hAnsi="Calibri"/>
              </w:rPr>
              <w:t>Automatic purge</w:t>
            </w:r>
          </w:p>
        </w:tc>
      </w:tr>
      <w:tr>
        <w:tc>
          <w:tcPr>
            <w:tcW w:type="dxa" w:w="2880"/>
          </w:tcPr>
          <w:p>
            <w:r/>
            <w:r>
              <w:rPr>
                <w:rFonts w:ascii="Calibri" w:hAnsi="Calibri"/>
              </w:rPr>
              <w:t>Deployment logs</w:t>
            </w:r>
          </w:p>
        </w:tc>
        <w:tc>
          <w:tcPr>
            <w:tcW w:type="dxa" w:w="2880"/>
          </w:tcPr>
          <w:p>
            <w:r/>
            <w:r>
              <w:rPr>
                <w:rFonts w:ascii="Calibri" w:hAnsi="Calibri"/>
              </w:rPr>
              <w:t>90 days</w:t>
            </w:r>
          </w:p>
        </w:tc>
        <w:tc>
          <w:tcPr>
            <w:tcW w:type="dxa" w:w="2880"/>
          </w:tcPr>
          <w:p>
            <w:r/>
            <w:r>
              <w:rPr>
                <w:rFonts w:ascii="Calibri" w:hAnsi="Calibri"/>
              </w:rPr>
              <w:t>Automatic purge</w:t>
            </w:r>
          </w:p>
        </w:tc>
      </w:tr>
      <w:tr>
        <w:tc>
          <w:tcPr>
            <w:tcW w:type="dxa" w:w="2880"/>
          </w:tcPr>
          <w:p>
            <w:r/>
            <w:r>
              <w:rPr>
                <w:rFonts w:ascii="Calibri" w:hAnsi="Calibri"/>
              </w:rPr>
              <w:t>Error logs</w:t>
            </w:r>
          </w:p>
        </w:tc>
        <w:tc>
          <w:tcPr>
            <w:tcW w:type="dxa" w:w="2880"/>
          </w:tcPr>
          <w:p>
            <w:r/>
            <w:r>
              <w:rPr>
                <w:rFonts w:ascii="Calibri" w:hAnsi="Calibri"/>
              </w:rPr>
              <w:t>30 days</w:t>
            </w:r>
          </w:p>
        </w:tc>
        <w:tc>
          <w:tcPr>
            <w:tcW w:type="dxa" w:w="2880"/>
          </w:tcPr>
          <w:p>
            <w:r/>
            <w:r>
              <w:rPr>
                <w:rFonts w:ascii="Calibri" w:hAnsi="Calibri"/>
              </w:rPr>
              <w:t>Automatic purge</w:t>
            </w:r>
          </w:p>
        </w:tc>
      </w:tr>
      <w:tr>
        <w:tc>
          <w:tcPr>
            <w:tcW w:type="dxa" w:w="2880"/>
          </w:tcPr>
          <w:p>
            <w:r/>
            <w:r>
              <w:rPr>
                <w:rFonts w:ascii="Calibri" w:hAnsi="Calibri"/>
              </w:rPr>
              <w:t>Analytics data</w:t>
            </w:r>
          </w:p>
        </w:tc>
        <w:tc>
          <w:tcPr>
            <w:tcW w:type="dxa" w:w="2880"/>
          </w:tcPr>
          <w:p>
            <w:r/>
            <w:r>
              <w:rPr>
                <w:rFonts w:ascii="Calibri" w:hAnsi="Calibri"/>
              </w:rPr>
              <w:t>1 year</w:t>
            </w:r>
          </w:p>
        </w:tc>
        <w:tc>
          <w:tcPr>
            <w:tcW w:type="dxa" w:w="2880"/>
          </w:tcPr>
          <w:p>
            <w:r/>
            <w:r>
              <w:rPr>
                <w:rFonts w:ascii="Calibri" w:hAnsi="Calibri"/>
              </w:rPr>
              <w:t>Automatic purge</w:t>
            </w:r>
          </w:p>
        </w:tc>
      </w:tr>
    </w:tbl>
    <w:p/>
    <w:p>
      <w:pPr>
        <w:pBdr>
          <w:bottom w:val="single" w:sz="6" w:space="1" w:color="666666"/>
        </w:pBdr>
      </w:pPr>
    </w:p>
    <w:p>
      <w:pPr>
        <w:pStyle w:val="Heading2"/>
      </w:pPr>
      <w:r>
        <w:rPr>
          <w:rFonts w:ascii="Calibri" w:hAnsi="Calibri"/>
          <w:color w:val="000000"/>
        </w:rPr>
        <w:t>6. AUDIT RIGHTS</w:t>
      </w:r>
    </w:p>
    <w:p>
      <w:r>
        <w:rPr>
          <w:rFonts w:ascii="Calibri" w:hAnsi="Calibri"/>
        </w:rPr>
        <w:t>LINEKORA (or its authorized auditor) shall have the right to:</w:t>
      </w:r>
    </w:p>
    <w:p>
      <w:pPr>
        <w:pStyle w:val="ListBullet"/>
        <w:ind w:left="360"/>
      </w:pPr>
      <w:r>
        <w:rPr>
          <w:rFonts w:ascii="Calibri" w:hAnsi="Calibri"/>
        </w:rPr>
        <w:t>Conduct audits of Vercel's data processing activities</w:t>
      </w:r>
    </w:p>
    <w:p>
      <w:pPr>
        <w:pStyle w:val="ListBullet"/>
        <w:ind w:left="360"/>
      </w:pPr>
      <w:r>
        <w:rPr>
          <w:rFonts w:ascii="Calibri" w:hAnsi="Calibri"/>
        </w:rPr>
        <w:t>Request documentation and evidence of compliance</w:t>
      </w:r>
    </w:p>
    <w:p>
      <w:pPr>
        <w:pStyle w:val="ListBullet"/>
        <w:ind w:left="360"/>
      </w:pPr>
      <w:r>
        <w:rPr>
          <w:rFonts w:ascii="Calibri" w:hAnsi="Calibri"/>
        </w:rPr>
        <w:t>Inspect security measures and facilities</w:t>
      </w:r>
    </w:p>
    <w:p>
      <w:pPr>
        <w:pBdr>
          <w:bottom w:val="single" w:sz="6" w:space="1" w:color="666666"/>
        </w:pBdr>
      </w:pPr>
    </w:p>
    <w:p>
      <w:pPr>
        <w:pStyle w:val="Heading2"/>
      </w:pPr>
      <w:r>
        <w:rPr>
          <w:rFonts w:ascii="Calibri" w:hAnsi="Calibri"/>
          <w:color w:val="000000"/>
        </w:rPr>
        <w:t>7. SIGNATURES</w:t>
      </w:r>
    </w:p>
    <w:p>
      <w:pPr>
        <w:pStyle w:val="Heading3"/>
      </w:pPr>
      <w:r>
        <w:rPr>
          <w:rFonts w:ascii="Calibri" w:hAnsi="Calibri"/>
          <w:color w:val="000000"/>
        </w:rPr>
        <w:t>Data Controller: NDIVE LABS LTD (LINEKORA)</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rPr>
              <w:t>Field</w:t>
            </w:r>
          </w:p>
        </w:tc>
        <w:tc>
          <w:tcPr>
            <w:tcW w:type="dxa" w:w="4320"/>
          </w:tcPr>
          <w:p>
            <w:r/>
            <w:r>
              <w:rPr>
                <w:rFonts w:ascii="Calibri" w:hAnsi="Calibri"/>
                <w:b/>
              </w:rPr>
              <w:t>Details</w:t>
            </w:r>
          </w:p>
        </w:tc>
      </w:tr>
      <w:tr>
        <w:tc>
          <w:tcPr>
            <w:tcW w:type="dxa" w:w="4320"/>
          </w:tcPr>
          <w:p>
            <w:r/>
            <w:r>
              <w:rPr>
                <w:rFonts w:ascii="Calibri" w:hAnsi="Calibri"/>
              </w:rPr>
              <w:t>Name</w:t>
            </w:r>
          </w:p>
        </w:tc>
        <w:tc>
          <w:tcPr>
            <w:tcW w:type="dxa" w:w="4320"/>
          </w:tcPr>
          <w:p>
            <w:r/>
            <w:r>
              <w:rPr>
                <w:rFonts w:ascii="Calibri" w:hAnsi="Calibri"/>
              </w:rPr>
              <w:t>_________________________</w:t>
            </w:r>
          </w:p>
        </w:tc>
      </w:tr>
      <w:tr>
        <w:tc>
          <w:tcPr>
            <w:tcW w:type="dxa" w:w="4320"/>
          </w:tcPr>
          <w:p>
            <w:r/>
            <w:r>
              <w:rPr>
                <w:rFonts w:ascii="Calibri" w:hAnsi="Calibri"/>
              </w:rPr>
              <w:t>Title</w:t>
            </w:r>
          </w:p>
        </w:tc>
        <w:tc>
          <w:tcPr>
            <w:tcW w:type="dxa" w:w="4320"/>
          </w:tcPr>
          <w:p>
            <w:r/>
            <w:r>
              <w:rPr>
                <w:rFonts w:ascii="Calibri" w:hAnsi="Calibri"/>
              </w:rPr>
              <w:t>_________________________</w:t>
            </w:r>
          </w:p>
        </w:tc>
      </w:tr>
      <w:tr>
        <w:tc>
          <w:tcPr>
            <w:tcW w:type="dxa" w:w="4320"/>
          </w:tcPr>
          <w:p>
            <w:r/>
            <w:r>
              <w:rPr>
                <w:rFonts w:ascii="Calibri" w:hAnsi="Calibri"/>
              </w:rPr>
              <w:t>Date</w:t>
            </w:r>
          </w:p>
        </w:tc>
        <w:tc>
          <w:tcPr>
            <w:tcW w:type="dxa" w:w="4320"/>
          </w:tcPr>
          <w:p>
            <w:r/>
            <w:r>
              <w:rPr>
                <w:rFonts w:ascii="Calibri" w:hAnsi="Calibri"/>
              </w:rPr>
              <w:t>_________________________</w:t>
            </w:r>
          </w:p>
        </w:tc>
      </w:tr>
      <w:tr>
        <w:tc>
          <w:tcPr>
            <w:tcW w:type="dxa" w:w="4320"/>
          </w:tcPr>
          <w:p>
            <w:r/>
            <w:r>
              <w:rPr>
                <w:rFonts w:ascii="Calibri" w:hAnsi="Calibri"/>
              </w:rPr>
              <w:t>Signature</w:t>
            </w:r>
          </w:p>
        </w:tc>
        <w:tc>
          <w:tcPr>
            <w:tcW w:type="dxa" w:w="4320"/>
          </w:tcPr>
          <w:p>
            <w:r/>
            <w:r>
              <w:rPr>
                <w:rFonts w:ascii="Calibri" w:hAnsi="Calibri"/>
              </w:rPr>
              <w:t>_________________________</w:t>
            </w:r>
          </w:p>
        </w:tc>
      </w:tr>
    </w:tbl>
    <w:p/>
    <w:p>
      <w:pPr>
        <w:pStyle w:val="Heading3"/>
      </w:pPr>
      <w:r>
        <w:rPr>
          <w:rFonts w:ascii="Calibri" w:hAnsi="Calibri"/>
          <w:color w:val="000000"/>
        </w:rPr>
        <w:t>Data Processor: Vercel Inc.</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rPr>
              <w:t>Field</w:t>
            </w:r>
          </w:p>
        </w:tc>
        <w:tc>
          <w:tcPr>
            <w:tcW w:type="dxa" w:w="4320"/>
          </w:tcPr>
          <w:p>
            <w:r/>
            <w:r>
              <w:rPr>
                <w:rFonts w:ascii="Calibri" w:hAnsi="Calibri"/>
                <w:b/>
              </w:rPr>
              <w:t>Details</w:t>
            </w:r>
          </w:p>
        </w:tc>
      </w:tr>
      <w:tr>
        <w:tc>
          <w:tcPr>
            <w:tcW w:type="dxa" w:w="4320"/>
          </w:tcPr>
          <w:p>
            <w:r/>
            <w:r>
              <w:rPr>
                <w:rFonts w:ascii="Calibri" w:hAnsi="Calibri"/>
              </w:rPr>
              <w:t>Name</w:t>
            </w:r>
          </w:p>
        </w:tc>
        <w:tc>
          <w:tcPr>
            <w:tcW w:type="dxa" w:w="4320"/>
          </w:tcPr>
          <w:p>
            <w:r/>
            <w:r>
              <w:rPr>
                <w:rFonts w:ascii="Calibri" w:hAnsi="Calibri"/>
              </w:rPr>
              <w:t>_________________________</w:t>
            </w:r>
          </w:p>
        </w:tc>
      </w:tr>
      <w:tr>
        <w:tc>
          <w:tcPr>
            <w:tcW w:type="dxa" w:w="4320"/>
          </w:tcPr>
          <w:p>
            <w:r/>
            <w:r>
              <w:rPr>
                <w:rFonts w:ascii="Calibri" w:hAnsi="Calibri"/>
              </w:rPr>
              <w:t>Title</w:t>
            </w:r>
          </w:p>
        </w:tc>
        <w:tc>
          <w:tcPr>
            <w:tcW w:type="dxa" w:w="4320"/>
          </w:tcPr>
          <w:p>
            <w:r/>
            <w:r>
              <w:rPr>
                <w:rFonts w:ascii="Calibri" w:hAnsi="Calibri"/>
              </w:rPr>
              <w:t>_________________________</w:t>
            </w:r>
          </w:p>
        </w:tc>
      </w:tr>
      <w:tr>
        <w:tc>
          <w:tcPr>
            <w:tcW w:type="dxa" w:w="4320"/>
          </w:tcPr>
          <w:p>
            <w:r/>
            <w:r>
              <w:rPr>
                <w:rFonts w:ascii="Calibri" w:hAnsi="Calibri"/>
              </w:rPr>
              <w:t>Date</w:t>
            </w:r>
          </w:p>
        </w:tc>
        <w:tc>
          <w:tcPr>
            <w:tcW w:type="dxa" w:w="4320"/>
          </w:tcPr>
          <w:p>
            <w:r/>
            <w:r>
              <w:rPr>
                <w:rFonts w:ascii="Calibri" w:hAnsi="Calibri"/>
              </w:rPr>
              <w:t>_________________________</w:t>
            </w:r>
          </w:p>
        </w:tc>
      </w:tr>
      <w:tr>
        <w:tc>
          <w:tcPr>
            <w:tcW w:type="dxa" w:w="4320"/>
          </w:tcPr>
          <w:p>
            <w:r/>
            <w:r>
              <w:rPr>
                <w:rFonts w:ascii="Calibri" w:hAnsi="Calibri"/>
              </w:rPr>
              <w:t>Signature</w:t>
            </w:r>
          </w:p>
        </w:tc>
        <w:tc>
          <w:tcPr>
            <w:tcW w:type="dxa" w:w="4320"/>
          </w:tcPr>
          <w:p>
            <w:r/>
            <w:r>
              <w:rPr>
                <w:rFonts w:ascii="Calibri" w:hAnsi="Calibri"/>
              </w:rPr>
              <w:t>_________________________</w:t>
            </w:r>
          </w:p>
        </w:tc>
      </w:tr>
    </w:tbl>
    <w:p/>
    <w:p>
      <w:pPr>
        <w:pBdr>
          <w:bottom w:val="single" w:sz="6" w:space="1" w:color="666666"/>
        </w:pBdr>
      </w:pPr>
    </w:p>
    <w:p>
      <w:r>
        <w:rPr>
          <w:rFonts w:ascii="Calibri" w:hAnsi="Calibri"/>
          <w:i/>
        </w:rPr>
        <w:t>Document prepared for LINEKORA Data Protection Compliance</w:t>
      </w:r>
    </w:p>
    <w:p>
      <w:r>
        <w:rPr>
          <w:rFonts w:ascii="Calibri" w:hAnsi="Calibri"/>
          <w:i/>
        </w:rPr>
        <w:t>Pursuant to Rwanda Data Protection Law No. 058/2021 of 13/10/2021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