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480" w:after="0"/>
        <w:rPr/>
      </w:pPr>
      <w:r>
        <w:rPr>
          <w:color w:val="000000"/>
        </w:rPr>
        <w:t>DATA RETENTION &amp; DELETION POLICY</w:t>
      </w:r>
    </w:p>
    <w:p>
      <w:pPr>
        <w:pStyle w:val="Heading1"/>
        <w:rPr/>
      </w:pPr>
      <w:r>
        <w:rPr>
          <w:color w:val="000000"/>
        </w:rPr>
        <w:t>LINEKORA — NDIVE LABS LTD</w:t>
      </w:r>
    </w:p>
    <w:p>
      <w:pPr>
        <w:pStyle w:val="Normal"/>
        <w:rPr/>
      </w:pPr>
      <w:r>
        <w:rPr>
          <w:b/>
        </w:rPr>
        <w:t>Effective Date:</w:t>
      </w:r>
      <w:r>
        <w:rPr/>
        <w:t xml:space="preserve"> [Date approved by DPO]</w:t>
      </w:r>
    </w:p>
    <w:p>
      <w:pPr>
        <w:pStyle w:val="Normal"/>
        <w:rPr/>
      </w:pPr>
      <w:r>
        <w:rPr>
          <w:b/>
        </w:rPr>
        <w:t>Owner:</w:t>
      </w:r>
      <w:r>
        <w:rPr/>
        <w:t xml:space="preserve"> Data Protection Officer (DPO)</w:t>
      </w:r>
    </w:p>
    <w:p>
      <w:pPr>
        <w:pStyle w:val="Normal"/>
        <w:rPr/>
      </w:pPr>
      <w:r>
        <w:rPr>
          <w:b/>
        </w:rPr>
        <w:t>Review Date:</w:t>
      </w:r>
      <w:r>
        <w:rPr/>
        <w:t xml:space="preserve"> Annually or upon material change</w:t>
      </w:r>
    </w:p>
    <w:p>
      <w:pPr>
        <w:pStyle w:val="Normal"/>
        <w:pBdr>
          <w:bottom w:val="single" w:sz="6" w:space="1" w:color="666666"/>
        </w:pBdr>
        <w:rPr/>
      </w:pPr>
      <w:r>
        <w:rPr/>
      </w:r>
    </w:p>
    <w:p>
      <w:pPr>
        <w:pStyle w:val="Heading2"/>
        <w:rPr/>
      </w:pPr>
      <w:r>
        <w:rPr>
          <w:color w:val="000000"/>
        </w:rPr>
        <w:t>1. PURPOSE</w:t>
      </w:r>
    </w:p>
    <w:p>
      <w:pPr>
        <w:pStyle w:val="Normal"/>
        <w:rPr/>
      </w:pPr>
      <w:r>
        <w:rPr/>
        <w:t>This policy sets out how long LINEKORA keeps personal data and how it is securely deleted once it is no longer required. It applies to all personal data processed by LINEKORA, including sensitive data (National ID images, selfies).</w:t>
      </w:r>
    </w:p>
    <w:p>
      <w:pPr>
        <w:pStyle w:val="Normal"/>
        <w:rPr/>
      </w:pPr>
      <w:r>
        <w:rPr/>
        <w:t>This policy is required by:</w:t>
      </w:r>
    </w:p>
    <w:p>
      <w:pPr>
        <w:pStyle w:val="ListBullet"/>
        <w:numPr>
          <w:ilvl w:val="0"/>
          <w:numId w:val="1"/>
        </w:numPr>
        <w:ind w:hanging="360" w:start="360"/>
        <w:rPr/>
      </w:pPr>
      <w:r>
        <w:rPr/>
        <w:t>Rwanda Data Protection Law No. 058/2021 of 13/10/2021</w:t>
      </w:r>
    </w:p>
    <w:p>
      <w:pPr>
        <w:pStyle w:val="ListBullet"/>
        <w:numPr>
          <w:ilvl w:val="0"/>
          <w:numId w:val="1"/>
        </w:numPr>
        <w:ind w:hanging="360" w:start="360"/>
        <w:rPr/>
      </w:pPr>
      <w:r>
        <w:rPr/>
        <w:t>Personal Data Protection Policy (PDPB) No. 3/2021</w:t>
      </w:r>
    </w:p>
    <w:p>
      <w:pPr>
        <w:pStyle w:val="Normal"/>
        <w:pBdr>
          <w:bottom w:val="single" w:sz="6" w:space="1" w:color="666666"/>
        </w:pBdr>
        <w:rPr/>
      </w:pPr>
      <w:r>
        <w:rPr/>
      </w:r>
    </w:p>
    <w:p>
      <w:pPr>
        <w:pStyle w:val="Heading2"/>
        <w:rPr/>
      </w:pPr>
      <w:r>
        <w:rPr>
          <w:color w:val="000000"/>
        </w:rPr>
        <w:t>2. SCOPE</w:t>
      </w:r>
    </w:p>
    <w:p>
      <w:pPr>
        <w:pStyle w:val="Normal"/>
        <w:rPr/>
      </w:pPr>
      <w:r>
        <w:rPr/>
        <w:t>This policy applies to:</w:t>
      </w:r>
    </w:p>
    <w:p>
      <w:pPr>
        <w:pStyle w:val="ListBullet"/>
        <w:numPr>
          <w:ilvl w:val="0"/>
          <w:numId w:val="1"/>
        </w:numPr>
        <w:ind w:hanging="360" w:start="360"/>
        <w:rPr/>
      </w:pPr>
      <w:r>
        <w:rPr/>
        <w:t>All personal data processed by LINEKORA's platform (LINEKORA Web</w:t>
      </w:r>
      <w:r>
        <w:rPr/>
        <w:t>site)</w:t>
      </w:r>
    </w:p>
    <w:p>
      <w:pPr>
        <w:pStyle w:val="ListBullet"/>
        <w:numPr>
          <w:ilvl w:val="0"/>
          <w:numId w:val="1"/>
        </w:numPr>
        <w:ind w:hanging="360" w:start="360"/>
        <w:rPr/>
      </w:pPr>
      <w:r>
        <w:rPr/>
        <w:t>Data stored in NeonDB (PostgreSQL), Firebase Auth, and Vercel access logs</w:t>
      </w:r>
    </w:p>
    <w:p>
      <w:pPr>
        <w:pStyle w:val="ListBullet"/>
        <w:numPr>
          <w:ilvl w:val="0"/>
          <w:numId w:val="1"/>
        </w:numPr>
        <w:ind w:hanging="360" w:start="360"/>
        <w:rPr/>
      </w:pPr>
      <w:r>
        <w:rPr/>
        <w:t>All data subjects: Workers, Employers/Companies, Admin staff</w:t>
      </w:r>
    </w:p>
    <w:p>
      <w:pPr>
        <w:pStyle w:val="ListBullet"/>
        <w:numPr>
          <w:ilvl w:val="0"/>
          <w:numId w:val="1"/>
        </w:numPr>
        <w:ind w:hanging="360" w:start="360"/>
        <w:rPr/>
      </w:pPr>
      <w:r>
        <w:rPr/>
        <w:t>All staff and contractors of NDIVE LABS LTD who have access to personal data</w:t>
      </w:r>
    </w:p>
    <w:p>
      <w:pPr>
        <w:pStyle w:val="Normal"/>
        <w:pBdr>
          <w:bottom w:val="single" w:sz="6" w:space="1" w:color="666666"/>
        </w:pBdr>
        <w:rPr/>
      </w:pPr>
      <w:r>
        <w:rPr/>
      </w:r>
    </w:p>
    <w:p>
      <w:pPr>
        <w:pStyle w:val="Heading2"/>
        <w:rPr/>
      </w:pPr>
      <w:r>
        <w:rPr>
          <w:color w:val="000000"/>
        </w:rPr>
        <w:t>3. RETENTION PERIODS</w:t>
      </w:r>
    </w:p>
    <w:p>
      <w:pPr>
        <w:pStyle w:val="Heading3"/>
        <w:rPr/>
      </w:pPr>
      <w:r>
        <w:rPr>
          <w:color w:val="000000"/>
        </w:rPr>
        <w:t>3.1 Data subject account data</w:t>
      </w:r>
    </w:p>
    <w:tbl>
      <w:tblPr>
        <w:tblStyle w:val="TableGrid"/>
        <w:tblW w:w="864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160"/>
        <w:gridCol w:w="2160"/>
        <w:gridCol w:w="2160"/>
        <w:gridCol w:w="2160"/>
      </w:tblGrid>
      <w:tr>
        <w:trPr/>
        <w:tc>
          <w:tcPr>
            <w:tcW w:w="2160" w:type="dxa"/>
            <w:tcBorders/>
          </w:tcPr>
          <w:p>
            <w:pPr>
              <w:pStyle w:val="Normal"/>
              <w:widowControl/>
              <w:spacing w:lineRule="auto" w:line="240" w:before="0" w:after="0"/>
              <w:jc w:val="start"/>
              <w:rPr>
                <w:rFonts w:cs=""/>
                <w:kern w:val="0"/>
                <w:szCs w:val="22"/>
                <w:lang w:val="en-US" w:eastAsia="en-US" w:bidi="ar-SA"/>
              </w:rPr>
            </w:pPr>
            <w:r>
              <w:rPr>
                <w:rFonts w:cs=""/>
                <w:b/>
                <w:kern w:val="0"/>
                <w:szCs w:val="22"/>
                <w:lang w:val="en-US" w:eastAsia="en-US" w:bidi="ar-SA"/>
              </w:rPr>
              <w:t>Data category</w:t>
            </w:r>
          </w:p>
        </w:tc>
        <w:tc>
          <w:tcPr>
            <w:tcW w:w="2160" w:type="dxa"/>
            <w:tcBorders/>
          </w:tcPr>
          <w:p>
            <w:pPr>
              <w:pStyle w:val="Normal"/>
              <w:widowControl/>
              <w:spacing w:lineRule="auto" w:line="240" w:before="0" w:after="0"/>
              <w:jc w:val="start"/>
              <w:rPr>
                <w:rFonts w:cs=""/>
                <w:kern w:val="0"/>
                <w:szCs w:val="22"/>
                <w:lang w:val="en-US" w:eastAsia="en-US" w:bidi="ar-SA"/>
              </w:rPr>
            </w:pPr>
            <w:r>
              <w:rPr>
                <w:rFonts w:cs=""/>
                <w:b/>
                <w:kern w:val="0"/>
                <w:szCs w:val="22"/>
                <w:lang w:val="en-US" w:eastAsia="en-US" w:bidi="ar-SA"/>
              </w:rPr>
              <w:t>Retention period</w:t>
            </w:r>
          </w:p>
        </w:tc>
        <w:tc>
          <w:tcPr>
            <w:tcW w:w="2160" w:type="dxa"/>
            <w:tcBorders/>
          </w:tcPr>
          <w:p>
            <w:pPr>
              <w:pStyle w:val="Normal"/>
              <w:widowControl/>
              <w:spacing w:lineRule="auto" w:line="240" w:before="0" w:after="0"/>
              <w:jc w:val="start"/>
              <w:rPr>
                <w:rFonts w:cs=""/>
                <w:kern w:val="0"/>
                <w:szCs w:val="22"/>
                <w:lang w:val="en-US" w:eastAsia="en-US" w:bidi="ar-SA"/>
              </w:rPr>
            </w:pPr>
            <w:r>
              <w:rPr>
                <w:rFonts w:cs=""/>
                <w:b/>
                <w:kern w:val="0"/>
                <w:szCs w:val="22"/>
                <w:lang w:val="en-US" w:eastAsia="en-US" w:bidi="ar-SA"/>
              </w:rPr>
              <w:t>Starts when</w:t>
            </w:r>
          </w:p>
        </w:tc>
        <w:tc>
          <w:tcPr>
            <w:tcW w:w="2160" w:type="dxa"/>
            <w:tcBorders/>
          </w:tcPr>
          <w:p>
            <w:pPr>
              <w:pStyle w:val="Normal"/>
              <w:widowControl/>
              <w:spacing w:lineRule="auto" w:line="240" w:before="0" w:after="0"/>
              <w:jc w:val="start"/>
              <w:rPr>
                <w:rFonts w:cs=""/>
                <w:kern w:val="0"/>
                <w:szCs w:val="22"/>
                <w:lang w:val="en-US" w:eastAsia="en-US" w:bidi="ar-SA"/>
              </w:rPr>
            </w:pPr>
            <w:r>
              <w:rPr>
                <w:rFonts w:cs=""/>
                <w:b/>
                <w:kern w:val="0"/>
                <w:szCs w:val="22"/>
                <w:lang w:val="en-US" w:eastAsia="en-US" w:bidi="ar-SA"/>
              </w:rPr>
              <w:t>Legal basis</w:t>
            </w:r>
          </w:p>
        </w:tc>
      </w:tr>
      <w:tr>
        <w:trPr/>
        <w:tc>
          <w:tcPr>
            <w:tcW w:w="216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Worker profile (name, phone, email, location, skills)</w:t>
            </w:r>
          </w:p>
        </w:tc>
        <w:tc>
          <w:tcPr>
            <w:tcW w:w="2160" w:type="dxa"/>
            <w:tcBorders/>
          </w:tcPr>
          <w:p>
            <w:pPr>
              <w:pStyle w:val="Normal"/>
              <w:widowControl/>
              <w:spacing w:lineRule="auto" w:line="240" w:before="0" w:after="0"/>
              <w:jc w:val="start"/>
              <w:rPr>
                <w:rFonts w:cs=""/>
                <w:kern w:val="0"/>
                <w:szCs w:val="22"/>
                <w:lang w:val="en-US" w:eastAsia="en-US" w:bidi="ar-SA"/>
              </w:rPr>
            </w:pPr>
            <w:r>
              <w:rPr>
                <w:rFonts w:cs=""/>
                <w:b/>
                <w:kern w:val="0"/>
                <w:szCs w:val="22"/>
                <w:lang w:val="en-US" w:eastAsia="en-US" w:bidi="ar-SA"/>
              </w:rPr>
              <w:t>Active account + 2 years</w:t>
            </w:r>
          </w:p>
        </w:tc>
        <w:tc>
          <w:tcPr>
            <w:tcW w:w="216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Account deletion request</w:t>
            </w:r>
          </w:p>
        </w:tc>
        <w:tc>
          <w:tcPr>
            <w:tcW w:w="216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PDPB — proportionality</w:t>
            </w:r>
          </w:p>
        </w:tc>
      </w:tr>
      <w:tr>
        <w:trPr/>
        <w:tc>
          <w:tcPr>
            <w:tcW w:w="216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Employer profile (name, phone, company info)</w:t>
            </w:r>
          </w:p>
        </w:tc>
        <w:tc>
          <w:tcPr>
            <w:tcW w:w="2160" w:type="dxa"/>
            <w:tcBorders/>
          </w:tcPr>
          <w:p>
            <w:pPr>
              <w:pStyle w:val="Normal"/>
              <w:widowControl/>
              <w:spacing w:lineRule="auto" w:line="240" w:before="0" w:after="0"/>
              <w:jc w:val="start"/>
              <w:rPr>
                <w:rFonts w:cs=""/>
                <w:kern w:val="0"/>
                <w:szCs w:val="22"/>
                <w:lang w:val="en-US" w:eastAsia="en-US" w:bidi="ar-SA"/>
              </w:rPr>
            </w:pPr>
            <w:r>
              <w:rPr>
                <w:rFonts w:cs=""/>
                <w:b/>
                <w:kern w:val="0"/>
                <w:szCs w:val="22"/>
                <w:lang w:val="en-US" w:eastAsia="en-US" w:bidi="ar-SA"/>
              </w:rPr>
              <w:t>Active account + 2 years</w:t>
            </w:r>
          </w:p>
        </w:tc>
        <w:tc>
          <w:tcPr>
            <w:tcW w:w="216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Account deletion request</w:t>
            </w:r>
          </w:p>
        </w:tc>
        <w:tc>
          <w:tcPr>
            <w:tcW w:w="216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PDPB — proportionality</w:t>
            </w:r>
          </w:p>
        </w:tc>
      </w:tr>
      <w:tr>
        <w:trPr/>
        <w:tc>
          <w:tcPr>
            <w:tcW w:w="216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Admin account data</w:t>
            </w:r>
          </w:p>
        </w:tc>
        <w:tc>
          <w:tcPr>
            <w:tcW w:w="2160" w:type="dxa"/>
            <w:tcBorders/>
          </w:tcPr>
          <w:p>
            <w:pPr>
              <w:pStyle w:val="Normal"/>
              <w:widowControl/>
              <w:spacing w:lineRule="auto" w:line="240" w:before="0" w:after="0"/>
              <w:jc w:val="start"/>
              <w:rPr>
                <w:rFonts w:cs=""/>
                <w:kern w:val="0"/>
                <w:szCs w:val="22"/>
                <w:lang w:val="en-US" w:eastAsia="en-US" w:bidi="ar-SA"/>
              </w:rPr>
            </w:pPr>
            <w:r>
              <w:rPr>
                <w:rFonts w:cs=""/>
                <w:b/>
                <w:kern w:val="0"/>
                <w:szCs w:val="22"/>
                <w:lang w:val="en-US" w:eastAsia="en-US" w:bidi="ar-SA"/>
              </w:rPr>
              <w:t>While employed + 2 years</w:t>
            </w:r>
          </w:p>
        </w:tc>
        <w:tc>
          <w:tcPr>
            <w:tcW w:w="216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End of employment</w:t>
            </w:r>
          </w:p>
        </w:tc>
        <w:tc>
          <w:tcPr>
            <w:tcW w:w="216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PDPB</w:t>
            </w:r>
          </w:p>
        </w:tc>
      </w:tr>
    </w:tbl>
    <w:p>
      <w:pPr>
        <w:pStyle w:val="Normal"/>
        <w:rPr/>
      </w:pPr>
      <w:r>
        <w:rPr/>
      </w:r>
    </w:p>
    <w:p>
      <w:pPr>
        <w:pStyle w:val="Heading3"/>
        <w:rPr/>
      </w:pPr>
      <w:r>
        <w:rPr>
          <w:color w:val="000000"/>
        </w:rPr>
        <w:t>3.2 Sensitive / identity data (KYC)</w:t>
      </w:r>
    </w:p>
    <w:tbl>
      <w:tblPr>
        <w:tblStyle w:val="TableGrid"/>
        <w:tblW w:w="864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160"/>
        <w:gridCol w:w="2160"/>
        <w:gridCol w:w="2160"/>
        <w:gridCol w:w="2160"/>
      </w:tblGrid>
      <w:tr>
        <w:trPr/>
        <w:tc>
          <w:tcPr>
            <w:tcW w:w="2160" w:type="dxa"/>
            <w:tcBorders/>
          </w:tcPr>
          <w:p>
            <w:pPr>
              <w:pStyle w:val="Normal"/>
              <w:widowControl/>
              <w:spacing w:lineRule="auto" w:line="240" w:before="0" w:after="0"/>
              <w:jc w:val="start"/>
              <w:rPr>
                <w:rFonts w:cs=""/>
                <w:kern w:val="0"/>
                <w:szCs w:val="22"/>
                <w:lang w:val="en-US" w:eastAsia="en-US" w:bidi="ar-SA"/>
              </w:rPr>
            </w:pPr>
            <w:r>
              <w:rPr>
                <w:rFonts w:cs=""/>
                <w:b/>
                <w:kern w:val="0"/>
                <w:szCs w:val="22"/>
                <w:lang w:val="en-US" w:eastAsia="en-US" w:bidi="ar-SA"/>
              </w:rPr>
              <w:t>Data category</w:t>
            </w:r>
          </w:p>
        </w:tc>
        <w:tc>
          <w:tcPr>
            <w:tcW w:w="2160" w:type="dxa"/>
            <w:tcBorders/>
          </w:tcPr>
          <w:p>
            <w:pPr>
              <w:pStyle w:val="Normal"/>
              <w:widowControl/>
              <w:spacing w:lineRule="auto" w:line="240" w:before="0" w:after="0"/>
              <w:jc w:val="start"/>
              <w:rPr>
                <w:rFonts w:cs=""/>
                <w:kern w:val="0"/>
                <w:szCs w:val="22"/>
                <w:lang w:val="en-US" w:eastAsia="en-US" w:bidi="ar-SA"/>
              </w:rPr>
            </w:pPr>
            <w:r>
              <w:rPr>
                <w:rFonts w:cs=""/>
                <w:b/>
                <w:kern w:val="0"/>
                <w:szCs w:val="22"/>
                <w:lang w:val="en-US" w:eastAsia="en-US" w:bidi="ar-SA"/>
              </w:rPr>
              <w:t>Retention period</w:t>
            </w:r>
          </w:p>
        </w:tc>
        <w:tc>
          <w:tcPr>
            <w:tcW w:w="2160" w:type="dxa"/>
            <w:tcBorders/>
          </w:tcPr>
          <w:p>
            <w:pPr>
              <w:pStyle w:val="Normal"/>
              <w:widowControl/>
              <w:spacing w:lineRule="auto" w:line="240" w:before="0" w:after="0"/>
              <w:jc w:val="start"/>
              <w:rPr>
                <w:rFonts w:cs=""/>
                <w:kern w:val="0"/>
                <w:szCs w:val="22"/>
                <w:lang w:val="en-US" w:eastAsia="en-US" w:bidi="ar-SA"/>
              </w:rPr>
            </w:pPr>
            <w:r>
              <w:rPr>
                <w:rFonts w:cs=""/>
                <w:b/>
                <w:kern w:val="0"/>
                <w:szCs w:val="22"/>
                <w:lang w:val="en-US" w:eastAsia="en-US" w:bidi="ar-SA"/>
              </w:rPr>
              <w:t>Starts when</w:t>
            </w:r>
          </w:p>
        </w:tc>
        <w:tc>
          <w:tcPr>
            <w:tcW w:w="2160" w:type="dxa"/>
            <w:tcBorders/>
          </w:tcPr>
          <w:p>
            <w:pPr>
              <w:pStyle w:val="Normal"/>
              <w:widowControl/>
              <w:spacing w:lineRule="auto" w:line="240" w:before="0" w:after="0"/>
              <w:jc w:val="start"/>
              <w:rPr>
                <w:rFonts w:cs=""/>
                <w:kern w:val="0"/>
                <w:szCs w:val="22"/>
                <w:lang w:val="en-US" w:eastAsia="en-US" w:bidi="ar-SA"/>
              </w:rPr>
            </w:pPr>
            <w:r>
              <w:rPr>
                <w:rFonts w:cs=""/>
                <w:b/>
                <w:kern w:val="0"/>
                <w:szCs w:val="22"/>
                <w:lang w:val="en-US" w:eastAsia="en-US" w:bidi="ar-SA"/>
              </w:rPr>
              <w:t>Legal basis</w:t>
            </w:r>
          </w:p>
        </w:tc>
      </w:tr>
      <w:tr>
        <w:trPr/>
        <w:tc>
          <w:tcPr>
            <w:tcW w:w="216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National ID number</w:t>
            </w:r>
          </w:p>
        </w:tc>
        <w:tc>
          <w:tcPr>
            <w:tcW w:w="2160" w:type="dxa"/>
            <w:tcBorders/>
          </w:tcPr>
          <w:p>
            <w:pPr>
              <w:pStyle w:val="Normal"/>
              <w:widowControl/>
              <w:spacing w:lineRule="auto" w:line="240" w:before="0" w:after="0"/>
              <w:jc w:val="start"/>
              <w:rPr>
                <w:rFonts w:cs=""/>
                <w:kern w:val="0"/>
                <w:szCs w:val="22"/>
                <w:lang w:val="en-US" w:eastAsia="en-US" w:bidi="ar-SA"/>
              </w:rPr>
            </w:pPr>
            <w:r>
              <w:rPr>
                <w:rFonts w:cs=""/>
                <w:b/>
                <w:kern w:val="0"/>
                <w:szCs w:val="22"/>
                <w:lang w:val="en-US" w:eastAsia="en-US" w:bidi="ar-SA"/>
              </w:rPr>
              <w:t>Active account + 2 years</w:t>
            </w:r>
          </w:p>
        </w:tc>
        <w:tc>
          <w:tcPr>
            <w:tcW w:w="216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Account deletion request</w:t>
            </w:r>
          </w:p>
        </w:tc>
        <w:tc>
          <w:tcPr>
            <w:tcW w:w="216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Consent + KYC obligation</w:t>
            </w:r>
          </w:p>
        </w:tc>
      </w:tr>
      <w:tr>
        <w:trPr/>
        <w:tc>
          <w:tcPr>
            <w:tcW w:w="216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National ID front image</w:t>
            </w:r>
          </w:p>
        </w:tc>
        <w:tc>
          <w:tcPr>
            <w:tcW w:w="2160" w:type="dxa"/>
            <w:tcBorders/>
          </w:tcPr>
          <w:p>
            <w:pPr>
              <w:pStyle w:val="Normal"/>
              <w:widowControl/>
              <w:spacing w:lineRule="auto" w:line="240" w:before="0" w:after="0"/>
              <w:jc w:val="start"/>
              <w:rPr>
                <w:rFonts w:cs=""/>
                <w:kern w:val="0"/>
                <w:szCs w:val="22"/>
                <w:lang w:val="en-US" w:eastAsia="en-US" w:bidi="ar-SA"/>
              </w:rPr>
            </w:pPr>
            <w:r>
              <w:rPr>
                <w:rFonts w:cs=""/>
                <w:b/>
                <w:kern w:val="0"/>
                <w:szCs w:val="22"/>
                <w:lang w:val="en-US" w:eastAsia="en-US" w:bidi="ar-SA"/>
              </w:rPr>
              <w:t>Active account + 2 years</w:t>
            </w:r>
          </w:p>
        </w:tc>
        <w:tc>
          <w:tcPr>
            <w:tcW w:w="216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Account deletion request</w:t>
            </w:r>
          </w:p>
        </w:tc>
        <w:tc>
          <w:tcPr>
            <w:tcW w:w="216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Consent + KYC obligation</w:t>
            </w:r>
          </w:p>
        </w:tc>
      </w:tr>
      <w:tr>
        <w:trPr/>
        <w:tc>
          <w:tcPr>
            <w:tcW w:w="216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National ID back image</w:t>
            </w:r>
          </w:p>
        </w:tc>
        <w:tc>
          <w:tcPr>
            <w:tcW w:w="2160" w:type="dxa"/>
            <w:tcBorders/>
          </w:tcPr>
          <w:p>
            <w:pPr>
              <w:pStyle w:val="Normal"/>
              <w:widowControl/>
              <w:spacing w:lineRule="auto" w:line="240" w:before="0" w:after="0"/>
              <w:jc w:val="start"/>
              <w:rPr>
                <w:rFonts w:cs=""/>
                <w:kern w:val="0"/>
                <w:szCs w:val="22"/>
                <w:lang w:val="en-US" w:eastAsia="en-US" w:bidi="ar-SA"/>
              </w:rPr>
            </w:pPr>
            <w:r>
              <w:rPr>
                <w:rFonts w:cs=""/>
                <w:b/>
                <w:kern w:val="0"/>
                <w:szCs w:val="22"/>
                <w:lang w:val="en-US" w:eastAsia="en-US" w:bidi="ar-SA"/>
              </w:rPr>
              <w:t>Active account + 2 years</w:t>
            </w:r>
          </w:p>
        </w:tc>
        <w:tc>
          <w:tcPr>
            <w:tcW w:w="216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Account deletion request</w:t>
            </w:r>
          </w:p>
        </w:tc>
        <w:tc>
          <w:tcPr>
            <w:tcW w:w="216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Consent + KYC obligation</w:t>
            </w:r>
          </w:p>
        </w:tc>
      </w:tr>
      <w:tr>
        <w:trPr/>
        <w:tc>
          <w:tcPr>
            <w:tcW w:w="2160" w:type="dxa"/>
            <w:tcBorders/>
          </w:tcPr>
          <w:p>
            <w:pPr>
              <w:pStyle w:val="Normal"/>
              <w:widowControl/>
              <w:spacing w:lineRule="auto" w:line="240" w:before="0" w:after="0"/>
              <w:jc w:val="start"/>
              <w:rPr>
                <w:rFonts w:cs=""/>
                <w:kern w:val="0"/>
                <w:szCs w:val="22"/>
                <w:lang w:val="en-US" w:eastAsia="en-US" w:bidi="ar-SA"/>
              </w:rPr>
            </w:pPr>
            <w:r>
              <w:rPr>
                <w:rFonts w:cs=""/>
                <w:b/>
                <w:kern w:val="0"/>
                <w:szCs w:val="22"/>
                <w:lang w:val="en-US" w:eastAsia="en-US" w:bidi="ar-SA"/>
              </w:rPr>
              <w:t>Selfie photo (biometric)</w:t>
            </w:r>
          </w:p>
        </w:tc>
        <w:tc>
          <w:tcPr>
            <w:tcW w:w="2160" w:type="dxa"/>
            <w:tcBorders/>
          </w:tcPr>
          <w:p>
            <w:pPr>
              <w:pStyle w:val="Normal"/>
              <w:widowControl/>
              <w:spacing w:lineRule="auto" w:line="240" w:before="0" w:after="0"/>
              <w:jc w:val="start"/>
              <w:rPr>
                <w:rFonts w:cs=""/>
                <w:kern w:val="0"/>
                <w:szCs w:val="22"/>
                <w:lang w:val="en-US" w:eastAsia="en-US" w:bidi="ar-SA"/>
              </w:rPr>
            </w:pPr>
            <w:r>
              <w:rPr>
                <w:rFonts w:cs=""/>
                <w:b/>
                <w:kern w:val="0"/>
                <w:szCs w:val="22"/>
                <w:lang w:val="en-US" w:eastAsia="en-US" w:bidi="ar-SA"/>
              </w:rPr>
              <w:t>Active account + 2 years</w:t>
            </w:r>
          </w:p>
        </w:tc>
        <w:tc>
          <w:tcPr>
            <w:tcW w:w="216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Account deletion request</w:t>
            </w:r>
          </w:p>
        </w:tc>
        <w:tc>
          <w:tcPr>
            <w:tcW w:w="216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Consent + data minimisation</w:t>
            </w:r>
          </w:p>
        </w:tc>
      </w:tr>
    </w:tbl>
    <w:p>
      <w:pPr>
        <w:pStyle w:val="Normal"/>
        <w:rPr/>
      </w:pPr>
      <w:r>
        <w:rPr/>
      </w:r>
    </w:p>
    <w:p>
      <w:pPr>
        <w:pStyle w:val="Normal"/>
        <w:shd w:val="clear" w:color="auto" w:fill="F2F2F2"/>
        <w:rPr/>
      </w:pPr>
      <w:r>
        <w:rPr>
          <w:b/>
          <w:sz w:val="20"/>
        </w:rPr>
        <w:t>Important:</w:t>
      </w:r>
      <w:r>
        <w:rPr>
          <w:sz w:val="20"/>
        </w:rPr>
        <w:t xml:space="preserve"> If a user requests account deletion, all KYC documents (NID + selfie) must be deleted within </w:t>
      </w:r>
      <w:r>
        <w:rPr>
          <w:b/>
          <w:sz w:val="20"/>
        </w:rPr>
        <w:t>30 days</w:t>
      </w:r>
      <w:r>
        <w:rPr>
          <w:sz w:val="20"/>
        </w:rPr>
        <w:t xml:space="preserve"> of receiving the request.</w:t>
      </w:r>
    </w:p>
    <w:p>
      <w:pPr>
        <w:pStyle w:val="Heading3"/>
        <w:rPr/>
      </w:pPr>
      <w:r>
        <w:rPr>
          <w:color w:val="000000"/>
        </w:rPr>
        <w:t>3.3 Transaction &amp; financial data</w:t>
      </w:r>
    </w:p>
    <w:tbl>
      <w:tblPr>
        <w:tblStyle w:val="TableGrid"/>
        <w:tblW w:w="864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880"/>
        <w:gridCol w:w="2880"/>
        <w:gridCol w:w="2880"/>
      </w:tblGrid>
      <w:tr>
        <w:trPr/>
        <w:tc>
          <w:tcPr>
            <w:tcW w:w="2880" w:type="dxa"/>
            <w:tcBorders/>
          </w:tcPr>
          <w:p>
            <w:pPr>
              <w:pStyle w:val="Normal"/>
              <w:widowControl/>
              <w:spacing w:lineRule="auto" w:line="240" w:before="0" w:after="0"/>
              <w:jc w:val="start"/>
              <w:rPr>
                <w:rFonts w:cs=""/>
                <w:kern w:val="0"/>
                <w:szCs w:val="22"/>
                <w:lang w:val="en-US" w:eastAsia="en-US" w:bidi="ar-SA"/>
              </w:rPr>
            </w:pPr>
            <w:r>
              <w:rPr>
                <w:rFonts w:cs=""/>
                <w:b/>
                <w:kern w:val="0"/>
                <w:szCs w:val="22"/>
                <w:lang w:val="en-US" w:eastAsia="en-US" w:bidi="ar-SA"/>
              </w:rPr>
              <w:t>Data category</w:t>
            </w:r>
          </w:p>
        </w:tc>
        <w:tc>
          <w:tcPr>
            <w:tcW w:w="2880" w:type="dxa"/>
            <w:tcBorders/>
          </w:tcPr>
          <w:p>
            <w:pPr>
              <w:pStyle w:val="Normal"/>
              <w:widowControl/>
              <w:spacing w:lineRule="auto" w:line="240" w:before="0" w:after="0"/>
              <w:jc w:val="start"/>
              <w:rPr>
                <w:rFonts w:cs=""/>
                <w:kern w:val="0"/>
                <w:szCs w:val="22"/>
                <w:lang w:val="en-US" w:eastAsia="en-US" w:bidi="ar-SA"/>
              </w:rPr>
            </w:pPr>
            <w:r>
              <w:rPr>
                <w:rFonts w:cs=""/>
                <w:b/>
                <w:kern w:val="0"/>
                <w:szCs w:val="22"/>
                <w:lang w:val="en-US" w:eastAsia="en-US" w:bidi="ar-SA"/>
              </w:rPr>
              <w:t>Retention period</w:t>
            </w:r>
          </w:p>
        </w:tc>
        <w:tc>
          <w:tcPr>
            <w:tcW w:w="2880" w:type="dxa"/>
            <w:tcBorders/>
          </w:tcPr>
          <w:p>
            <w:pPr>
              <w:pStyle w:val="Normal"/>
              <w:widowControl/>
              <w:spacing w:lineRule="auto" w:line="240" w:before="0" w:after="0"/>
              <w:jc w:val="start"/>
              <w:rPr>
                <w:rFonts w:cs=""/>
                <w:kern w:val="0"/>
                <w:szCs w:val="22"/>
                <w:lang w:val="en-US" w:eastAsia="en-US" w:bidi="ar-SA"/>
              </w:rPr>
            </w:pPr>
            <w:r>
              <w:rPr>
                <w:rFonts w:cs=""/>
                <w:b/>
                <w:kern w:val="0"/>
                <w:szCs w:val="22"/>
                <w:lang w:val="en-US" w:eastAsia="en-US" w:bidi="ar-SA"/>
              </w:rPr>
              <w:t>Legal basis</w:t>
            </w:r>
          </w:p>
        </w:tc>
      </w:tr>
      <w:tr>
        <w:trPr/>
        <w:tc>
          <w:tcPr>
            <w:tcW w:w="288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Transaction records</w:t>
            </w:r>
          </w:p>
        </w:tc>
        <w:tc>
          <w:tcPr>
            <w:tcW w:w="2880" w:type="dxa"/>
            <w:tcBorders/>
          </w:tcPr>
          <w:p>
            <w:pPr>
              <w:pStyle w:val="Normal"/>
              <w:widowControl/>
              <w:spacing w:lineRule="auto" w:line="240" w:before="0" w:after="0"/>
              <w:jc w:val="start"/>
              <w:rPr>
                <w:rFonts w:cs=""/>
                <w:kern w:val="0"/>
                <w:szCs w:val="22"/>
                <w:lang w:val="en-US" w:eastAsia="en-US" w:bidi="ar-SA"/>
              </w:rPr>
            </w:pPr>
            <w:r>
              <w:rPr>
                <w:rFonts w:cs=""/>
                <w:b/>
                <w:kern w:val="0"/>
                <w:szCs w:val="22"/>
                <w:lang w:val="en-US" w:eastAsia="en-US" w:bidi="ar-SA"/>
              </w:rPr>
              <w:t>7 years</w:t>
            </w:r>
            <w:r>
              <w:rPr>
                <w:rFonts w:cs=""/>
                <w:kern w:val="0"/>
                <w:szCs w:val="22"/>
                <w:lang w:val="en-US" w:eastAsia="en-US" w:bidi="ar-SA"/>
              </w:rPr>
              <w:t xml:space="preserve"> after transaction</w:t>
            </w:r>
          </w:p>
        </w:tc>
        <w:tc>
          <w:tcPr>
            <w:tcW w:w="288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Legal obligation (Rwanda financial regulations)</w:t>
            </w:r>
          </w:p>
        </w:tc>
      </w:tr>
      <w:tr>
        <w:trPr/>
        <w:tc>
          <w:tcPr>
            <w:tcW w:w="288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Commission records</w:t>
            </w:r>
          </w:p>
        </w:tc>
        <w:tc>
          <w:tcPr>
            <w:tcW w:w="2880" w:type="dxa"/>
            <w:tcBorders/>
          </w:tcPr>
          <w:p>
            <w:pPr>
              <w:pStyle w:val="Normal"/>
              <w:widowControl/>
              <w:spacing w:lineRule="auto" w:line="240" w:before="0" w:after="0"/>
              <w:jc w:val="start"/>
              <w:rPr>
                <w:rFonts w:cs=""/>
                <w:kern w:val="0"/>
                <w:szCs w:val="22"/>
                <w:lang w:val="en-US" w:eastAsia="en-US" w:bidi="ar-SA"/>
              </w:rPr>
            </w:pPr>
            <w:r>
              <w:rPr>
                <w:rFonts w:cs=""/>
                <w:b/>
                <w:kern w:val="0"/>
                <w:szCs w:val="22"/>
                <w:lang w:val="en-US" w:eastAsia="en-US" w:bidi="ar-SA"/>
              </w:rPr>
              <w:t>7 years</w:t>
            </w:r>
            <w:r>
              <w:rPr>
                <w:rFonts w:cs=""/>
                <w:kern w:val="0"/>
                <w:szCs w:val="22"/>
                <w:lang w:val="en-US" w:eastAsia="en-US" w:bidi="ar-SA"/>
              </w:rPr>
              <w:t xml:space="preserve"> after transaction</w:t>
            </w:r>
          </w:p>
        </w:tc>
        <w:tc>
          <w:tcPr>
            <w:tcW w:w="288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Legal obligation</w:t>
            </w:r>
          </w:p>
        </w:tc>
      </w:tr>
      <w:tr>
        <w:trPr/>
        <w:tc>
          <w:tcPr>
            <w:tcW w:w="288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Payment method references</w:t>
            </w:r>
          </w:p>
        </w:tc>
        <w:tc>
          <w:tcPr>
            <w:tcW w:w="2880" w:type="dxa"/>
            <w:tcBorders/>
          </w:tcPr>
          <w:p>
            <w:pPr>
              <w:pStyle w:val="Normal"/>
              <w:widowControl/>
              <w:spacing w:lineRule="auto" w:line="240" w:before="0" w:after="0"/>
              <w:jc w:val="start"/>
              <w:rPr>
                <w:rFonts w:cs=""/>
                <w:kern w:val="0"/>
                <w:szCs w:val="22"/>
                <w:lang w:val="en-US" w:eastAsia="en-US" w:bidi="ar-SA"/>
              </w:rPr>
            </w:pPr>
            <w:r>
              <w:rPr>
                <w:rFonts w:cs=""/>
                <w:b/>
                <w:kern w:val="0"/>
                <w:szCs w:val="22"/>
                <w:lang w:val="en-US" w:eastAsia="en-US" w:bidi="ar-SA"/>
              </w:rPr>
              <w:t>Until account closure + 2 years</w:t>
            </w:r>
          </w:p>
        </w:tc>
        <w:tc>
          <w:tcPr>
            <w:tcW w:w="288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Contractual necessity</w:t>
            </w:r>
          </w:p>
        </w:tc>
      </w:tr>
    </w:tbl>
    <w:p>
      <w:pPr>
        <w:pStyle w:val="Normal"/>
        <w:rPr/>
      </w:pPr>
      <w:r>
        <w:rPr/>
      </w:r>
    </w:p>
    <w:p>
      <w:pPr>
        <w:pStyle w:val="Heading3"/>
        <w:rPr/>
      </w:pPr>
      <w:r>
        <w:rPr>
          <w:color w:val="000000"/>
        </w:rPr>
        <w:t>3.4 Communications &amp; support</w:t>
      </w:r>
    </w:p>
    <w:tbl>
      <w:tblPr>
        <w:tblStyle w:val="TableGrid"/>
        <w:tblW w:w="864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880"/>
        <w:gridCol w:w="2880"/>
        <w:gridCol w:w="2880"/>
      </w:tblGrid>
      <w:tr>
        <w:trPr/>
        <w:tc>
          <w:tcPr>
            <w:tcW w:w="2880" w:type="dxa"/>
            <w:tcBorders/>
          </w:tcPr>
          <w:p>
            <w:pPr>
              <w:pStyle w:val="Normal"/>
              <w:widowControl/>
              <w:spacing w:lineRule="auto" w:line="240" w:before="0" w:after="0"/>
              <w:jc w:val="start"/>
              <w:rPr>
                <w:rFonts w:cs=""/>
                <w:kern w:val="0"/>
                <w:szCs w:val="22"/>
                <w:lang w:val="en-US" w:eastAsia="en-US" w:bidi="ar-SA"/>
              </w:rPr>
            </w:pPr>
            <w:r>
              <w:rPr>
                <w:rFonts w:cs=""/>
                <w:b/>
                <w:kern w:val="0"/>
                <w:szCs w:val="22"/>
                <w:lang w:val="en-US" w:eastAsia="en-US" w:bidi="ar-SA"/>
              </w:rPr>
              <w:t>Data category</w:t>
            </w:r>
          </w:p>
        </w:tc>
        <w:tc>
          <w:tcPr>
            <w:tcW w:w="2880" w:type="dxa"/>
            <w:tcBorders/>
          </w:tcPr>
          <w:p>
            <w:pPr>
              <w:pStyle w:val="Normal"/>
              <w:widowControl/>
              <w:spacing w:lineRule="auto" w:line="240" w:before="0" w:after="0"/>
              <w:jc w:val="start"/>
              <w:rPr>
                <w:rFonts w:cs=""/>
                <w:kern w:val="0"/>
                <w:szCs w:val="22"/>
                <w:lang w:val="en-US" w:eastAsia="en-US" w:bidi="ar-SA"/>
              </w:rPr>
            </w:pPr>
            <w:r>
              <w:rPr>
                <w:rFonts w:cs=""/>
                <w:b/>
                <w:kern w:val="0"/>
                <w:szCs w:val="22"/>
                <w:lang w:val="en-US" w:eastAsia="en-US" w:bidi="ar-SA"/>
              </w:rPr>
              <w:t>Retention period</w:t>
            </w:r>
          </w:p>
        </w:tc>
        <w:tc>
          <w:tcPr>
            <w:tcW w:w="2880" w:type="dxa"/>
            <w:tcBorders/>
          </w:tcPr>
          <w:p>
            <w:pPr>
              <w:pStyle w:val="Normal"/>
              <w:widowControl/>
              <w:spacing w:lineRule="auto" w:line="240" w:before="0" w:after="0"/>
              <w:jc w:val="start"/>
              <w:rPr>
                <w:rFonts w:cs=""/>
                <w:kern w:val="0"/>
                <w:szCs w:val="22"/>
                <w:lang w:val="en-US" w:eastAsia="en-US" w:bidi="ar-SA"/>
              </w:rPr>
            </w:pPr>
            <w:r>
              <w:rPr>
                <w:rFonts w:cs=""/>
                <w:b/>
                <w:kern w:val="0"/>
                <w:szCs w:val="22"/>
                <w:lang w:val="en-US" w:eastAsia="en-US" w:bidi="ar-SA"/>
              </w:rPr>
              <w:t>Legal basis</w:t>
            </w:r>
          </w:p>
        </w:tc>
      </w:tr>
      <w:tr>
        <w:trPr/>
        <w:tc>
          <w:tcPr>
            <w:tcW w:w="288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In-app messages</w:t>
            </w:r>
          </w:p>
        </w:tc>
        <w:tc>
          <w:tcPr>
            <w:tcW w:w="2880" w:type="dxa"/>
            <w:tcBorders/>
          </w:tcPr>
          <w:p>
            <w:pPr>
              <w:pStyle w:val="Normal"/>
              <w:widowControl/>
              <w:spacing w:lineRule="auto" w:line="240" w:before="0" w:after="0"/>
              <w:jc w:val="start"/>
              <w:rPr>
                <w:rFonts w:cs=""/>
                <w:kern w:val="0"/>
                <w:szCs w:val="22"/>
                <w:lang w:val="en-US" w:eastAsia="en-US" w:bidi="ar-SA"/>
              </w:rPr>
            </w:pPr>
            <w:r>
              <w:rPr>
                <w:rFonts w:cs=""/>
                <w:b/>
                <w:kern w:val="0"/>
                <w:szCs w:val="22"/>
                <w:lang w:val="en-US" w:eastAsia="en-US" w:bidi="ar-SA"/>
              </w:rPr>
              <w:t>Until account deletion + 2 years</w:t>
            </w:r>
          </w:p>
        </w:tc>
        <w:tc>
          <w:tcPr>
            <w:tcW w:w="288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Contractual necessity</w:t>
            </w:r>
          </w:p>
        </w:tc>
      </w:tr>
      <w:tr>
        <w:trPr/>
        <w:tc>
          <w:tcPr>
            <w:tcW w:w="288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Message attachments</w:t>
            </w:r>
          </w:p>
        </w:tc>
        <w:tc>
          <w:tcPr>
            <w:tcW w:w="2880" w:type="dxa"/>
            <w:tcBorders/>
          </w:tcPr>
          <w:p>
            <w:pPr>
              <w:pStyle w:val="Normal"/>
              <w:widowControl/>
              <w:spacing w:lineRule="auto" w:line="240" w:before="0" w:after="0"/>
              <w:jc w:val="start"/>
              <w:rPr>
                <w:rFonts w:cs=""/>
                <w:kern w:val="0"/>
                <w:szCs w:val="22"/>
                <w:lang w:val="en-US" w:eastAsia="en-US" w:bidi="ar-SA"/>
              </w:rPr>
            </w:pPr>
            <w:r>
              <w:rPr>
                <w:rFonts w:cs=""/>
                <w:b/>
                <w:kern w:val="0"/>
                <w:szCs w:val="22"/>
                <w:lang w:val="en-US" w:eastAsia="en-US" w:bidi="ar-SA"/>
              </w:rPr>
              <w:t>Until account deletion + 2 years</w:t>
            </w:r>
          </w:p>
        </w:tc>
        <w:tc>
          <w:tcPr>
            <w:tcW w:w="288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Contractual necessity</w:t>
            </w:r>
          </w:p>
        </w:tc>
      </w:tr>
      <w:tr>
        <w:trPr/>
        <w:tc>
          <w:tcPr>
            <w:tcW w:w="288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Support tickets</w:t>
            </w:r>
          </w:p>
        </w:tc>
        <w:tc>
          <w:tcPr>
            <w:tcW w:w="2880" w:type="dxa"/>
            <w:tcBorders/>
          </w:tcPr>
          <w:p>
            <w:pPr>
              <w:pStyle w:val="Normal"/>
              <w:widowControl/>
              <w:spacing w:lineRule="auto" w:line="240" w:before="0" w:after="0"/>
              <w:jc w:val="start"/>
              <w:rPr>
                <w:rFonts w:cs=""/>
                <w:kern w:val="0"/>
                <w:szCs w:val="22"/>
                <w:lang w:val="en-US" w:eastAsia="en-US" w:bidi="ar-SA"/>
              </w:rPr>
            </w:pPr>
            <w:r>
              <w:rPr>
                <w:rFonts w:cs=""/>
                <w:b/>
                <w:kern w:val="0"/>
                <w:szCs w:val="22"/>
                <w:lang w:val="en-US" w:eastAsia="en-US" w:bidi="ar-SA"/>
              </w:rPr>
              <w:t>Resolution + 1 year</w:t>
            </w:r>
          </w:p>
        </w:tc>
        <w:tc>
          <w:tcPr>
            <w:tcW w:w="288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Legitimate interest</w:t>
            </w:r>
          </w:p>
        </w:tc>
      </w:tr>
    </w:tbl>
    <w:p>
      <w:pPr>
        <w:pStyle w:val="Normal"/>
        <w:rPr/>
      </w:pPr>
      <w:r>
        <w:rPr/>
      </w:r>
    </w:p>
    <w:p>
      <w:pPr>
        <w:pStyle w:val="Heading3"/>
        <w:rPr/>
      </w:pPr>
      <w:r>
        <w:rPr>
          <w:color w:val="000000"/>
        </w:rPr>
        <w:t>3.5 Technical / logs</w:t>
      </w:r>
    </w:p>
    <w:tbl>
      <w:tblPr>
        <w:tblStyle w:val="TableGrid"/>
        <w:tblW w:w="864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880"/>
        <w:gridCol w:w="2880"/>
        <w:gridCol w:w="2880"/>
      </w:tblGrid>
      <w:tr>
        <w:trPr/>
        <w:tc>
          <w:tcPr>
            <w:tcW w:w="2880" w:type="dxa"/>
            <w:tcBorders/>
          </w:tcPr>
          <w:p>
            <w:pPr>
              <w:pStyle w:val="Normal"/>
              <w:widowControl/>
              <w:spacing w:lineRule="auto" w:line="240" w:before="0" w:after="0"/>
              <w:jc w:val="start"/>
              <w:rPr>
                <w:rFonts w:cs=""/>
                <w:kern w:val="0"/>
                <w:szCs w:val="22"/>
                <w:lang w:val="en-US" w:eastAsia="en-US" w:bidi="ar-SA"/>
              </w:rPr>
            </w:pPr>
            <w:r>
              <w:rPr>
                <w:rFonts w:cs=""/>
                <w:b/>
                <w:kern w:val="0"/>
                <w:szCs w:val="22"/>
                <w:lang w:val="en-US" w:eastAsia="en-US" w:bidi="ar-SA"/>
              </w:rPr>
              <w:t>Data category</w:t>
            </w:r>
          </w:p>
        </w:tc>
        <w:tc>
          <w:tcPr>
            <w:tcW w:w="2880" w:type="dxa"/>
            <w:tcBorders/>
          </w:tcPr>
          <w:p>
            <w:pPr>
              <w:pStyle w:val="Normal"/>
              <w:widowControl/>
              <w:spacing w:lineRule="auto" w:line="240" w:before="0" w:after="0"/>
              <w:jc w:val="start"/>
              <w:rPr>
                <w:rFonts w:cs=""/>
                <w:kern w:val="0"/>
                <w:szCs w:val="22"/>
                <w:lang w:val="en-US" w:eastAsia="en-US" w:bidi="ar-SA"/>
              </w:rPr>
            </w:pPr>
            <w:r>
              <w:rPr>
                <w:rFonts w:cs=""/>
                <w:b/>
                <w:kern w:val="0"/>
                <w:szCs w:val="22"/>
                <w:lang w:val="en-US" w:eastAsia="en-US" w:bidi="ar-SA"/>
              </w:rPr>
              <w:t>Retention period</w:t>
            </w:r>
          </w:p>
        </w:tc>
        <w:tc>
          <w:tcPr>
            <w:tcW w:w="2880" w:type="dxa"/>
            <w:tcBorders/>
          </w:tcPr>
          <w:p>
            <w:pPr>
              <w:pStyle w:val="Normal"/>
              <w:widowControl/>
              <w:spacing w:lineRule="auto" w:line="240" w:before="0" w:after="0"/>
              <w:jc w:val="start"/>
              <w:rPr>
                <w:rFonts w:cs=""/>
                <w:kern w:val="0"/>
                <w:szCs w:val="22"/>
                <w:lang w:val="en-US" w:eastAsia="en-US" w:bidi="ar-SA"/>
              </w:rPr>
            </w:pPr>
            <w:r>
              <w:rPr>
                <w:rFonts w:cs=""/>
                <w:b/>
                <w:kern w:val="0"/>
                <w:szCs w:val="22"/>
                <w:lang w:val="en-US" w:eastAsia="en-US" w:bidi="ar-SA"/>
              </w:rPr>
              <w:t>Legal basis</w:t>
            </w:r>
          </w:p>
        </w:tc>
      </w:tr>
      <w:tr>
        <w:trPr/>
        <w:tc>
          <w:tcPr>
            <w:tcW w:w="288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Vercel access logs (IP, device, location)</w:t>
            </w:r>
          </w:p>
        </w:tc>
        <w:tc>
          <w:tcPr>
            <w:tcW w:w="2880" w:type="dxa"/>
            <w:tcBorders/>
          </w:tcPr>
          <w:p>
            <w:pPr>
              <w:pStyle w:val="Normal"/>
              <w:widowControl/>
              <w:spacing w:lineRule="auto" w:line="240" w:before="0" w:after="0"/>
              <w:jc w:val="start"/>
              <w:rPr>
                <w:rFonts w:cs=""/>
                <w:kern w:val="0"/>
                <w:szCs w:val="22"/>
                <w:lang w:val="en-US" w:eastAsia="en-US" w:bidi="ar-SA"/>
              </w:rPr>
            </w:pPr>
            <w:r>
              <w:rPr>
                <w:rFonts w:cs=""/>
                <w:b/>
                <w:kern w:val="0"/>
                <w:szCs w:val="22"/>
                <w:lang w:val="en-US" w:eastAsia="en-US" w:bidi="ar-SA"/>
              </w:rPr>
              <w:t>1 year</w:t>
            </w:r>
          </w:p>
        </w:tc>
        <w:tc>
          <w:tcPr>
            <w:tcW w:w="288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Legitimate interest (security)</w:t>
            </w:r>
          </w:p>
        </w:tc>
      </w:tr>
      <w:tr>
        <w:trPr/>
        <w:tc>
          <w:tcPr>
            <w:tcW w:w="288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Firebase session logs</w:t>
            </w:r>
          </w:p>
        </w:tc>
        <w:tc>
          <w:tcPr>
            <w:tcW w:w="2880" w:type="dxa"/>
            <w:tcBorders/>
          </w:tcPr>
          <w:p>
            <w:pPr>
              <w:pStyle w:val="Normal"/>
              <w:widowControl/>
              <w:spacing w:lineRule="auto" w:line="240" w:before="0" w:after="0"/>
              <w:jc w:val="start"/>
              <w:rPr>
                <w:rFonts w:cs=""/>
                <w:kern w:val="0"/>
                <w:szCs w:val="22"/>
                <w:lang w:val="en-US" w:eastAsia="en-US" w:bidi="ar-SA"/>
              </w:rPr>
            </w:pPr>
            <w:r>
              <w:rPr>
                <w:rFonts w:cs=""/>
                <w:b/>
                <w:kern w:val="0"/>
                <w:szCs w:val="22"/>
                <w:lang w:val="en-US" w:eastAsia="en-US" w:bidi="ar-SA"/>
              </w:rPr>
              <w:t>30 days</w:t>
            </w:r>
          </w:p>
        </w:tc>
        <w:tc>
          <w:tcPr>
            <w:tcW w:w="288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Legitimate interest</w:t>
            </w:r>
          </w:p>
        </w:tc>
      </w:tr>
      <w:tr>
        <w:trPr/>
        <w:tc>
          <w:tcPr>
            <w:tcW w:w="288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Error/crash logs</w:t>
            </w:r>
          </w:p>
        </w:tc>
        <w:tc>
          <w:tcPr>
            <w:tcW w:w="2880" w:type="dxa"/>
            <w:tcBorders/>
          </w:tcPr>
          <w:p>
            <w:pPr>
              <w:pStyle w:val="Normal"/>
              <w:widowControl/>
              <w:spacing w:lineRule="auto" w:line="240" w:before="0" w:after="0"/>
              <w:jc w:val="start"/>
              <w:rPr>
                <w:rFonts w:cs=""/>
                <w:kern w:val="0"/>
                <w:szCs w:val="22"/>
                <w:lang w:val="en-US" w:eastAsia="en-US" w:bidi="ar-SA"/>
              </w:rPr>
            </w:pPr>
            <w:r>
              <w:rPr>
                <w:rFonts w:cs=""/>
                <w:b/>
                <w:kern w:val="0"/>
                <w:szCs w:val="22"/>
                <w:lang w:val="en-US" w:eastAsia="en-US" w:bidi="ar-SA"/>
              </w:rPr>
              <w:t>90 days</w:t>
            </w:r>
          </w:p>
        </w:tc>
        <w:tc>
          <w:tcPr>
            <w:tcW w:w="288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Legitimate interest</w:t>
            </w:r>
          </w:p>
        </w:tc>
      </w:tr>
    </w:tbl>
    <w:p>
      <w:pPr>
        <w:pStyle w:val="Normal"/>
        <w:rPr/>
      </w:pPr>
      <w:r>
        <w:rPr/>
      </w:r>
    </w:p>
    <w:p>
      <w:pPr>
        <w:pStyle w:val="Heading3"/>
        <w:rPr/>
      </w:pPr>
      <w:r>
        <w:rPr>
          <w:color w:val="000000"/>
        </w:rPr>
        <w:t>3.6 Other data</w:t>
      </w:r>
    </w:p>
    <w:tbl>
      <w:tblPr>
        <w:tblStyle w:val="TableGrid"/>
        <w:tblW w:w="864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880"/>
        <w:gridCol w:w="2880"/>
        <w:gridCol w:w="2880"/>
      </w:tblGrid>
      <w:tr>
        <w:trPr/>
        <w:tc>
          <w:tcPr>
            <w:tcW w:w="2880" w:type="dxa"/>
            <w:tcBorders/>
          </w:tcPr>
          <w:p>
            <w:pPr>
              <w:pStyle w:val="Normal"/>
              <w:widowControl/>
              <w:spacing w:lineRule="auto" w:line="240" w:before="0" w:after="0"/>
              <w:jc w:val="start"/>
              <w:rPr>
                <w:rFonts w:cs=""/>
                <w:kern w:val="0"/>
                <w:szCs w:val="22"/>
                <w:lang w:val="en-US" w:eastAsia="en-US" w:bidi="ar-SA"/>
              </w:rPr>
            </w:pPr>
            <w:r>
              <w:rPr>
                <w:rFonts w:cs=""/>
                <w:b/>
                <w:kern w:val="0"/>
                <w:szCs w:val="22"/>
                <w:lang w:val="en-US" w:eastAsia="en-US" w:bidi="ar-SA"/>
              </w:rPr>
              <w:t>Data category</w:t>
            </w:r>
          </w:p>
        </w:tc>
        <w:tc>
          <w:tcPr>
            <w:tcW w:w="2880" w:type="dxa"/>
            <w:tcBorders/>
          </w:tcPr>
          <w:p>
            <w:pPr>
              <w:pStyle w:val="Normal"/>
              <w:widowControl/>
              <w:spacing w:lineRule="auto" w:line="240" w:before="0" w:after="0"/>
              <w:jc w:val="start"/>
              <w:rPr>
                <w:rFonts w:cs=""/>
                <w:kern w:val="0"/>
                <w:szCs w:val="22"/>
                <w:lang w:val="en-US" w:eastAsia="en-US" w:bidi="ar-SA"/>
              </w:rPr>
            </w:pPr>
            <w:r>
              <w:rPr>
                <w:rFonts w:cs=""/>
                <w:b/>
                <w:kern w:val="0"/>
                <w:szCs w:val="22"/>
                <w:lang w:val="en-US" w:eastAsia="en-US" w:bidi="ar-SA"/>
              </w:rPr>
              <w:t>Retention period</w:t>
            </w:r>
          </w:p>
        </w:tc>
        <w:tc>
          <w:tcPr>
            <w:tcW w:w="2880" w:type="dxa"/>
            <w:tcBorders/>
          </w:tcPr>
          <w:p>
            <w:pPr>
              <w:pStyle w:val="Normal"/>
              <w:widowControl/>
              <w:spacing w:lineRule="auto" w:line="240" w:before="0" w:after="0"/>
              <w:jc w:val="start"/>
              <w:rPr>
                <w:rFonts w:cs=""/>
                <w:kern w:val="0"/>
                <w:szCs w:val="22"/>
                <w:lang w:val="en-US" w:eastAsia="en-US" w:bidi="ar-SA"/>
              </w:rPr>
            </w:pPr>
            <w:r>
              <w:rPr>
                <w:rFonts w:cs=""/>
                <w:b/>
                <w:kern w:val="0"/>
                <w:szCs w:val="22"/>
                <w:lang w:val="en-US" w:eastAsia="en-US" w:bidi="ar-SA"/>
              </w:rPr>
              <w:t>Legal basis</w:t>
            </w:r>
          </w:p>
        </w:tc>
      </w:tr>
      <w:tr>
        <w:trPr/>
        <w:tc>
          <w:tcPr>
            <w:tcW w:w="288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Auth tokens (Firebase)</w:t>
            </w:r>
          </w:p>
        </w:tc>
        <w:tc>
          <w:tcPr>
            <w:tcW w:w="2880" w:type="dxa"/>
            <w:tcBorders/>
          </w:tcPr>
          <w:p>
            <w:pPr>
              <w:pStyle w:val="Normal"/>
              <w:widowControl/>
              <w:spacing w:lineRule="auto" w:line="240" w:before="0" w:after="0"/>
              <w:jc w:val="start"/>
              <w:rPr>
                <w:rFonts w:cs=""/>
                <w:kern w:val="0"/>
                <w:szCs w:val="22"/>
                <w:lang w:val="en-US" w:eastAsia="en-US" w:bidi="ar-SA"/>
              </w:rPr>
            </w:pPr>
            <w:r>
              <w:rPr>
                <w:rFonts w:cs=""/>
                <w:b/>
                <w:kern w:val="0"/>
                <w:szCs w:val="22"/>
                <w:lang w:val="en-US" w:eastAsia="en-US" w:bidi="ar-SA"/>
              </w:rPr>
              <w:t>Session end</w:t>
            </w:r>
          </w:p>
        </w:tc>
        <w:tc>
          <w:tcPr>
            <w:tcW w:w="288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Automatic expiry</w:t>
            </w:r>
          </w:p>
        </w:tc>
      </w:tr>
      <w:tr>
        <w:trPr/>
        <w:tc>
          <w:tcPr>
            <w:tcW w:w="288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Analytics/aggregated data</w:t>
            </w:r>
          </w:p>
        </w:tc>
        <w:tc>
          <w:tcPr>
            <w:tcW w:w="2880" w:type="dxa"/>
            <w:tcBorders/>
          </w:tcPr>
          <w:p>
            <w:pPr>
              <w:pStyle w:val="Normal"/>
              <w:widowControl/>
              <w:spacing w:lineRule="auto" w:line="240" w:before="0" w:after="0"/>
              <w:jc w:val="start"/>
              <w:rPr>
                <w:rFonts w:cs=""/>
                <w:kern w:val="0"/>
                <w:szCs w:val="22"/>
                <w:lang w:val="en-US" w:eastAsia="en-US" w:bidi="ar-SA"/>
              </w:rPr>
            </w:pPr>
            <w:r>
              <w:rPr>
                <w:rFonts w:cs=""/>
                <w:b/>
                <w:kern w:val="0"/>
                <w:szCs w:val="22"/>
                <w:lang w:val="en-US" w:eastAsia="en-US" w:bidi="ar-SA"/>
              </w:rPr>
              <w:t>2 years</w:t>
            </w:r>
            <w:r>
              <w:rPr>
                <w:rFonts w:cs=""/>
                <w:kern w:val="0"/>
                <w:szCs w:val="22"/>
                <w:lang w:val="en-US" w:eastAsia="en-US" w:bidi="ar-SA"/>
              </w:rPr>
              <w:t xml:space="preserve"> (anonymised)</w:t>
            </w:r>
          </w:p>
        </w:tc>
        <w:tc>
          <w:tcPr>
            <w:tcW w:w="288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Legitimate interest</w:t>
            </w:r>
          </w:p>
        </w:tc>
      </w:tr>
      <w:tr>
        <w:trPr/>
        <w:tc>
          <w:tcPr>
            <w:tcW w:w="288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DPIA documents</w:t>
            </w:r>
          </w:p>
        </w:tc>
        <w:tc>
          <w:tcPr>
            <w:tcW w:w="2880" w:type="dxa"/>
            <w:tcBorders/>
          </w:tcPr>
          <w:p>
            <w:pPr>
              <w:pStyle w:val="Normal"/>
              <w:widowControl/>
              <w:spacing w:lineRule="auto" w:line="240" w:before="0" w:after="0"/>
              <w:jc w:val="start"/>
              <w:rPr>
                <w:rFonts w:cs=""/>
                <w:kern w:val="0"/>
                <w:szCs w:val="22"/>
                <w:lang w:val="en-US" w:eastAsia="en-US" w:bidi="ar-SA"/>
              </w:rPr>
            </w:pPr>
            <w:r>
              <w:rPr>
                <w:rFonts w:cs=""/>
                <w:b/>
                <w:kern w:val="0"/>
                <w:szCs w:val="22"/>
                <w:lang w:val="en-US" w:eastAsia="en-US" w:bidi="ar-SA"/>
              </w:rPr>
              <w:t>10 years</w:t>
            </w:r>
          </w:p>
        </w:tc>
        <w:tc>
          <w:tcPr>
            <w:tcW w:w="288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Legal obligation</w:t>
            </w:r>
          </w:p>
        </w:tc>
      </w:tr>
      <w:tr>
        <w:trPr/>
        <w:tc>
          <w:tcPr>
            <w:tcW w:w="288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Data Protection Agreements</w:t>
            </w:r>
          </w:p>
        </w:tc>
        <w:tc>
          <w:tcPr>
            <w:tcW w:w="2880" w:type="dxa"/>
            <w:tcBorders/>
          </w:tcPr>
          <w:p>
            <w:pPr>
              <w:pStyle w:val="Normal"/>
              <w:widowControl/>
              <w:spacing w:lineRule="auto" w:line="240" w:before="0" w:after="0"/>
              <w:jc w:val="start"/>
              <w:rPr>
                <w:rFonts w:cs=""/>
                <w:kern w:val="0"/>
                <w:szCs w:val="22"/>
                <w:lang w:val="en-US" w:eastAsia="en-US" w:bidi="ar-SA"/>
              </w:rPr>
            </w:pPr>
            <w:r>
              <w:rPr>
                <w:rFonts w:cs=""/>
                <w:b/>
                <w:kern w:val="0"/>
                <w:szCs w:val="22"/>
                <w:lang w:val="en-US" w:eastAsia="en-US" w:bidi="ar-SA"/>
              </w:rPr>
              <w:t>10 years</w:t>
            </w:r>
          </w:p>
        </w:tc>
        <w:tc>
          <w:tcPr>
            <w:tcW w:w="288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Legal obligation</w:t>
            </w:r>
          </w:p>
        </w:tc>
      </w:tr>
    </w:tbl>
    <w:p>
      <w:pPr>
        <w:pStyle w:val="Normal"/>
        <w:rPr/>
      </w:pPr>
      <w:r>
        <w:rPr/>
      </w:r>
    </w:p>
    <w:p>
      <w:pPr>
        <w:pStyle w:val="Normal"/>
        <w:pBdr>
          <w:bottom w:val="single" w:sz="6" w:space="1" w:color="666666"/>
        </w:pBdr>
        <w:rPr/>
      </w:pPr>
      <w:r>
        <w:rPr/>
      </w:r>
    </w:p>
    <w:p>
      <w:pPr>
        <w:pStyle w:val="Heading2"/>
        <w:rPr/>
      </w:pPr>
      <w:r>
        <w:rPr>
          <w:color w:val="000000"/>
        </w:rPr>
        <w:t>4. DELETION METHODS</w:t>
      </w:r>
    </w:p>
    <w:p>
      <w:pPr>
        <w:pStyle w:val="Heading3"/>
        <w:rPr/>
      </w:pPr>
      <w:r>
        <w:rPr>
          <w:color w:val="000000"/>
        </w:rPr>
        <w:t>4.1 Automated deletion</w:t>
      </w:r>
    </w:p>
    <w:tbl>
      <w:tblPr>
        <w:tblStyle w:val="TableGrid"/>
        <w:tblW w:w="864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880"/>
        <w:gridCol w:w="2880"/>
        <w:gridCol w:w="2880"/>
      </w:tblGrid>
      <w:tr>
        <w:trPr/>
        <w:tc>
          <w:tcPr>
            <w:tcW w:w="2880" w:type="dxa"/>
            <w:tcBorders/>
          </w:tcPr>
          <w:p>
            <w:pPr>
              <w:pStyle w:val="Normal"/>
              <w:widowControl/>
              <w:spacing w:lineRule="auto" w:line="240" w:before="0" w:after="0"/>
              <w:jc w:val="start"/>
              <w:rPr>
                <w:rFonts w:cs=""/>
                <w:kern w:val="0"/>
                <w:szCs w:val="22"/>
                <w:lang w:val="en-US" w:eastAsia="en-US" w:bidi="ar-SA"/>
              </w:rPr>
            </w:pPr>
            <w:r>
              <w:rPr>
                <w:rFonts w:cs=""/>
                <w:b/>
                <w:kern w:val="0"/>
                <w:szCs w:val="22"/>
                <w:lang w:val="en-US" w:eastAsia="en-US" w:bidi="ar-SA"/>
              </w:rPr>
              <w:t>System</w:t>
            </w:r>
          </w:p>
        </w:tc>
        <w:tc>
          <w:tcPr>
            <w:tcW w:w="2880" w:type="dxa"/>
            <w:tcBorders/>
          </w:tcPr>
          <w:p>
            <w:pPr>
              <w:pStyle w:val="Normal"/>
              <w:widowControl/>
              <w:spacing w:lineRule="auto" w:line="240" w:before="0" w:after="0"/>
              <w:jc w:val="start"/>
              <w:rPr>
                <w:rFonts w:cs=""/>
                <w:kern w:val="0"/>
                <w:szCs w:val="22"/>
                <w:lang w:val="en-US" w:eastAsia="en-US" w:bidi="ar-SA"/>
              </w:rPr>
            </w:pPr>
            <w:r>
              <w:rPr>
                <w:rFonts w:cs=""/>
                <w:b/>
                <w:kern w:val="0"/>
                <w:szCs w:val="22"/>
                <w:lang w:val="en-US" w:eastAsia="en-US" w:bidi="ar-SA"/>
              </w:rPr>
              <w:t>Trigger</w:t>
            </w:r>
          </w:p>
        </w:tc>
        <w:tc>
          <w:tcPr>
            <w:tcW w:w="2880" w:type="dxa"/>
            <w:tcBorders/>
          </w:tcPr>
          <w:p>
            <w:pPr>
              <w:pStyle w:val="Normal"/>
              <w:widowControl/>
              <w:spacing w:lineRule="auto" w:line="240" w:before="0" w:after="0"/>
              <w:jc w:val="start"/>
              <w:rPr>
                <w:rFonts w:cs=""/>
                <w:kern w:val="0"/>
                <w:szCs w:val="22"/>
                <w:lang w:val="en-US" w:eastAsia="en-US" w:bidi="ar-SA"/>
              </w:rPr>
            </w:pPr>
            <w:r>
              <w:rPr>
                <w:rFonts w:cs=""/>
                <w:b/>
                <w:kern w:val="0"/>
                <w:szCs w:val="22"/>
                <w:lang w:val="en-US" w:eastAsia="en-US" w:bidi="ar-SA"/>
              </w:rPr>
              <w:t>Method</w:t>
            </w:r>
          </w:p>
        </w:tc>
      </w:tr>
      <w:tr>
        <w:trPr/>
        <w:tc>
          <w:tcPr>
            <w:tcW w:w="288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Firebase Auth tokens</w:t>
            </w:r>
          </w:p>
        </w:tc>
        <w:tc>
          <w:tcPr>
            <w:tcW w:w="288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Session timeout</w:t>
            </w:r>
          </w:p>
        </w:tc>
        <w:tc>
          <w:tcPr>
            <w:tcW w:w="288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Automatic expiry by Firebase</w:t>
            </w:r>
          </w:p>
        </w:tc>
      </w:tr>
      <w:tr>
        <w:trPr/>
        <w:tc>
          <w:tcPr>
            <w:tcW w:w="288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Vercel access logs</w:t>
            </w:r>
          </w:p>
        </w:tc>
        <w:tc>
          <w:tcPr>
            <w:tcW w:w="288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1 year</w:t>
            </w:r>
          </w:p>
        </w:tc>
        <w:tc>
          <w:tcPr>
            <w:tcW w:w="288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Automatic purge (Vercel default)</w:t>
            </w:r>
          </w:p>
        </w:tc>
      </w:tr>
      <w:tr>
        <w:trPr/>
        <w:tc>
          <w:tcPr>
            <w:tcW w:w="288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Firebase session logs</w:t>
            </w:r>
          </w:p>
        </w:tc>
        <w:tc>
          <w:tcPr>
            <w:tcW w:w="288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30 days</w:t>
            </w:r>
          </w:p>
        </w:tc>
        <w:tc>
          <w:tcPr>
            <w:tcW w:w="288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Automatic purge</w:t>
            </w:r>
          </w:p>
        </w:tc>
      </w:tr>
      <w:tr>
        <w:trPr/>
        <w:tc>
          <w:tcPr>
            <w:tcW w:w="288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Error/crash logs</w:t>
            </w:r>
          </w:p>
        </w:tc>
        <w:tc>
          <w:tcPr>
            <w:tcW w:w="288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90 days</w:t>
            </w:r>
          </w:p>
        </w:tc>
        <w:tc>
          <w:tcPr>
            <w:tcW w:w="288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Automatic purge</w:t>
            </w:r>
          </w:p>
        </w:tc>
      </w:tr>
    </w:tbl>
    <w:p>
      <w:pPr>
        <w:pStyle w:val="Normal"/>
        <w:rPr/>
      </w:pPr>
      <w:r>
        <w:rPr/>
      </w:r>
    </w:p>
    <w:p>
      <w:pPr>
        <w:pStyle w:val="Heading3"/>
        <w:rPr/>
      </w:pPr>
      <w:r>
        <w:rPr>
          <w:color w:val="000000"/>
        </w:rPr>
        <w:t>4.2 Manual / process-driven deletion</w:t>
      </w:r>
    </w:p>
    <w:tbl>
      <w:tblPr>
        <w:tblStyle w:val="TableGrid"/>
        <w:tblW w:w="864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160"/>
        <w:gridCol w:w="2160"/>
        <w:gridCol w:w="2160"/>
        <w:gridCol w:w="2160"/>
      </w:tblGrid>
      <w:tr>
        <w:trPr/>
        <w:tc>
          <w:tcPr>
            <w:tcW w:w="2160" w:type="dxa"/>
            <w:tcBorders/>
          </w:tcPr>
          <w:p>
            <w:pPr>
              <w:pStyle w:val="Normal"/>
              <w:widowControl/>
              <w:spacing w:lineRule="auto" w:line="240" w:before="0" w:after="0"/>
              <w:jc w:val="start"/>
              <w:rPr>
                <w:rFonts w:cs=""/>
                <w:kern w:val="0"/>
                <w:szCs w:val="22"/>
                <w:lang w:val="en-US" w:eastAsia="en-US" w:bidi="ar-SA"/>
              </w:rPr>
            </w:pPr>
            <w:r>
              <w:rPr>
                <w:rFonts w:cs=""/>
                <w:b/>
                <w:kern w:val="0"/>
                <w:szCs w:val="22"/>
                <w:lang w:val="en-US" w:eastAsia="en-US" w:bidi="ar-SA"/>
              </w:rPr>
              <w:t>Trigger</w:t>
            </w:r>
          </w:p>
        </w:tc>
        <w:tc>
          <w:tcPr>
            <w:tcW w:w="2160" w:type="dxa"/>
            <w:tcBorders/>
          </w:tcPr>
          <w:p>
            <w:pPr>
              <w:pStyle w:val="Normal"/>
              <w:widowControl/>
              <w:spacing w:lineRule="auto" w:line="240" w:before="0" w:after="0"/>
              <w:jc w:val="start"/>
              <w:rPr>
                <w:rFonts w:cs=""/>
                <w:kern w:val="0"/>
                <w:szCs w:val="22"/>
                <w:lang w:val="en-US" w:eastAsia="en-US" w:bidi="ar-SA"/>
              </w:rPr>
            </w:pPr>
            <w:r>
              <w:rPr>
                <w:rFonts w:cs=""/>
                <w:b/>
                <w:kern w:val="0"/>
                <w:szCs w:val="22"/>
                <w:lang w:val="en-US" w:eastAsia="en-US" w:bidi="ar-SA"/>
              </w:rPr>
              <w:t>Method</w:t>
            </w:r>
          </w:p>
        </w:tc>
        <w:tc>
          <w:tcPr>
            <w:tcW w:w="2160" w:type="dxa"/>
            <w:tcBorders/>
          </w:tcPr>
          <w:p>
            <w:pPr>
              <w:pStyle w:val="Normal"/>
              <w:widowControl/>
              <w:spacing w:lineRule="auto" w:line="240" w:before="0" w:after="0"/>
              <w:jc w:val="start"/>
              <w:rPr>
                <w:rFonts w:cs=""/>
                <w:kern w:val="0"/>
                <w:szCs w:val="22"/>
                <w:lang w:val="en-US" w:eastAsia="en-US" w:bidi="ar-SA"/>
              </w:rPr>
            </w:pPr>
            <w:r>
              <w:rPr>
                <w:rFonts w:cs=""/>
                <w:b/>
                <w:kern w:val="0"/>
                <w:szCs w:val="22"/>
                <w:lang w:val="en-US" w:eastAsia="en-US" w:bidi="ar-SA"/>
              </w:rPr>
              <w:t>Owner</w:t>
            </w:r>
          </w:p>
        </w:tc>
        <w:tc>
          <w:tcPr>
            <w:tcW w:w="2160" w:type="dxa"/>
            <w:tcBorders/>
          </w:tcPr>
          <w:p>
            <w:pPr>
              <w:pStyle w:val="Normal"/>
              <w:widowControl/>
              <w:spacing w:lineRule="auto" w:line="240" w:before="0" w:after="0"/>
              <w:jc w:val="start"/>
              <w:rPr>
                <w:rFonts w:cs=""/>
                <w:kern w:val="0"/>
                <w:szCs w:val="22"/>
                <w:lang w:val="en-US" w:eastAsia="en-US" w:bidi="ar-SA"/>
              </w:rPr>
            </w:pPr>
            <w:r>
              <w:rPr>
                <w:rFonts w:cs=""/>
                <w:b/>
                <w:kern w:val="0"/>
                <w:szCs w:val="22"/>
                <w:lang w:val="en-US" w:eastAsia="en-US" w:bidi="ar-SA"/>
              </w:rPr>
              <w:t>Timeframe</w:t>
            </w:r>
          </w:p>
        </w:tc>
      </w:tr>
      <w:tr>
        <w:trPr/>
        <w:tc>
          <w:tcPr>
            <w:tcW w:w="216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User requests account deletion</w:t>
            </w:r>
          </w:p>
        </w:tc>
        <w:tc>
          <w:tcPr>
            <w:tcW w:w="2160" w:type="dxa"/>
            <w:tcBorders/>
          </w:tcPr>
          <w:p>
            <w:pPr>
              <w:pStyle w:val="Normal"/>
              <w:widowControl/>
              <w:spacing w:lineRule="auto" w:line="240" w:before="0" w:after="0"/>
              <w:jc w:val="start"/>
              <w:rPr>
                <w:rFonts w:cs=""/>
                <w:kern w:val="0"/>
                <w:szCs w:val="22"/>
                <w:lang w:val="en-US" w:eastAsia="en-US" w:bidi="ar-SA"/>
              </w:rPr>
            </w:pPr>
            <w:r>
              <w:rPr>
                <w:rFonts w:cs=""/>
                <w:kern w:val="0"/>
                <w:sz w:val="20"/>
                <w:szCs w:val="22"/>
                <w:lang w:val="en-US" w:eastAsia="en-US" w:bidi="ar-SA"/>
              </w:rPr>
              <w:t>DELETE /api/users/:id</w:t>
            </w:r>
            <w:r>
              <w:rPr>
                <w:rFonts w:cs=""/>
                <w:kern w:val="0"/>
                <w:szCs w:val="22"/>
                <w:lang w:val="en-US" w:eastAsia="en-US" w:bidi="ar-SA"/>
              </w:rPr>
              <w:t xml:space="preserve"> endpoint — removes user record + all linked data (jobs, applications, messages, notifications, verification data)</w:t>
            </w:r>
          </w:p>
        </w:tc>
        <w:tc>
          <w:tcPr>
            <w:tcW w:w="216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Developer (backend)</w:t>
            </w:r>
          </w:p>
        </w:tc>
        <w:tc>
          <w:tcPr>
            <w:tcW w:w="216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 xml:space="preserve">Within </w:t>
            </w:r>
            <w:r>
              <w:rPr>
                <w:rFonts w:cs=""/>
                <w:b/>
                <w:kern w:val="0"/>
                <w:szCs w:val="22"/>
                <w:lang w:val="en-US" w:eastAsia="en-US" w:bidi="ar-SA"/>
              </w:rPr>
              <w:t>30 days</w:t>
            </w:r>
            <w:r>
              <w:rPr>
                <w:rFonts w:cs=""/>
                <w:kern w:val="0"/>
                <w:szCs w:val="22"/>
                <w:lang w:val="en-US" w:eastAsia="en-US" w:bidi="ar-SA"/>
              </w:rPr>
              <w:t xml:space="preserve"> of request</w:t>
            </w:r>
          </w:p>
        </w:tc>
      </w:tr>
      <w:tr>
        <w:trPr/>
        <w:tc>
          <w:tcPr>
            <w:tcW w:w="216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Retention period expires (non-automated)</w:t>
            </w:r>
          </w:p>
        </w:tc>
        <w:tc>
          <w:tcPr>
            <w:tcW w:w="216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Scheduled query to identify and delete expired records</w:t>
            </w:r>
          </w:p>
        </w:tc>
        <w:tc>
          <w:tcPr>
            <w:tcW w:w="216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Developer + DPO</w:t>
            </w:r>
          </w:p>
        </w:tc>
        <w:tc>
          <w:tcPr>
            <w:tcW w:w="216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Quarterly review</w:t>
            </w:r>
          </w:p>
        </w:tc>
      </w:tr>
      <w:tr>
        <w:trPr/>
        <w:tc>
          <w:tcPr>
            <w:tcW w:w="216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Data-subject erasure request (not account deletion)</w:t>
            </w:r>
          </w:p>
        </w:tc>
        <w:tc>
          <w:tcPr>
            <w:tcW w:w="216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 xml:space="preserve">Process documented in </w:t>
            </w:r>
            <w:r>
              <w:rPr>
                <w:rFonts w:cs=""/>
                <w:kern w:val="0"/>
                <w:sz w:val="20"/>
                <w:szCs w:val="22"/>
                <w:lang w:val="en-US" w:eastAsia="en-US" w:bidi="ar-SA"/>
              </w:rPr>
              <w:t>Data_Subject_Rights_Policy.md</w:t>
            </w:r>
          </w:p>
        </w:tc>
        <w:tc>
          <w:tcPr>
            <w:tcW w:w="216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DPO + Developer</w:t>
            </w:r>
          </w:p>
        </w:tc>
        <w:tc>
          <w:tcPr>
            <w:tcW w:w="216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 xml:space="preserve">Within </w:t>
            </w:r>
            <w:r>
              <w:rPr>
                <w:rFonts w:cs=""/>
                <w:b/>
                <w:kern w:val="0"/>
                <w:szCs w:val="22"/>
                <w:lang w:val="en-US" w:eastAsia="en-US" w:bidi="ar-SA"/>
              </w:rPr>
              <w:t>30 days</w:t>
            </w:r>
          </w:p>
        </w:tc>
      </w:tr>
      <w:tr>
        <w:trPr/>
        <w:tc>
          <w:tcPr>
            <w:tcW w:w="216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Employee departure</w:t>
            </w:r>
          </w:p>
        </w:tc>
        <w:tc>
          <w:tcPr>
            <w:tcW w:w="216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Admin manually deletes staff account (if not retained)</w:t>
            </w:r>
          </w:p>
        </w:tc>
        <w:tc>
          <w:tcPr>
            <w:tcW w:w="216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Management + DPO</w:t>
            </w:r>
          </w:p>
        </w:tc>
        <w:tc>
          <w:tcPr>
            <w:tcW w:w="216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 xml:space="preserve">Within </w:t>
            </w:r>
            <w:r>
              <w:rPr>
                <w:rFonts w:cs=""/>
                <w:b/>
                <w:kern w:val="0"/>
                <w:szCs w:val="22"/>
                <w:lang w:val="en-US" w:eastAsia="en-US" w:bidi="ar-SA"/>
              </w:rPr>
              <w:t>30 days</w:t>
            </w:r>
          </w:p>
        </w:tc>
      </w:tr>
    </w:tbl>
    <w:p>
      <w:pPr>
        <w:pStyle w:val="Normal"/>
        <w:rPr/>
      </w:pPr>
      <w:r>
        <w:rPr/>
      </w:r>
    </w:p>
    <w:p>
      <w:pPr>
        <w:pStyle w:val="Heading3"/>
        <w:rPr/>
      </w:pPr>
      <w:r>
        <w:rPr>
          <w:color w:val="000000"/>
        </w:rPr>
        <w:t>4.3 Secure deletion standards</w:t>
      </w:r>
    </w:p>
    <w:p>
      <w:pPr>
        <w:pStyle w:val="ListBullet"/>
        <w:numPr>
          <w:ilvl w:val="0"/>
          <w:numId w:val="1"/>
        </w:numPr>
        <w:ind w:hanging="360" w:start="360"/>
        <w:rPr/>
      </w:pPr>
      <w:r>
        <w:rPr>
          <w:b/>
        </w:rPr>
        <w:t>Database records:</w:t>
      </w:r>
      <w:r>
        <w:rPr/>
        <w:t xml:space="preserve"> DELETE from PostgreSQL + verify deletion by confirming the record no longer appears in query results. Deleted data must not be recoverable from backups within </w:t>
      </w:r>
      <w:r>
        <w:rPr>
          <w:b/>
        </w:rPr>
        <w:t>90 days</w:t>
      </w:r>
      <w:r>
        <w:rPr/>
        <w:t xml:space="preserve"> (confirm Neon backup rotation policy).</w:t>
      </w:r>
    </w:p>
    <w:p>
      <w:pPr>
        <w:pStyle w:val="ListBullet"/>
        <w:numPr>
          <w:ilvl w:val="0"/>
          <w:numId w:val="1"/>
        </w:numPr>
        <w:ind w:hanging="360" w:start="360"/>
        <w:rPr/>
      </w:pPr>
      <w:r>
        <w:rPr>
          <w:b/>
        </w:rPr>
        <w:t>Base64 document data</w:t>
      </w:r>
      <w:r>
        <w:rPr/>
        <w:t xml:space="preserve"> (stored as JSON in DB columns): Deleting the User record cascades to deletion of </w:t>
      </w:r>
      <w:r>
        <w:rPr>
          <w:sz w:val="20"/>
        </w:rPr>
        <w:t>verificationData</w:t>
      </w:r>
      <w:r>
        <w:rPr/>
        <w:t>, and related Message attachments — but confirm cascade behaviour for each column.</w:t>
      </w:r>
    </w:p>
    <w:p>
      <w:pPr>
        <w:pStyle w:val="ListBullet"/>
        <w:numPr>
          <w:ilvl w:val="0"/>
          <w:numId w:val="1"/>
        </w:numPr>
        <w:ind w:hanging="360" w:start="360"/>
        <w:rPr/>
      </w:pPr>
      <w:r>
        <w:rPr>
          <w:b/>
        </w:rPr>
        <w:t>Object storage</w:t>
      </w:r>
      <w:r>
        <w:rPr/>
        <w:t xml:space="preserve"> (if adopted in future): Use provider-specific deletion + versioning purge.</w:t>
      </w:r>
    </w:p>
    <w:p>
      <w:pPr>
        <w:pStyle w:val="Normal"/>
        <w:pBdr>
          <w:bottom w:val="single" w:sz="6" w:space="1" w:color="666666"/>
        </w:pBdr>
        <w:rPr/>
      </w:pPr>
      <w:r>
        <w:rPr/>
      </w:r>
    </w:p>
    <w:p>
      <w:pPr>
        <w:pStyle w:val="Heading2"/>
        <w:rPr/>
      </w:pPr>
      <w:r>
        <w:rPr>
          <w:color w:val="000000"/>
        </w:rPr>
        <w:t>5. ACCOUNT DELETION PROCESS</w:t>
      </w:r>
    </w:p>
    <w:p>
      <w:pPr>
        <w:pStyle w:val="Normal"/>
        <w:rPr/>
      </w:pPr>
      <w:r>
        <w:rPr/>
        <w:t>When a user requests account deletion:</w:t>
      </w:r>
    </w:p>
    <w:p>
      <w:pPr>
        <w:pStyle w:val="ListNumber"/>
        <w:numPr>
          <w:ilvl w:val="0"/>
          <w:numId w:val="4"/>
        </w:numPr>
        <w:ind w:hanging="360" w:start="360"/>
        <w:rPr/>
      </w:pPr>
      <w:r>
        <w:rPr>
          <w:b/>
        </w:rPr>
        <w:t>Identity verification</w:t>
      </w:r>
      <w:r>
        <w:rPr/>
        <w:t xml:space="preserve"> — confirm the requester is the account owner (logged-in session or verified email/phone)</w:t>
      </w:r>
    </w:p>
    <w:p>
      <w:pPr>
        <w:pStyle w:val="ListNumber"/>
        <w:numPr>
          <w:ilvl w:val="0"/>
          <w:numId w:val="4"/>
        </w:numPr>
        <w:ind w:hanging="360" w:start="360"/>
        <w:rPr/>
      </w:pPr>
      <w:r>
        <w:rPr>
          <w:b/>
        </w:rPr>
        <w:t>Check for active obligations</w:t>
      </w:r>
      <w:r>
        <w:rPr/>
        <w:t xml:space="preserve"> — if the user has an active job/contract in escrow, inform the user that deletion will be processed after the transaction is complete</w:t>
      </w:r>
    </w:p>
    <w:p>
      <w:pPr>
        <w:pStyle w:val="ListNumber"/>
        <w:numPr>
          <w:ilvl w:val="0"/>
          <w:numId w:val="4"/>
        </w:numPr>
        <w:ind w:hanging="360" w:start="360"/>
        <w:rPr/>
      </w:pPr>
      <w:r>
        <w:rPr>
          <w:b/>
        </w:rPr>
        <w:t>Execute deletion</w:t>
      </w:r>
      <w:r>
        <w:rPr/>
        <w:t xml:space="preserve"> — run the backend deletion endpoint which removes:</w:t>
      </w:r>
    </w:p>
    <w:p>
      <w:pPr>
        <w:pStyle w:val="ListBullet"/>
        <w:numPr>
          <w:ilvl w:val="0"/>
          <w:numId w:val="1"/>
        </w:numPr>
        <w:ind w:hanging="360" w:start="720"/>
        <w:rPr/>
      </w:pPr>
      <w:r>
        <w:rPr/>
        <w:t xml:space="preserve">User record (all fields including </w:t>
      </w:r>
      <w:r>
        <w:rPr>
          <w:sz w:val="20"/>
        </w:rPr>
        <w:t>verificationData</w:t>
      </w:r>
      <w:r>
        <w:rPr/>
        <w:t xml:space="preserve">, </w:t>
      </w:r>
      <w:r>
        <w:rPr>
          <w:sz w:val="20"/>
        </w:rPr>
        <w:t>avatarUrl</w:t>
      </w:r>
      <w:r>
        <w:rPr/>
        <w:t>)</w:t>
      </w:r>
    </w:p>
    <w:p>
      <w:pPr>
        <w:pStyle w:val="ListBullet"/>
        <w:numPr>
          <w:ilvl w:val="0"/>
          <w:numId w:val="1"/>
        </w:numPr>
        <w:ind w:hanging="360" w:start="720"/>
        <w:rPr/>
      </w:pPr>
      <w:r>
        <w:rPr/>
        <w:t>All Job records posted by this user (and their Applications)</w:t>
      </w:r>
    </w:p>
    <w:p>
      <w:pPr>
        <w:pStyle w:val="ListBullet"/>
        <w:numPr>
          <w:ilvl w:val="0"/>
          <w:numId w:val="1"/>
        </w:numPr>
        <w:ind w:hanging="360" w:start="720"/>
        <w:rPr/>
      </w:pPr>
      <w:r>
        <w:rPr/>
        <w:t>All Application records where this user is the worker</w:t>
      </w:r>
    </w:p>
    <w:p>
      <w:pPr>
        <w:pStyle w:val="ListBullet"/>
        <w:numPr>
          <w:ilvl w:val="0"/>
          <w:numId w:val="1"/>
        </w:numPr>
        <w:ind w:hanging="360" w:start="720"/>
        <w:rPr/>
      </w:pPr>
      <w:r>
        <w:rPr/>
        <w:t>All Messages sent or received by this user</w:t>
      </w:r>
    </w:p>
    <w:p>
      <w:pPr>
        <w:pStyle w:val="ListBullet"/>
        <w:numPr>
          <w:ilvl w:val="0"/>
          <w:numId w:val="1"/>
        </w:numPr>
        <w:ind w:hanging="360" w:start="720"/>
        <w:rPr/>
      </w:pPr>
      <w:r>
        <w:rPr/>
        <w:t>All Notifications for this user</w:t>
      </w:r>
    </w:p>
    <w:p>
      <w:pPr>
        <w:pStyle w:val="ListBullet"/>
        <w:numPr>
          <w:ilvl w:val="0"/>
          <w:numId w:val="1"/>
        </w:numPr>
        <w:ind w:hanging="360" w:start="720"/>
        <w:rPr/>
      </w:pPr>
      <w:r>
        <w:rPr/>
        <w:t>All Reviews given or received by this user</w:t>
      </w:r>
    </w:p>
    <w:p>
      <w:pPr>
        <w:pStyle w:val="ListBullet"/>
        <w:numPr>
          <w:ilvl w:val="0"/>
          <w:numId w:val="1"/>
        </w:numPr>
        <w:ind w:hanging="360" w:start="720"/>
        <w:rPr/>
      </w:pPr>
      <w:r>
        <w:rPr/>
        <w:t>All Team memberships for this user</w:t>
      </w:r>
    </w:p>
    <w:p>
      <w:pPr>
        <w:pStyle w:val="ListNumber"/>
        <w:numPr>
          <w:ilvl w:val="0"/>
          <w:numId w:val="4"/>
        </w:numPr>
        <w:ind w:hanging="360" w:start="360"/>
        <w:rPr/>
      </w:pPr>
      <w:r>
        <w:rPr>
          <w:b/>
        </w:rPr>
        <w:t>Log the deletion</w:t>
      </w:r>
      <w:r>
        <w:rPr/>
        <w:t xml:space="preserve"> — record the date, requestor, and action taken (do not record the deleted data)</w:t>
      </w:r>
    </w:p>
    <w:p>
      <w:pPr>
        <w:pStyle w:val="ListNumber"/>
        <w:numPr>
          <w:ilvl w:val="0"/>
          <w:numId w:val="4"/>
        </w:numPr>
        <w:ind w:hanging="360" w:start="360"/>
        <w:rPr/>
      </w:pPr>
      <w:r>
        <w:rPr>
          <w:b/>
        </w:rPr>
        <w:t>Notify the user</w:t>
      </w:r>
      <w:r>
        <w:rPr/>
        <w:t xml:space="preserve"> — confirm deletion is complete within 30 days</w:t>
      </w:r>
    </w:p>
    <w:p>
      <w:pPr>
        <w:pStyle w:val="Normal"/>
        <w:pBdr>
          <w:bottom w:val="single" w:sz="6" w:space="1" w:color="666666"/>
        </w:pBdr>
        <w:rPr/>
      </w:pPr>
      <w:r>
        <w:rPr/>
      </w:r>
    </w:p>
    <w:p>
      <w:pPr>
        <w:pStyle w:val="Heading2"/>
        <w:rPr/>
      </w:pPr>
      <w:r>
        <w:rPr>
          <w:color w:val="000000"/>
        </w:rPr>
        <w:t>6. BACKUP RETENTION</w:t>
      </w:r>
    </w:p>
    <w:tbl>
      <w:tblPr>
        <w:tblStyle w:val="TableGrid"/>
        <w:tblW w:w="864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880"/>
        <w:gridCol w:w="2880"/>
        <w:gridCol w:w="2880"/>
      </w:tblGrid>
      <w:tr>
        <w:trPr/>
        <w:tc>
          <w:tcPr>
            <w:tcW w:w="2880" w:type="dxa"/>
            <w:tcBorders/>
          </w:tcPr>
          <w:p>
            <w:pPr>
              <w:pStyle w:val="Normal"/>
              <w:widowControl/>
              <w:spacing w:lineRule="auto" w:line="240" w:before="0" w:after="0"/>
              <w:jc w:val="start"/>
              <w:rPr>
                <w:rFonts w:cs=""/>
                <w:kern w:val="0"/>
                <w:szCs w:val="22"/>
                <w:lang w:val="en-US" w:eastAsia="en-US" w:bidi="ar-SA"/>
              </w:rPr>
            </w:pPr>
            <w:r>
              <w:rPr>
                <w:rFonts w:cs=""/>
                <w:b/>
                <w:kern w:val="0"/>
                <w:szCs w:val="22"/>
                <w:lang w:val="en-US" w:eastAsia="en-US" w:bidi="ar-SA"/>
              </w:rPr>
              <w:t>Backup type</w:t>
            </w:r>
          </w:p>
        </w:tc>
        <w:tc>
          <w:tcPr>
            <w:tcW w:w="2880" w:type="dxa"/>
            <w:tcBorders/>
          </w:tcPr>
          <w:p>
            <w:pPr>
              <w:pStyle w:val="Normal"/>
              <w:widowControl/>
              <w:spacing w:lineRule="auto" w:line="240" w:before="0" w:after="0"/>
              <w:jc w:val="start"/>
              <w:rPr>
                <w:rFonts w:cs=""/>
                <w:kern w:val="0"/>
                <w:szCs w:val="22"/>
                <w:lang w:val="en-US" w:eastAsia="en-US" w:bidi="ar-SA"/>
              </w:rPr>
            </w:pPr>
            <w:r>
              <w:rPr>
                <w:rFonts w:cs=""/>
                <w:b/>
                <w:kern w:val="0"/>
                <w:szCs w:val="22"/>
                <w:lang w:val="en-US" w:eastAsia="en-US" w:bidi="ar-SA"/>
              </w:rPr>
              <w:t>Retention</w:t>
            </w:r>
          </w:p>
        </w:tc>
        <w:tc>
          <w:tcPr>
            <w:tcW w:w="2880" w:type="dxa"/>
            <w:tcBorders/>
          </w:tcPr>
          <w:p>
            <w:pPr>
              <w:pStyle w:val="Normal"/>
              <w:widowControl/>
              <w:spacing w:lineRule="auto" w:line="240" w:before="0" w:after="0"/>
              <w:jc w:val="start"/>
              <w:rPr>
                <w:rFonts w:cs=""/>
                <w:kern w:val="0"/>
                <w:szCs w:val="22"/>
                <w:lang w:val="en-US" w:eastAsia="en-US" w:bidi="ar-SA"/>
              </w:rPr>
            </w:pPr>
            <w:r>
              <w:rPr>
                <w:rFonts w:cs=""/>
                <w:b/>
                <w:kern w:val="0"/>
                <w:szCs w:val="22"/>
                <w:lang w:val="en-US" w:eastAsia="en-US" w:bidi="ar-SA"/>
              </w:rPr>
              <w:t>Notes</w:t>
            </w:r>
          </w:p>
        </w:tc>
      </w:tr>
      <w:tr>
        <w:trPr/>
        <w:tc>
          <w:tcPr>
            <w:tcW w:w="288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NeonDB automated backups</w:t>
            </w:r>
          </w:p>
        </w:tc>
        <w:tc>
          <w:tcPr>
            <w:tcW w:w="288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Per Neon's default policy (confirm: typically 7–30 days)</w:t>
            </w:r>
          </w:p>
        </w:tc>
        <w:tc>
          <w:tcPr>
            <w:tcW w:w="288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User data in backups will be purged on rotation</w:t>
            </w:r>
          </w:p>
        </w:tc>
      </w:tr>
      <w:tr>
        <w:trPr/>
        <w:tc>
          <w:tcPr>
            <w:tcW w:w="288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Manual backups (if any)</w:t>
            </w:r>
          </w:p>
        </w:tc>
        <w:tc>
          <w:tcPr>
            <w:tcW w:w="288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Must not be retained beyond 90 days for any deleted record</w:t>
            </w:r>
          </w:p>
        </w:tc>
        <w:tc>
          <w:tcPr>
            <w:tcW w:w="288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Developer responsibility</w:t>
            </w:r>
          </w:p>
        </w:tc>
      </w:tr>
    </w:tbl>
    <w:p>
      <w:pPr>
        <w:pStyle w:val="Normal"/>
        <w:rPr/>
      </w:pPr>
      <w:r>
        <w:rPr/>
      </w:r>
    </w:p>
    <w:p>
      <w:pPr>
        <w:pStyle w:val="Normal"/>
        <w:pBdr>
          <w:bottom w:val="single" w:sz="6" w:space="1" w:color="666666"/>
        </w:pBdr>
        <w:rPr/>
      </w:pPr>
      <w:r>
        <w:rPr/>
      </w:r>
    </w:p>
    <w:p>
      <w:pPr>
        <w:pStyle w:val="Heading2"/>
        <w:rPr/>
      </w:pPr>
      <w:r>
        <w:rPr>
          <w:color w:val="000000"/>
        </w:rPr>
        <w:t>7. EXCEPTIONS</w:t>
      </w:r>
    </w:p>
    <w:p>
      <w:pPr>
        <w:pStyle w:val="Normal"/>
        <w:rPr/>
      </w:pPr>
      <w:r>
        <w:rPr/>
        <w:t>Data may be retained beyond the standard retention period if:</w:t>
      </w:r>
    </w:p>
    <w:p>
      <w:pPr>
        <w:pStyle w:val="ListBullet"/>
        <w:numPr>
          <w:ilvl w:val="0"/>
          <w:numId w:val="1"/>
        </w:numPr>
        <w:ind w:hanging="360" w:start="360"/>
        <w:rPr/>
      </w:pPr>
      <w:r>
        <w:rPr/>
        <w:t>Required by law, regulation, or court order (document the exception)</w:t>
      </w:r>
    </w:p>
    <w:p>
      <w:pPr>
        <w:pStyle w:val="ListBullet"/>
        <w:numPr>
          <w:ilvl w:val="0"/>
          <w:numId w:val="1"/>
        </w:numPr>
        <w:ind w:hanging="360" w:start="360"/>
        <w:rPr/>
      </w:pPr>
      <w:r>
        <w:rPr/>
        <w:t>Required for ongoing legal proceedings</w:t>
      </w:r>
    </w:p>
    <w:p>
      <w:pPr>
        <w:pStyle w:val="ListBullet"/>
        <w:numPr>
          <w:ilvl w:val="0"/>
          <w:numId w:val="1"/>
        </w:numPr>
        <w:ind w:hanging="360" w:start="360"/>
        <w:rPr/>
      </w:pPr>
      <w:r>
        <w:rPr/>
        <w:t>Required for fraud investigation (document the exception and limit scope)</w:t>
      </w:r>
    </w:p>
    <w:p>
      <w:pPr>
        <w:pStyle w:val="Normal"/>
        <w:pBdr>
          <w:bottom w:val="single" w:sz="6" w:space="1" w:color="666666"/>
        </w:pBdr>
        <w:rPr/>
      </w:pPr>
      <w:r>
        <w:rPr/>
      </w:r>
    </w:p>
    <w:p>
      <w:pPr>
        <w:pStyle w:val="Heading2"/>
        <w:rPr/>
      </w:pPr>
      <w:r>
        <w:rPr>
          <w:color w:val="000000"/>
        </w:rPr>
        <w:t>8. ROLES &amp; RESPONSIBILITIES</w:t>
      </w:r>
    </w:p>
    <w:tbl>
      <w:tblPr>
        <w:tblStyle w:val="TableGrid"/>
        <w:tblW w:w="864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320"/>
        <w:gridCol w:w="4320"/>
      </w:tblGrid>
      <w:tr>
        <w:trPr/>
        <w:tc>
          <w:tcPr>
            <w:tcW w:w="4320" w:type="dxa"/>
            <w:tcBorders/>
          </w:tcPr>
          <w:p>
            <w:pPr>
              <w:pStyle w:val="Normal"/>
              <w:widowControl/>
              <w:spacing w:lineRule="auto" w:line="240" w:before="0" w:after="0"/>
              <w:jc w:val="start"/>
              <w:rPr>
                <w:rFonts w:cs=""/>
                <w:kern w:val="0"/>
                <w:szCs w:val="22"/>
                <w:lang w:val="en-US" w:eastAsia="en-US" w:bidi="ar-SA"/>
              </w:rPr>
            </w:pPr>
            <w:r>
              <w:rPr>
                <w:rFonts w:cs=""/>
                <w:b/>
                <w:kern w:val="0"/>
                <w:szCs w:val="22"/>
                <w:lang w:val="en-US" w:eastAsia="en-US" w:bidi="ar-SA"/>
              </w:rPr>
              <w:t>Role</w:t>
            </w:r>
          </w:p>
        </w:tc>
        <w:tc>
          <w:tcPr>
            <w:tcW w:w="4320" w:type="dxa"/>
            <w:tcBorders/>
          </w:tcPr>
          <w:p>
            <w:pPr>
              <w:pStyle w:val="Normal"/>
              <w:widowControl/>
              <w:spacing w:lineRule="auto" w:line="240" w:before="0" w:after="0"/>
              <w:jc w:val="start"/>
              <w:rPr>
                <w:rFonts w:cs=""/>
                <w:kern w:val="0"/>
                <w:szCs w:val="22"/>
                <w:lang w:val="en-US" w:eastAsia="en-US" w:bidi="ar-SA"/>
              </w:rPr>
            </w:pPr>
            <w:r>
              <w:rPr>
                <w:rFonts w:cs=""/>
                <w:b/>
                <w:kern w:val="0"/>
                <w:szCs w:val="22"/>
                <w:lang w:val="en-US" w:eastAsia="en-US" w:bidi="ar-SA"/>
              </w:rPr>
              <w:t>Responsibility</w:t>
            </w:r>
          </w:p>
        </w:tc>
      </w:tr>
      <w:tr>
        <w:trPr/>
        <w:tc>
          <w:tcPr>
            <w:tcW w:w="4320" w:type="dxa"/>
            <w:tcBorders/>
          </w:tcPr>
          <w:p>
            <w:pPr>
              <w:pStyle w:val="Normal"/>
              <w:widowControl/>
              <w:spacing w:lineRule="auto" w:line="240" w:before="0" w:after="0"/>
              <w:jc w:val="start"/>
              <w:rPr>
                <w:rFonts w:cs=""/>
                <w:kern w:val="0"/>
                <w:szCs w:val="22"/>
                <w:lang w:val="en-US" w:eastAsia="en-US" w:bidi="ar-SA"/>
              </w:rPr>
            </w:pPr>
            <w:r>
              <w:rPr>
                <w:rFonts w:cs=""/>
                <w:b/>
                <w:kern w:val="0"/>
                <w:szCs w:val="22"/>
                <w:lang w:val="en-US" w:eastAsia="en-US" w:bidi="ar-SA"/>
              </w:rPr>
              <w:t>DPO</w:t>
            </w:r>
          </w:p>
        </w:tc>
        <w:tc>
          <w:tcPr>
            <w:tcW w:w="432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Oversees retention compliance; reviews quarterly; handles data-subject requests</w:t>
            </w:r>
          </w:p>
        </w:tc>
      </w:tr>
      <w:tr>
        <w:trPr/>
        <w:tc>
          <w:tcPr>
            <w:tcW w:w="4320" w:type="dxa"/>
            <w:tcBorders/>
          </w:tcPr>
          <w:p>
            <w:pPr>
              <w:pStyle w:val="Normal"/>
              <w:widowControl/>
              <w:spacing w:lineRule="auto" w:line="240" w:before="0" w:after="0"/>
              <w:jc w:val="start"/>
              <w:rPr>
                <w:rFonts w:cs=""/>
                <w:kern w:val="0"/>
                <w:szCs w:val="22"/>
                <w:lang w:val="en-US" w:eastAsia="en-US" w:bidi="ar-SA"/>
              </w:rPr>
            </w:pPr>
            <w:r>
              <w:rPr>
                <w:rFonts w:cs=""/>
                <w:b/>
                <w:kern w:val="0"/>
                <w:szCs w:val="22"/>
                <w:lang w:val="en-US" w:eastAsia="en-US" w:bidi="ar-SA"/>
              </w:rPr>
              <w:t>Developer</w:t>
            </w:r>
          </w:p>
        </w:tc>
        <w:tc>
          <w:tcPr>
            <w:tcW w:w="432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Implements automated deletion; builds deletion endpoints; verifies cascade deletes</w:t>
            </w:r>
          </w:p>
        </w:tc>
      </w:tr>
      <w:tr>
        <w:trPr/>
        <w:tc>
          <w:tcPr>
            <w:tcW w:w="4320" w:type="dxa"/>
            <w:tcBorders/>
          </w:tcPr>
          <w:p>
            <w:pPr>
              <w:pStyle w:val="Normal"/>
              <w:widowControl/>
              <w:spacing w:lineRule="auto" w:line="240" w:before="0" w:after="0"/>
              <w:jc w:val="start"/>
              <w:rPr>
                <w:rFonts w:cs=""/>
                <w:kern w:val="0"/>
                <w:szCs w:val="22"/>
                <w:lang w:val="en-US" w:eastAsia="en-US" w:bidi="ar-SA"/>
              </w:rPr>
            </w:pPr>
            <w:r>
              <w:rPr>
                <w:rFonts w:cs=""/>
                <w:b/>
                <w:kern w:val="0"/>
                <w:szCs w:val="22"/>
                <w:lang w:val="en-US" w:eastAsia="en-US" w:bidi="ar-SA"/>
              </w:rPr>
              <w:t>Management</w:t>
            </w:r>
          </w:p>
        </w:tc>
        <w:tc>
          <w:tcPr>
            <w:tcW w:w="432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Ensures resourcing for retention tools; approves exceptions</w:t>
            </w:r>
          </w:p>
        </w:tc>
      </w:tr>
      <w:tr>
        <w:trPr/>
        <w:tc>
          <w:tcPr>
            <w:tcW w:w="4320" w:type="dxa"/>
            <w:tcBorders/>
          </w:tcPr>
          <w:p>
            <w:pPr>
              <w:pStyle w:val="Normal"/>
              <w:widowControl/>
              <w:spacing w:lineRule="auto" w:line="240" w:before="0" w:after="0"/>
              <w:jc w:val="start"/>
              <w:rPr>
                <w:rFonts w:cs=""/>
                <w:kern w:val="0"/>
                <w:szCs w:val="22"/>
                <w:lang w:val="en-US" w:eastAsia="en-US" w:bidi="ar-SA"/>
              </w:rPr>
            </w:pPr>
            <w:r>
              <w:rPr>
                <w:rFonts w:cs=""/>
                <w:b/>
                <w:kern w:val="0"/>
                <w:szCs w:val="22"/>
                <w:lang w:val="en-US" w:eastAsia="en-US" w:bidi="ar-SA"/>
              </w:rPr>
              <w:t>All staff</w:t>
            </w:r>
          </w:p>
        </w:tc>
        <w:tc>
          <w:tcPr>
            <w:tcW w:w="432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Do not retain personal data beyond this policy; report accidental retention</w:t>
            </w:r>
          </w:p>
        </w:tc>
      </w:tr>
    </w:tbl>
    <w:p>
      <w:pPr>
        <w:pStyle w:val="Normal"/>
        <w:rPr/>
      </w:pPr>
      <w:r>
        <w:rPr/>
      </w:r>
    </w:p>
    <w:p>
      <w:pPr>
        <w:pStyle w:val="Normal"/>
        <w:pBdr>
          <w:bottom w:val="single" w:sz="6" w:space="1" w:color="666666"/>
        </w:pBdr>
        <w:rPr/>
      </w:pPr>
      <w:r>
        <w:rPr/>
      </w:r>
    </w:p>
    <w:p>
      <w:pPr>
        <w:pStyle w:val="Heading2"/>
        <w:rPr/>
      </w:pPr>
      <w:r>
        <w:rPr>
          <w:color w:val="000000"/>
        </w:rPr>
        <w:t>9. NON-COMPLIANCE</w:t>
      </w:r>
    </w:p>
    <w:p>
      <w:pPr>
        <w:pStyle w:val="Normal"/>
        <w:rPr/>
      </w:pPr>
      <w:r>
        <w:rPr/>
        <w:t>Failure to comply with this policy may result in:</w:t>
      </w:r>
    </w:p>
    <w:p>
      <w:pPr>
        <w:pStyle w:val="ListBullet"/>
        <w:numPr>
          <w:ilvl w:val="0"/>
          <w:numId w:val="1"/>
        </w:numPr>
        <w:ind w:hanging="360" w:start="360"/>
        <w:rPr/>
      </w:pPr>
      <w:r>
        <w:rPr/>
        <w:t>Regulatory action by the Rwanda Data Protection &amp; Privacy Office (DPO/NCSA)</w:t>
      </w:r>
    </w:p>
    <w:p>
      <w:pPr>
        <w:pStyle w:val="ListBullet"/>
        <w:numPr>
          <w:ilvl w:val="0"/>
          <w:numId w:val="1"/>
        </w:numPr>
        <w:ind w:hanging="360" w:start="360"/>
        <w:rPr/>
      </w:pPr>
      <w:r>
        <w:rPr/>
        <w:t>Fines under Law No. 058/2021</w:t>
      </w:r>
    </w:p>
    <w:p>
      <w:pPr>
        <w:pStyle w:val="ListBullet"/>
        <w:numPr>
          <w:ilvl w:val="0"/>
          <w:numId w:val="1"/>
        </w:numPr>
        <w:ind w:hanging="360" w:start="360"/>
        <w:rPr/>
      </w:pPr>
      <w:r>
        <w:rPr/>
        <w:t>Disciplinary action against staff responsible</w:t>
      </w:r>
    </w:p>
    <w:p>
      <w:pPr>
        <w:pStyle w:val="Normal"/>
        <w:pBdr>
          <w:bottom w:val="single" w:sz="6" w:space="1" w:color="666666"/>
        </w:pBdr>
        <w:rPr/>
      </w:pPr>
      <w:r>
        <w:rPr/>
      </w:r>
    </w:p>
    <w:p>
      <w:pPr>
        <w:pStyle w:val="Heading2"/>
        <w:rPr/>
      </w:pPr>
      <w:r>
        <w:rPr>
          <w:color w:val="000000"/>
        </w:rPr>
        <w:t>10. REVIEW</w:t>
      </w:r>
    </w:p>
    <w:p>
      <w:pPr>
        <w:pStyle w:val="Normal"/>
        <w:rPr/>
      </w:pPr>
      <w:r>
        <w:rPr/>
        <w:t>This policy must be reviewed:</w:t>
      </w:r>
    </w:p>
    <w:p>
      <w:pPr>
        <w:pStyle w:val="ListBullet"/>
        <w:numPr>
          <w:ilvl w:val="0"/>
          <w:numId w:val="1"/>
        </w:numPr>
        <w:ind w:hanging="360" w:start="360"/>
        <w:rPr/>
      </w:pPr>
      <w:r>
        <w:rPr/>
        <w:t>Annually (next review: [Date + 1 year])</w:t>
      </w:r>
    </w:p>
    <w:p>
      <w:pPr>
        <w:pStyle w:val="ListBullet"/>
        <w:numPr>
          <w:ilvl w:val="0"/>
          <w:numId w:val="1"/>
        </w:numPr>
        <w:ind w:hanging="360" w:start="360"/>
        <w:rPr/>
      </w:pPr>
      <w:r>
        <w:rPr/>
        <w:t>Upon any material change to the platform's data processing</w:t>
      </w:r>
    </w:p>
    <w:p>
      <w:pPr>
        <w:pStyle w:val="ListBullet"/>
        <w:numPr>
          <w:ilvl w:val="0"/>
          <w:numId w:val="1"/>
        </w:numPr>
        <w:ind w:hanging="360" w:start="360"/>
        <w:rPr/>
      </w:pPr>
      <w:r>
        <w:rPr/>
        <w:t>After any data breach involving personal data</w:t>
      </w:r>
    </w:p>
    <w:p>
      <w:pPr>
        <w:pStyle w:val="ListBullet"/>
        <w:numPr>
          <w:ilvl w:val="0"/>
          <w:numId w:val="1"/>
        </w:numPr>
        <w:ind w:hanging="360" w:start="360"/>
        <w:rPr/>
      </w:pPr>
      <w:r>
        <w:rPr/>
        <w:t>Upon change in Rwandan data protection law or DPO guidance</w:t>
      </w:r>
    </w:p>
    <w:p>
      <w:pPr>
        <w:pStyle w:val="Normal"/>
        <w:pBdr>
          <w:bottom w:val="single" w:sz="6" w:space="1" w:color="666666"/>
        </w:pBdr>
        <w:rPr/>
      </w:pPr>
      <w:r>
        <w:rPr/>
      </w:r>
    </w:p>
    <w:p>
      <w:pPr>
        <w:pStyle w:val="Normal"/>
        <w:rPr/>
      </w:pPr>
      <w:r>
        <w:rPr>
          <w:i/>
        </w:rPr>
        <w:t>Document prepared for LINEKORA Data Protection Compliance</w:t>
      </w:r>
    </w:p>
    <w:p>
      <w:pPr>
        <w:pStyle w:val="Normal"/>
        <w:rPr/>
      </w:pPr>
      <w:r>
        <w:rPr>
          <w:i/>
        </w:rPr>
        <w:t>Pursuant to Rwanda Data Protection Law No. 058/2021 of 13/10/2021 and PDPB No. 3/2021</w:t>
      </w:r>
    </w:p>
    <w:p>
      <w:pPr>
        <w:pStyle w:val="Normal"/>
        <w:widowControl/>
        <w:bidi w:val="0"/>
        <w:spacing w:lineRule="auto" w:line="276" w:before="0" w:after="200"/>
        <w:jc w:val="start"/>
        <w:rPr>
          <w:rFonts w:ascii="Calibri" w:hAnsi="Calibri"/>
          <w:i/>
        </w:rPr>
      </w:pPr>
      <w:r>
        <w:rPr/>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5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libri" w:hAnsi="Calibri" w:eastAsia="Calibri" w:cs="" w:cstheme="minorBid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Application>LibreOffice/26.2.5.2$Linux_X86_64 LibreOffice_project/6d2b0d33fb0f5da53a12f98bed3e9973e56ff1f0</Application>
  <AppVersion>15.0000</AppVersion>
  <Pages>6</Pages>
  <Words>1037</Words>
  <Characters>5935</Characters>
  <CharactersWithSpaces>6744</CharactersWithSpaces>
  <Paragraphs>206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en-GB</dc:language>
  <cp:lastModifiedBy/>
  <dcterms:modified xsi:type="dcterms:W3CDTF">2026-09-14T12:47:56Z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