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B5C"/>
          <w:sz w:val="40"/>
        </w:rPr>
        <w:t>DATA PROTECTION AGREEMENT (DPA)</w:t>
      </w:r>
    </w:p>
    <w:p>
      <w:pPr>
        <w:pStyle w:val="Heading1"/>
      </w:pPr>
      <w:r>
        <w:rPr>
          <w:color w:val="1F3B5C"/>
          <w:sz w:val="40"/>
        </w:rPr>
        <w:t>NeonDB — LINEKORA</w:t>
      </w:r>
    </w:p>
    <w:p>
      <w:r>
        <w:rPr>
          <w:b/>
        </w:rPr>
        <w:t>Between:</w:t>
      </w:r>
    </w:p>
    <w:p>
      <w:pPr>
        <w:pStyle w:val="ListBullet"/>
      </w:pPr>
      <w:r>
        <w:rPr>
          <w:b/>
        </w:rPr>
        <w:t>Data Controller:</w:t>
      </w:r>
      <w:r>
        <w:t xml:space="preserve"> LINEKORA (hereinafter "the Company")</w:t>
      </w:r>
    </w:p>
    <w:p>
      <w:pPr>
        <w:pStyle w:val="ListBullet"/>
      </w:pPr>
      <w:r>
        <w:rPr>
          <w:b/>
        </w:rPr>
        <w:t>Data Processor:</w:t>
      </w:r>
      <w:r>
        <w:t xml:space="preserve"> Neon (NeonDB Inc.) (hereinafter "Neon")</w:t>
      </w:r>
    </w:p>
    <w:p>
      <w:r>
        <w:rPr>
          <w:b/>
        </w:rPr>
        <w:t>Effective Date:</w:t>
      </w:r>
      <w:r>
        <w:t xml:space="preserve"> _______________</w:t>
      </w:r>
    </w:p>
    <w:p>
      <w:r>
        <w:rPr>
          <w:b/>
        </w:rPr>
        <w:t>Agreement Reference:</w:t>
      </w:r>
      <w:r>
        <w:t xml:space="preserve"> LINEKORA-DPA-NEONDB-2026</w:t>
      </w:r>
    </w:p>
    <w:p>
      <w:r>
        <w:t>______________________________</w:t>
      </w:r>
    </w:p>
    <w:p>
      <w:pPr>
        <w:pStyle w:val="Heading2"/>
      </w:pPr>
      <w:r>
        <w:rPr>
          <w:color w:val="1F3B5C"/>
          <w:sz w:val="30"/>
        </w:rPr>
        <w:t>1. PURPOSE</w:t>
      </w:r>
    </w:p>
    <w:p>
      <w:r>
        <w:t xml:space="preserve">This DPA sets out the terms that apply when Personal Data is processed by Neon on behalf of LINEKORA in the course of providing database hosting services. This DPA is required for compliance with the </w:t>
      </w:r>
      <w:r>
        <w:rPr>
          <w:b/>
        </w:rPr>
        <w:t>Rwanda Data Protection Law No. 3/2021</w:t>
      </w:r>
      <w:r>
        <w:t xml:space="preserve"> and authorization for international storage.</w:t>
      </w:r>
    </w:p>
    <w:p>
      <w:r>
        <w:t>______________________________</w:t>
      </w:r>
    </w:p>
    <w:p>
      <w:pPr>
        <w:pStyle w:val="Heading2"/>
      </w:pPr>
      <w:r>
        <w:rPr>
          <w:color w:val="1F3B5C"/>
          <w:sz w:val="30"/>
        </w:rPr>
        <w:t>2. SCOPE OF PROCESSING</w:t>
      </w:r>
    </w:p>
    <w:p>
      <w:pPr>
        <w:pStyle w:val="Heading3"/>
      </w:pPr>
      <w:r>
        <w:rPr>
          <w:color w:val="1F3B5C"/>
          <w:sz w:val="24"/>
        </w:rPr>
        <w:t>2.1 Data Categories Processed by Neon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Category</w:t>
            </w:r>
          </w:p>
        </w:tc>
        <w:tc>
          <w:tcPr>
            <w:tcW w:type="dxa" w:w="2880"/>
            <w:shd w:val="clear" w:color="auto" w:fill="1F3B5C"/>
          </w:tcPr>
          <w:p>
            <w:r>
              <w:rPr>
                <w:b/>
                <w:color w:val="FFFFFF"/>
                <w:sz w:val="18"/>
              </w:rPr>
            </w:r>
            <w:r>
              <w:rPr>
                <w:b/>
                <w:color w:val="FFFFFF"/>
                <w:sz w:val="18"/>
              </w:rPr>
              <w:t>Data Elements</w:t>
            </w:r>
          </w:p>
        </w:tc>
        <w:tc>
          <w:tcPr>
            <w:tcW w:type="dxa" w:w="2880"/>
            <w:shd w:val="clear" w:color="auto" w:fill="1F3B5C"/>
          </w:tcPr>
          <w:p>
            <w:r>
              <w:rPr>
                <w:b/>
                <w:color w:val="FFFFFF"/>
                <w:sz w:val="18"/>
              </w:rPr>
            </w:r>
            <w:r>
              <w:rPr>
                <w:b/>
                <w:color w:val="FFFFFF"/>
                <w:sz w:val="18"/>
              </w:rPr>
              <w:t>Purpose</w:t>
            </w:r>
          </w:p>
        </w:tc>
      </w:tr>
      <w:tr>
        <w:tc>
          <w:tcPr>
            <w:tcW w:type="dxa" w:w="2880"/>
          </w:tcPr>
          <w:p>
            <w:r>
              <w:rPr>
                <w:sz w:val="18"/>
              </w:rPr>
            </w:r>
            <w:r>
              <w:rPr>
                <w:sz w:val="18"/>
              </w:rPr>
              <w:t>Worker PII</w:t>
            </w:r>
          </w:p>
        </w:tc>
        <w:tc>
          <w:tcPr>
            <w:tcW w:type="dxa" w:w="2880"/>
          </w:tcPr>
          <w:p>
            <w:r>
              <w:rPr>
                <w:sz w:val="18"/>
              </w:rPr>
            </w:r>
            <w:r>
              <w:rPr>
                <w:sz w:val="18"/>
              </w:rPr>
              <w:t>Name, Phone, Gender, District, Sector, Village, ID, Photo, Skills</w:t>
            </w:r>
          </w:p>
        </w:tc>
        <w:tc>
          <w:tcPr>
            <w:tcW w:type="dxa" w:w="2880"/>
          </w:tcPr>
          <w:p>
            <w:r>
              <w:rPr>
                <w:sz w:val="18"/>
              </w:rPr>
            </w:r>
            <w:r>
              <w:rPr>
                <w:sz w:val="18"/>
              </w:rPr>
              <w:t>Registration, KYC, Task Matching</w:t>
            </w:r>
          </w:p>
        </w:tc>
      </w:tr>
      <w:tr>
        <w:tc>
          <w:tcPr>
            <w:tcW w:type="dxa" w:w="2880"/>
            <w:shd w:val="clear" w:color="auto" w:fill="EAF1F8"/>
          </w:tcPr>
          <w:p>
            <w:r>
              <w:rPr>
                <w:sz w:val="18"/>
              </w:rPr>
            </w:r>
            <w:r>
              <w:rPr>
                <w:sz w:val="18"/>
              </w:rPr>
              <w:t>Employer PII</w:t>
            </w:r>
          </w:p>
        </w:tc>
        <w:tc>
          <w:tcPr>
            <w:tcW w:type="dxa" w:w="2880"/>
            <w:shd w:val="clear" w:color="auto" w:fill="EAF1F8"/>
          </w:tcPr>
          <w:p>
            <w:r>
              <w:rPr>
                <w:sz w:val="18"/>
              </w:rPr>
            </w:r>
            <w:r>
              <w:rPr>
                <w:sz w:val="18"/>
              </w:rPr>
              <w:t>Name, Phone, Company, Location, Payment Details</w:t>
            </w:r>
          </w:p>
        </w:tc>
        <w:tc>
          <w:tcPr>
            <w:tcW w:type="dxa" w:w="2880"/>
            <w:shd w:val="clear" w:color="auto" w:fill="EAF1F8"/>
          </w:tcPr>
          <w:p>
            <w:r>
              <w:rPr>
                <w:sz w:val="18"/>
              </w:rPr>
            </w:r>
            <w:r>
              <w:rPr>
                <w:sz w:val="18"/>
              </w:rPr>
              <w:t>Registration, Task Creation, Payments</w:t>
            </w:r>
          </w:p>
        </w:tc>
      </w:tr>
      <w:tr>
        <w:tc>
          <w:tcPr>
            <w:tcW w:type="dxa" w:w="2880"/>
          </w:tcPr>
          <w:p>
            <w:r>
              <w:rPr>
                <w:sz w:val="18"/>
              </w:rPr>
            </w:r>
            <w:r>
              <w:rPr>
                <w:sz w:val="18"/>
              </w:rPr>
              <w:t>User Activity Data</w:t>
            </w:r>
          </w:p>
        </w:tc>
        <w:tc>
          <w:tcPr>
            <w:tcW w:type="dxa" w:w="2880"/>
          </w:tcPr>
          <w:p>
            <w:r>
              <w:rPr>
                <w:sz w:val="18"/>
              </w:rPr>
            </w:r>
            <w:r>
              <w:rPr>
                <w:sz w:val="18"/>
              </w:rPr>
              <w:t>IP Address, Device ID, Geolocation</w:t>
            </w:r>
          </w:p>
        </w:tc>
        <w:tc>
          <w:tcPr>
            <w:tcW w:type="dxa" w:w="2880"/>
          </w:tcPr>
          <w:p>
            <w:r>
              <w:rPr>
                <w:sz w:val="18"/>
              </w:rPr>
            </w:r>
            <w:r>
              <w:rPr>
                <w:sz w:val="18"/>
              </w:rPr>
              <w:t>Security, Analytics</w:t>
            </w:r>
          </w:p>
        </w:tc>
      </w:tr>
      <w:tr>
        <w:tc>
          <w:tcPr>
            <w:tcW w:type="dxa" w:w="2880"/>
            <w:shd w:val="clear" w:color="auto" w:fill="EAF1F8"/>
          </w:tcPr>
          <w:p>
            <w:r>
              <w:rPr>
                <w:sz w:val="18"/>
              </w:rPr>
            </w:r>
            <w:r>
              <w:rPr>
                <w:sz w:val="18"/>
              </w:rPr>
              <w:t>Task Data</w:t>
            </w:r>
          </w:p>
        </w:tc>
        <w:tc>
          <w:tcPr>
            <w:tcW w:type="dxa" w:w="2880"/>
            <w:shd w:val="clear" w:color="auto" w:fill="EAF1F8"/>
          </w:tcPr>
          <w:p>
            <w:r>
              <w:rPr>
                <w:sz w:val="18"/>
              </w:rPr>
            </w:r>
            <w:r>
              <w:rPr>
                <w:sz w:val="18"/>
              </w:rPr>
              <w:t>Task descriptions, Requirements, Budgets</w:t>
            </w:r>
          </w:p>
        </w:tc>
        <w:tc>
          <w:tcPr>
            <w:tcW w:type="dxa" w:w="2880"/>
            <w:shd w:val="clear" w:color="auto" w:fill="EAF1F8"/>
          </w:tcPr>
          <w:p>
            <w:r>
              <w:rPr>
                <w:sz w:val="18"/>
              </w:rPr>
            </w:r>
            <w:r>
              <w:rPr>
                <w:sz w:val="18"/>
              </w:rPr>
              <w:t>Service delivery</w:t>
            </w:r>
          </w:p>
        </w:tc>
      </w:tr>
      <w:tr>
        <w:tc>
          <w:tcPr>
            <w:tcW w:type="dxa" w:w="2880"/>
          </w:tcPr>
          <w:p>
            <w:r>
              <w:rPr>
                <w:sz w:val="18"/>
              </w:rPr>
            </w:r>
            <w:r>
              <w:rPr>
                <w:sz w:val="18"/>
              </w:rPr>
              <w:t>Transaction Logs</w:t>
            </w:r>
          </w:p>
        </w:tc>
        <w:tc>
          <w:tcPr>
            <w:tcW w:type="dxa" w:w="2880"/>
          </w:tcPr>
          <w:p>
            <w:r>
              <w:rPr>
                <w:sz w:val="18"/>
              </w:rPr>
            </w:r>
            <w:r>
              <w:rPr>
                <w:sz w:val="18"/>
              </w:rPr>
              <w:t>Transaction references, Timestamps</w:t>
            </w:r>
          </w:p>
        </w:tc>
        <w:tc>
          <w:tcPr>
            <w:tcW w:type="dxa" w:w="2880"/>
          </w:tcPr>
          <w:p>
            <w:r>
              <w:rPr>
                <w:sz w:val="18"/>
              </w:rPr>
            </w:r>
            <w:r>
              <w:rPr>
                <w:sz w:val="18"/>
              </w:rPr>
              <w:t>Record keeping</w:t>
            </w:r>
          </w:p>
        </w:tc>
      </w:tr>
      <w:tr>
        <w:tc>
          <w:tcPr>
            <w:tcW w:type="dxa" w:w="2880"/>
            <w:shd w:val="clear" w:color="auto" w:fill="EAF1F8"/>
          </w:tcPr>
          <w:p>
            <w:r>
              <w:rPr>
                <w:sz w:val="18"/>
              </w:rPr>
            </w:r>
            <w:r>
              <w:rPr>
                <w:sz w:val="18"/>
              </w:rPr>
              <w:t>Support Tickets</w:t>
            </w:r>
          </w:p>
        </w:tc>
        <w:tc>
          <w:tcPr>
            <w:tcW w:type="dxa" w:w="2880"/>
            <w:shd w:val="clear" w:color="auto" w:fill="EAF1F8"/>
          </w:tcPr>
          <w:p>
            <w:r>
              <w:rPr>
                <w:sz w:val="18"/>
              </w:rPr>
            </w:r>
            <w:r>
              <w:rPr>
                <w:sz w:val="18"/>
              </w:rPr>
              <w:t>Name, Phone, Issue Description</w:t>
            </w:r>
          </w:p>
        </w:tc>
        <w:tc>
          <w:tcPr>
            <w:tcW w:type="dxa" w:w="2880"/>
            <w:shd w:val="clear" w:color="auto" w:fill="EAF1F8"/>
          </w:tcPr>
          <w:p>
            <w:r>
              <w:rPr>
                <w:sz w:val="18"/>
              </w:rPr>
            </w:r>
            <w:r>
              <w:rPr>
                <w:sz w:val="18"/>
              </w:rPr>
              <w:t>Customer support</w:t>
            </w:r>
          </w:p>
        </w:tc>
      </w:tr>
    </w:tbl>
    <w:p/>
    <w:p>
      <w:pPr>
        <w:pStyle w:val="Heading3"/>
      </w:pPr>
      <w:r>
        <w:rPr>
          <w:color w:val="1F3B5C"/>
          <w:sz w:val="24"/>
        </w:rPr>
        <w:t>2.2 Purpose of Processing</w:t>
      </w:r>
    </w:p>
    <w:p>
      <w:r>
        <w:t>Neon shall process Personal Data solely for:</w:t>
      </w:r>
    </w:p>
    <w:p>
      <w:pPr>
        <w:pStyle w:val="ListBullet"/>
      </w:pPr>
      <w:r>
        <w:t>Primary database hosting for LINEKORA applications</w:t>
      </w:r>
    </w:p>
    <w:p>
      <w:pPr>
        <w:pStyle w:val="ListBullet"/>
      </w:pPr>
      <w:r>
        <w:t>Data storage, retrieval, and management</w:t>
      </w:r>
    </w:p>
    <w:p>
      <w:pPr>
        <w:pStyle w:val="ListBullet"/>
      </w:pPr>
      <w:r>
        <w:t>Backups and disaster recovery</w:t>
      </w:r>
    </w:p>
    <w:p>
      <w:pPr>
        <w:pStyle w:val="Heading3"/>
      </w:pPr>
      <w:r>
        <w:rPr>
          <w:color w:val="1F3B5C"/>
          <w:sz w:val="24"/>
        </w:rPr>
        <w:t>2.3 Duration of Processing</w:t>
      </w:r>
    </w:p>
    <w:p>
      <w:r>
        <w:t>This DPA shall remain in effect for the duration of the Neon service agreement.</w:t>
      </w:r>
    </w:p>
    <w:p>
      <w:r>
        <w:t>______________________________</w:t>
      </w:r>
    </w:p>
    <w:p>
      <w:pPr>
        <w:pStyle w:val="Heading2"/>
      </w:pPr>
      <w:r>
        <w:rPr>
          <w:color w:val="1F3B5C"/>
          <w:sz w:val="30"/>
        </w:rPr>
        <w:t>3. OBLIGATIONS OF NEON</w:t>
      </w:r>
    </w:p>
    <w:p>
      <w:pPr>
        <w:pStyle w:val="Heading3"/>
      </w:pPr>
      <w:r>
        <w:rPr>
          <w:color w:val="1F3B5C"/>
          <w:sz w:val="24"/>
        </w:rPr>
        <w:t>3.1 Processing Instructions</w:t>
      </w:r>
    </w:p>
    <w:p>
      <w:pPr>
        <w:pStyle w:val="ListBullet"/>
      </w:pPr>
      <w:r>
        <w:t>Process Personal Data only on documented instructions from LINEKORA</w:t>
      </w:r>
    </w:p>
    <w:p>
      <w:pPr>
        <w:pStyle w:val="ListBullet"/>
      </w:pPr>
      <w:r>
        <w:t>Immediately inform LINEKORA if an instruction infringes on data protection laws</w:t>
      </w:r>
    </w:p>
    <w:p>
      <w:pPr>
        <w:pStyle w:val="ListBullet"/>
      </w:pPr>
      <w:r>
        <w:t>Not process Personal Data for any purpose other than the agreed services</w:t>
      </w:r>
    </w:p>
    <w:p>
      <w:pPr>
        <w:pStyle w:val="Heading3"/>
      </w:pPr>
      <w:r>
        <w:rPr>
          <w:color w:val="1F3B5C"/>
          <w:sz w:val="24"/>
        </w:rPr>
        <w:t>3.2 Confidentiality</w:t>
      </w:r>
    </w:p>
    <w:p>
      <w:pPr>
        <w:pStyle w:val="ListBullet"/>
      </w:pPr>
      <w:r>
        <w:t>All persons authorized to process Personal Data are bound by confidentiality obligations</w:t>
      </w:r>
    </w:p>
    <w:p>
      <w:pPr>
        <w:pStyle w:val="ListBullet"/>
      </w:pPr>
      <w:r>
        <w:t>Access to Personal Data is limited to authorized personnel only</w:t>
      </w:r>
    </w:p>
    <w:p>
      <w:pPr>
        <w:pStyle w:val="ListBullet"/>
      </w:pPr>
      <w:r>
        <w:t>Personal Data is not disclosed to unauthorized third parties</w:t>
      </w:r>
    </w:p>
    <w:p>
      <w:pPr>
        <w:pStyle w:val="Heading3"/>
      </w:pPr>
      <w:r>
        <w:rPr>
          <w:color w:val="1F3B5C"/>
          <w:sz w:val="24"/>
        </w:rPr>
        <w:t>3.3 Security Measures</w:t>
      </w:r>
    </w:p>
    <w:p>
      <w:r>
        <w:t>Neon shall implement:</w:t>
      </w:r>
    </w:p>
    <w:p>
      <w:pPr>
        <w:pStyle w:val="ListBullet"/>
      </w:pPr>
      <w:r>
        <w:t xml:space="preserve">[ ] </w:t>
      </w:r>
      <w:r>
        <w:rPr>
          <w:b/>
        </w:rPr>
        <w:t>Encryption</w:t>
      </w:r>
      <w:r>
        <w:t xml:space="preserve"> — AES-256 encryption at rest; TLS 1.2+ in transit</w:t>
      </w:r>
    </w:p>
    <w:p>
      <w:pPr>
        <w:pStyle w:val="ListBullet"/>
      </w:pPr>
      <w:r>
        <w:t xml:space="preserve">[ ] </w:t>
      </w:r>
      <w:r>
        <w:rPr>
          <w:b/>
        </w:rPr>
        <w:t>Access Controls</w:t>
      </w:r>
      <w:r>
        <w:t xml:space="preserve"> — Role-based access control (RBAC)</w:t>
      </w:r>
    </w:p>
    <w:p>
      <w:pPr>
        <w:pStyle w:val="ListBullet"/>
      </w:pPr>
      <w:r>
        <w:t xml:space="preserve">[ ] </w:t>
      </w:r>
      <w:r>
        <w:rPr>
          <w:b/>
        </w:rPr>
        <w:t>Audit Logging</w:t>
      </w:r>
      <w:r>
        <w:t xml:space="preserve"> — All access to Personal Data is logged</w:t>
      </w:r>
    </w:p>
    <w:p>
      <w:pPr>
        <w:pStyle w:val="ListBullet"/>
      </w:pPr>
      <w:r>
        <w:t xml:space="preserve">[ ] </w:t>
      </w:r>
      <w:r>
        <w:rPr>
          <w:b/>
        </w:rPr>
        <w:t>Vulnerability Management</w:t>
      </w:r>
      <w:r>
        <w:t xml:space="preserve"> — Regular security assessments</w:t>
      </w:r>
    </w:p>
    <w:p>
      <w:pPr>
        <w:pStyle w:val="ListBullet"/>
      </w:pPr>
      <w:r>
        <w:t xml:space="preserve">[ ] </w:t>
      </w:r>
      <w:r>
        <w:rPr>
          <w:b/>
        </w:rPr>
        <w:t>Incident Response</w:t>
      </w:r>
      <w:r>
        <w:t xml:space="preserve"> — Documented breach notification procedures</w:t>
      </w:r>
    </w:p>
    <w:p>
      <w:pPr>
        <w:pStyle w:val="ListBullet"/>
      </w:pPr>
      <w:r>
        <w:t xml:space="preserve">[ ] </w:t>
      </w:r>
      <w:r>
        <w:rPr>
          <w:b/>
        </w:rPr>
        <w:t>SOC 2 Type II Compliance</w:t>
      </w:r>
      <w:r>
        <w:t xml:space="preserve"> — Annual audit</w:t>
      </w:r>
    </w:p>
    <w:p>
      <w:pPr>
        <w:pStyle w:val="ListBullet"/>
      </w:pPr>
      <w:r>
        <w:t xml:space="preserve">[ ] </w:t>
      </w:r>
      <w:r>
        <w:rPr>
          <w:b/>
        </w:rPr>
        <w:t>PCI DSS Compliance</w:t>
      </w:r>
      <w:r>
        <w:t xml:space="preserve"> — For payment-related data</w:t>
      </w:r>
    </w:p>
    <w:p>
      <w:pPr>
        <w:pStyle w:val="Heading3"/>
      </w:pPr>
      <w:r>
        <w:rPr>
          <w:color w:val="1F3B5C"/>
          <w:sz w:val="24"/>
        </w:rPr>
        <w:t>3.4 Sub-Processors</w:t>
      </w:r>
    </w:p>
    <w:p>
      <w:r>
        <w:t>Neon maintains a list of sub-processors. LINEKORA must be notified of any changes to the sub-processor list.</w:t>
      </w:r>
    </w:p>
    <w:p>
      <w:pPr>
        <w:pStyle w:val="Heading3"/>
      </w:pPr>
      <w:r>
        <w:rPr>
          <w:color w:val="1F3B5C"/>
          <w:sz w:val="24"/>
        </w:rPr>
        <w:t>3.5 Data Breach Notification</w:t>
      </w:r>
    </w:p>
    <w:p>
      <w:pPr>
        <w:pStyle w:val="ListBullet"/>
      </w:pPr>
      <w:r>
        <w:t xml:space="preserve">Notify LINEKORA </w:t>
      </w:r>
      <w:r>
        <w:rPr>
          <w:b/>
        </w:rPr>
        <w:t>within 48 hours</w:t>
      </w:r>
      <w:r>
        <w:t xml:space="preserve"> of becoming aware of a Personal Data breach</w:t>
      </w:r>
    </w:p>
    <w:p>
      <w:pPr>
        <w:pStyle w:val="ListBullet"/>
      </w:pPr>
      <w:r>
        <w:t xml:space="preserve">Provide all information necessary for LINEKORA to comply with the </w:t>
      </w:r>
      <w:r>
        <w:rPr>
          <w:b/>
        </w:rPr>
        <w:t>72-hour breach notification</w:t>
      </w:r>
      <w:r>
        <w:t xml:space="preserve"> requirement under Rwanda's PDPB</w:t>
      </w:r>
    </w:p>
    <w:p>
      <w:pPr>
        <w:pStyle w:val="ListBullet"/>
      </w:pPr>
      <w:r>
        <w:t>Take immediate steps to contain and remediate the breach</w:t>
      </w:r>
    </w:p>
    <w:p>
      <w:r>
        <w:t>______________________________</w:t>
      </w:r>
    </w:p>
    <w:p>
      <w:pPr>
        <w:pStyle w:val="Heading2"/>
      </w:pPr>
      <w:r>
        <w:rPr>
          <w:color w:val="1F3B5C"/>
          <w:sz w:val="30"/>
        </w:rPr>
        <w:t>4. CROSS-BORDER DATA TRANSFERS</w:t>
      </w:r>
    </w:p>
    <w:p>
      <w:pPr>
        <w:pStyle w:val="Heading3"/>
      </w:pPr>
      <w:r>
        <w:rPr>
          <w:color w:val="1F3B5C"/>
          <w:sz w:val="24"/>
        </w:rPr>
        <w:t>4.1 Processor Location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B5C"/>
          </w:tcPr>
          <w:p>
            <w:r>
              <w:rPr>
                <w:b/>
                <w:color w:val="FFFFFF"/>
                <w:sz w:val="18"/>
              </w:rPr>
            </w:r>
            <w:r>
              <w:rPr>
                <w:b/>
                <w:color w:val="FFFFFF"/>
                <w:sz w:val="18"/>
              </w:rPr>
              <w:t>Processor</w:t>
            </w:r>
          </w:p>
        </w:tc>
        <w:tc>
          <w:tcPr>
            <w:tcW w:type="dxa" w:w="2160"/>
            <w:shd w:val="clear" w:color="auto" w:fill="1F3B5C"/>
          </w:tcPr>
          <w:p>
            <w:r>
              <w:rPr>
                <w:b/>
                <w:color w:val="FFFFFF"/>
                <w:sz w:val="18"/>
              </w:rPr>
            </w:r>
            <w:r>
              <w:rPr>
                <w:b/>
                <w:color w:val="FFFFFF"/>
                <w:sz w:val="18"/>
              </w:rPr>
              <w:t>Location</w:t>
            </w:r>
          </w:p>
        </w:tc>
        <w:tc>
          <w:tcPr>
            <w:tcW w:type="dxa" w:w="2160"/>
            <w:shd w:val="clear" w:color="auto" w:fill="1F3B5C"/>
          </w:tcPr>
          <w:p>
            <w:r>
              <w:rPr>
                <w:b/>
                <w:color w:val="FFFFFF"/>
                <w:sz w:val="18"/>
              </w:rPr>
            </w:r>
            <w:r>
              <w:rPr>
                <w:b/>
                <w:color w:val="FFFFFF"/>
                <w:sz w:val="18"/>
              </w:rPr>
              <w:t>Data Stored</w:t>
            </w:r>
          </w:p>
        </w:tc>
        <w:tc>
          <w:tcPr>
            <w:tcW w:type="dxa" w:w="2160"/>
            <w:shd w:val="clear" w:color="auto" w:fill="1F3B5C"/>
          </w:tcPr>
          <w:p>
            <w:r>
              <w:rPr>
                <w:b/>
                <w:color w:val="FFFFFF"/>
                <w:sz w:val="18"/>
              </w:rPr>
            </w:r>
            <w:r>
              <w:rPr>
                <w:b/>
                <w:color w:val="FFFFFF"/>
                <w:sz w:val="18"/>
              </w:rPr>
              <w:t>Transfer Mechanism</w:t>
            </w:r>
          </w:p>
        </w:tc>
      </w:tr>
      <w:tr>
        <w:tc>
          <w:tcPr>
            <w:tcW w:type="dxa" w:w="2160"/>
          </w:tcPr>
          <w:p>
            <w:r>
              <w:rPr>
                <w:sz w:val="18"/>
              </w:rPr>
            </w:r>
            <w:r>
              <w:rPr>
                <w:sz w:val="18"/>
              </w:rPr>
              <w:t>NeonDB</w:t>
            </w:r>
          </w:p>
        </w:tc>
        <w:tc>
          <w:tcPr>
            <w:tcW w:type="dxa" w:w="2160"/>
          </w:tcPr>
          <w:p>
            <w:r>
              <w:rPr>
                <w:sz w:val="18"/>
              </w:rPr>
            </w:r>
            <w:r>
              <w:rPr>
                <w:sz w:val="18"/>
              </w:rPr>
              <w:t>US / EU (multi-region)</w:t>
            </w:r>
          </w:p>
        </w:tc>
        <w:tc>
          <w:tcPr>
            <w:tcW w:type="dxa" w:w="2160"/>
          </w:tcPr>
          <w:p>
            <w:r>
              <w:rPr>
                <w:sz w:val="18"/>
              </w:rPr>
            </w:r>
            <w:r>
              <w:rPr>
                <w:sz w:val="18"/>
              </w:rPr>
              <w:t>All PII, Task data, Transactions</w:t>
            </w:r>
          </w:p>
        </w:tc>
        <w:tc>
          <w:tcPr>
            <w:tcW w:type="dxa" w:w="2160"/>
          </w:tcPr>
          <w:p>
            <w:r>
              <w:rPr>
                <w:sz w:val="18"/>
              </w:rPr>
            </w:r>
            <w:r>
              <w:rPr>
                <w:sz w:val="18"/>
              </w:rPr>
              <w:t>Standard Contractual Clauses (SCCs)</w:t>
            </w:r>
          </w:p>
        </w:tc>
      </w:tr>
    </w:tbl>
    <w:p/>
    <w:p>
      <w:pPr>
        <w:pStyle w:val="Heading3"/>
      </w:pPr>
      <w:r>
        <w:rPr>
          <w:color w:val="1F3B5C"/>
          <w:sz w:val="24"/>
        </w:rPr>
        <w:t>4.2 Safeguards</w:t>
      </w:r>
    </w:p>
    <w:p>
      <w:r>
        <w:t>Neon shall ensure that any cross-border transfer of Personal Data is protected by:</w:t>
      </w:r>
    </w:p>
    <w:p>
      <w:pPr>
        <w:pStyle w:val="ListBullet"/>
      </w:pPr>
      <w:r>
        <w:t>Standard Contractual Clauses (SCCs)</w:t>
      </w:r>
    </w:p>
    <w:p>
      <w:pPr>
        <w:pStyle w:val="ListBullet"/>
      </w:pPr>
      <w:r>
        <w:t>Encryption at rest (AES-256) and in transit (TLS 1.2+)</w:t>
      </w:r>
    </w:p>
    <w:p>
      <w:pPr>
        <w:pStyle w:val="ListBullet"/>
      </w:pPr>
      <w:r>
        <w:t>Regional data isolation options</w:t>
      </w:r>
    </w:p>
    <w:p>
      <w:pPr>
        <w:pStyle w:val="ListBullet"/>
      </w:pPr>
      <w:r>
        <w:t>Regular security audits</w:t>
      </w:r>
    </w:p>
    <w:p>
      <w:pPr>
        <w:pStyle w:val="Heading3"/>
      </w:pPr>
      <w:r>
        <w:rPr>
          <w:color w:val="1F3B5C"/>
          <w:sz w:val="24"/>
        </w:rPr>
        <w:t>4.3 International Storage Authorization</w:t>
      </w:r>
    </w:p>
    <w:p>
      <w:r>
        <w:t xml:space="preserve">Neon acknowledges that Personal Data is stored and processed </w:t>
      </w:r>
      <w:r>
        <w:rPr>
          <w:b/>
        </w:rPr>
        <w:t>outside of Rwanda</w:t>
      </w:r>
      <w:r>
        <w:t xml:space="preserve"> and that such transfer requires authorization from the </w:t>
      </w:r>
      <w:r>
        <w:rPr>
          <w:b/>
        </w:rPr>
        <w:t>Rwanda Data Protection Authority</w:t>
      </w:r>
      <w:r>
        <w:t>. LINEKORA shall obtain this authorization before activating Neon services.</w:t>
      </w:r>
    </w:p>
    <w:p>
      <w:r>
        <w:t>______________________________</w:t>
      </w:r>
    </w:p>
    <w:p>
      <w:pPr>
        <w:pStyle w:val="Heading2"/>
      </w:pPr>
      <w:r>
        <w:rPr>
          <w:color w:val="1F3B5C"/>
          <w:sz w:val="30"/>
        </w:rPr>
        <w:t>5. DATA RETENTION AND DELETION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Type</w:t>
            </w:r>
          </w:p>
        </w:tc>
        <w:tc>
          <w:tcPr>
            <w:tcW w:type="dxa" w:w="2880"/>
            <w:shd w:val="clear" w:color="auto" w:fill="1F3B5C"/>
          </w:tcPr>
          <w:p>
            <w:r>
              <w:rPr>
                <w:b/>
                <w:color w:val="FFFFFF"/>
                <w:sz w:val="18"/>
              </w:rPr>
            </w:r>
            <w:r>
              <w:rPr>
                <w:b/>
                <w:color w:val="FFFFFF"/>
                <w:sz w:val="18"/>
              </w:rPr>
              <w:t>Retention Period</w:t>
            </w:r>
          </w:p>
        </w:tc>
        <w:tc>
          <w:tcPr>
            <w:tcW w:type="dxa" w:w="2880"/>
            <w:shd w:val="clear" w:color="auto" w:fill="1F3B5C"/>
          </w:tcPr>
          <w:p>
            <w:r>
              <w:rPr>
                <w:b/>
                <w:color w:val="FFFFFF"/>
                <w:sz w:val="18"/>
              </w:rPr>
            </w:r>
            <w:r>
              <w:rPr>
                <w:b/>
                <w:color w:val="FFFFFF"/>
                <w:sz w:val="18"/>
              </w:rPr>
              <w:t>Deletion Method</w:t>
            </w:r>
          </w:p>
        </w:tc>
      </w:tr>
      <w:tr>
        <w:tc>
          <w:tcPr>
            <w:tcW w:type="dxa" w:w="2880"/>
          </w:tcPr>
          <w:p>
            <w:r>
              <w:rPr>
                <w:sz w:val="18"/>
              </w:rPr>
            </w:r>
            <w:r>
              <w:rPr>
                <w:sz w:val="18"/>
              </w:rPr>
              <w:t>Worker PII</w:t>
            </w:r>
          </w:p>
        </w:tc>
        <w:tc>
          <w:tcPr>
            <w:tcW w:type="dxa" w:w="2880"/>
          </w:tcPr>
          <w:p>
            <w:r>
              <w:rPr>
                <w:sz w:val="18"/>
              </w:rPr>
            </w:r>
            <w:r>
              <w:rPr>
                <w:sz w:val="18"/>
              </w:rPr>
              <w:t>Active account + 2 years</w:t>
            </w:r>
          </w:p>
        </w:tc>
        <w:tc>
          <w:tcPr>
            <w:tcW w:type="dxa" w:w="2880"/>
          </w:tcPr>
          <w:p>
            <w:r>
              <w:rPr>
                <w:sz w:val="18"/>
              </w:rPr>
            </w:r>
            <w:r>
              <w:rPr>
                <w:sz w:val="18"/>
              </w:rPr>
              <w:t>Secure deletion</w:t>
            </w:r>
          </w:p>
        </w:tc>
      </w:tr>
      <w:tr>
        <w:tc>
          <w:tcPr>
            <w:tcW w:type="dxa" w:w="2880"/>
            <w:shd w:val="clear" w:color="auto" w:fill="EAF1F8"/>
          </w:tcPr>
          <w:p>
            <w:r>
              <w:rPr>
                <w:sz w:val="18"/>
              </w:rPr>
            </w:r>
            <w:r>
              <w:rPr>
                <w:sz w:val="18"/>
              </w:rPr>
              <w:t>Employer PII</w:t>
            </w:r>
          </w:p>
        </w:tc>
        <w:tc>
          <w:tcPr>
            <w:tcW w:type="dxa" w:w="2880"/>
            <w:shd w:val="clear" w:color="auto" w:fill="EAF1F8"/>
          </w:tcPr>
          <w:p>
            <w:r>
              <w:rPr>
                <w:sz w:val="18"/>
              </w:rPr>
            </w:r>
            <w:r>
              <w:rPr>
                <w:sz w:val="18"/>
              </w:rPr>
              <w:t>Active account + 2 years</w:t>
            </w:r>
          </w:p>
        </w:tc>
        <w:tc>
          <w:tcPr>
            <w:tcW w:type="dxa" w:w="2880"/>
            <w:shd w:val="clear" w:color="auto" w:fill="EAF1F8"/>
          </w:tcPr>
          <w:p>
            <w:r>
              <w:rPr>
                <w:sz w:val="18"/>
              </w:rPr>
            </w:r>
            <w:r>
              <w:rPr>
                <w:sz w:val="18"/>
              </w:rPr>
              <w:t>Secure deletion</w:t>
            </w:r>
          </w:p>
        </w:tc>
      </w:tr>
      <w:tr>
        <w:tc>
          <w:tcPr>
            <w:tcW w:type="dxa" w:w="2880"/>
          </w:tcPr>
          <w:p>
            <w:r>
              <w:rPr>
                <w:sz w:val="18"/>
              </w:rPr>
            </w:r>
            <w:r>
              <w:rPr>
                <w:sz w:val="18"/>
              </w:rPr>
              <w:t>Task data</w:t>
            </w:r>
          </w:p>
        </w:tc>
        <w:tc>
          <w:tcPr>
            <w:tcW w:type="dxa" w:w="2880"/>
          </w:tcPr>
          <w:p>
            <w:r>
              <w:rPr>
                <w:sz w:val="18"/>
              </w:rPr>
            </w:r>
            <w:r>
              <w:rPr>
                <w:sz w:val="18"/>
              </w:rPr>
              <w:t>7 years (legal requirement)</w:t>
            </w:r>
          </w:p>
        </w:tc>
        <w:tc>
          <w:tcPr>
            <w:tcW w:type="dxa" w:w="2880"/>
          </w:tcPr>
          <w:p>
            <w:r>
              <w:rPr>
                <w:sz w:val="18"/>
              </w:rPr>
            </w:r>
            <w:r>
              <w:rPr>
                <w:sz w:val="18"/>
              </w:rPr>
              <w:t>Archive then delete</w:t>
            </w:r>
          </w:p>
        </w:tc>
      </w:tr>
      <w:tr>
        <w:tc>
          <w:tcPr>
            <w:tcW w:type="dxa" w:w="2880"/>
            <w:shd w:val="clear" w:color="auto" w:fill="EAF1F8"/>
          </w:tcPr>
          <w:p>
            <w:r>
              <w:rPr>
                <w:sz w:val="18"/>
              </w:rPr>
            </w:r>
            <w:r>
              <w:rPr>
                <w:sz w:val="18"/>
              </w:rPr>
              <w:t>Transaction records</w:t>
            </w:r>
          </w:p>
        </w:tc>
        <w:tc>
          <w:tcPr>
            <w:tcW w:type="dxa" w:w="2880"/>
            <w:shd w:val="clear" w:color="auto" w:fill="EAF1F8"/>
          </w:tcPr>
          <w:p>
            <w:r>
              <w:rPr>
                <w:sz w:val="18"/>
              </w:rPr>
            </w:r>
            <w:r>
              <w:rPr>
                <w:sz w:val="18"/>
              </w:rPr>
              <w:t>7 years (legal requirement)</w:t>
            </w:r>
          </w:p>
        </w:tc>
        <w:tc>
          <w:tcPr>
            <w:tcW w:type="dxa" w:w="2880"/>
            <w:shd w:val="clear" w:color="auto" w:fill="EAF1F8"/>
          </w:tcPr>
          <w:p>
            <w:r>
              <w:rPr>
                <w:sz w:val="18"/>
              </w:rPr>
            </w:r>
            <w:r>
              <w:rPr>
                <w:sz w:val="18"/>
              </w:rPr>
              <w:t>Archive then delete</w:t>
            </w:r>
          </w:p>
        </w:tc>
      </w:tr>
      <w:tr>
        <w:tc>
          <w:tcPr>
            <w:tcW w:type="dxa" w:w="2880"/>
          </w:tcPr>
          <w:p>
            <w:r>
              <w:rPr>
                <w:sz w:val="18"/>
              </w:rPr>
            </w:r>
            <w:r>
              <w:rPr>
                <w:sz w:val="18"/>
              </w:rPr>
              <w:t>Support tickets</w:t>
            </w:r>
          </w:p>
        </w:tc>
        <w:tc>
          <w:tcPr>
            <w:tcW w:type="dxa" w:w="2880"/>
          </w:tcPr>
          <w:p>
            <w:r>
              <w:rPr>
                <w:sz w:val="18"/>
              </w:rPr>
            </w:r>
            <w:r>
              <w:rPr>
                <w:sz w:val="18"/>
              </w:rPr>
              <w:t>Resolution + 1 year</w:t>
            </w:r>
          </w:p>
        </w:tc>
        <w:tc>
          <w:tcPr>
            <w:tcW w:type="dxa" w:w="2880"/>
          </w:tcPr>
          <w:p>
            <w:r>
              <w:rPr>
                <w:sz w:val="18"/>
              </w:rPr>
            </w:r>
            <w:r>
              <w:rPr>
                <w:sz w:val="18"/>
              </w:rPr>
              <w:t>Secure deletion</w:t>
            </w:r>
          </w:p>
        </w:tc>
      </w:tr>
    </w:tbl>
    <w:p/>
    <w:p>
      <w:r>
        <w:t>______________________________</w:t>
      </w:r>
    </w:p>
    <w:p>
      <w:pPr>
        <w:pStyle w:val="Heading2"/>
      </w:pPr>
      <w:r>
        <w:rPr>
          <w:color w:val="1F3B5C"/>
          <w:sz w:val="30"/>
        </w:rPr>
        <w:t>6. AUDIT RIGHTS</w:t>
      </w:r>
    </w:p>
    <w:p>
      <w:r>
        <w:t>LINEKORA (or its authorized auditor) shall have the right to:</w:t>
      </w:r>
    </w:p>
    <w:p>
      <w:pPr>
        <w:pStyle w:val="ListBullet"/>
      </w:pPr>
      <w:r>
        <w:t>Conduct audits of Neon's data processing activities</w:t>
      </w:r>
    </w:p>
    <w:p>
      <w:pPr>
        <w:pStyle w:val="ListBullet"/>
      </w:pPr>
      <w:r>
        <w:t>Request documentation and evidence of compliance</w:t>
      </w:r>
    </w:p>
    <w:p>
      <w:pPr>
        <w:pStyle w:val="ListBullet"/>
      </w:pPr>
      <w:r>
        <w:t>Inspect security measures and facilities</w:t>
      </w:r>
    </w:p>
    <w:p>
      <w:pPr>
        <w:pStyle w:val="ListBullet"/>
      </w:pPr>
      <w:r>
        <w:t>Request backup and recovery records</w:t>
      </w:r>
    </w:p>
    <w:p>
      <w:r>
        <w:t>______________________________</w:t>
      </w:r>
    </w:p>
    <w:p>
      <w:pPr>
        <w:pStyle w:val="Heading2"/>
      </w:pPr>
      <w:r>
        <w:rPr>
          <w:color w:val="1F3B5C"/>
          <w:sz w:val="30"/>
        </w:rPr>
        <w:t>7. SIGNATURES</w:t>
      </w:r>
    </w:p>
    <w:p>
      <w:pPr>
        <w:pStyle w:val="Heading3"/>
      </w:pPr>
      <w:r>
        <w:rPr>
          <w:color w:val="1F3B5C"/>
          <w:sz w:val="24"/>
        </w:rPr>
        <w:t>Data Controller: LINEKORA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pPr>
        <w:pStyle w:val="Heading3"/>
      </w:pPr>
      <w:r>
        <w:rPr>
          <w:color w:val="1F3B5C"/>
          <w:sz w:val="24"/>
        </w:rPr>
        <w:t>Data Processor: Neon (NeonDB Inc.)</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r>
        <w:t>______________________________</w:t>
      </w:r>
    </w:p>
    <w:p>
      <w:r>
        <w:t>*Document prepared for LINEKORA Data Protection Compliance*</w:t>
      </w:r>
    </w:p>
    <w:p>
      <w:r>
        <w:t>*Pursuant to Rwanda Data Protection Law No. 3/2021*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