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5C"/>
          <w:sz w:val="40"/>
        </w:rPr>
        <w:t>DATA PROTECTION AGREEMENT (DPA)</w:t>
      </w:r>
    </w:p>
    <w:p>
      <w:pPr>
        <w:pStyle w:val="Heading1"/>
      </w:pPr>
      <w:r>
        <w:rPr>
          <w:color w:val="1F3B5C"/>
          <w:sz w:val="40"/>
        </w:rPr>
        <w:t>Stripe — LINEKORA</w:t>
      </w:r>
    </w:p>
    <w:p>
      <w:r>
        <w:rPr>
          <w:b/>
        </w:rPr>
        <w:t>Between:</w:t>
      </w:r>
    </w:p>
    <w:p>
      <w:pPr>
        <w:pStyle w:val="ListBullet"/>
      </w:pPr>
      <w:r>
        <w:rPr>
          <w:b/>
        </w:rPr>
        <w:t>Data Controller:</w:t>
      </w:r>
      <w:r>
        <w:t xml:space="preserve"> LINEKORA (hereinafter "the Company")</w:t>
      </w:r>
    </w:p>
    <w:p>
      <w:pPr>
        <w:pStyle w:val="ListBullet"/>
      </w:pPr>
      <w:r>
        <w:rPr>
          <w:b/>
        </w:rPr>
        <w:t>Data Processor:</w:t>
      </w:r>
      <w:r>
        <w:t xml:space="preserve"> Stripe Inc. (hereinafter "Stripe")</w:t>
      </w:r>
    </w:p>
    <w:p>
      <w:r>
        <w:rPr>
          <w:b/>
        </w:rPr>
        <w:t>Effective Date:</w:t>
      </w:r>
      <w:r>
        <w:t xml:space="preserve"> _______________</w:t>
      </w:r>
    </w:p>
    <w:p>
      <w:r>
        <w:rPr>
          <w:b/>
        </w:rPr>
        <w:t>Agreement Reference:</w:t>
      </w:r>
      <w:r>
        <w:t xml:space="preserve"> LINEKORA-DPA-STRIPE-2026</w:t>
      </w:r>
    </w:p>
    <w:p>
      <w:r>
        <w:t>______________________________</w:t>
      </w:r>
    </w:p>
    <w:p>
      <w:pPr>
        <w:pStyle w:val="Heading2"/>
      </w:pPr>
      <w:r>
        <w:rPr>
          <w:color w:val="1F3B5C"/>
          <w:sz w:val="30"/>
        </w:rPr>
        <w:t>1. PURPOSE</w:t>
      </w:r>
    </w:p>
    <w:p>
      <w:r>
        <w:t xml:space="preserve">This DPA sets out the terms that apply when Personal Data is processed by Stripe on behalf of LINEKORA in the course of providing payment processing services. This DPA is required for compliance with the </w:t>
      </w:r>
      <w:r>
        <w:rPr>
          <w:b/>
        </w:rPr>
        <w:t>Rwanda Data Protection Law No. 3/2021</w:t>
      </w:r>
      <w:r>
        <w:t>.</w:t>
      </w:r>
    </w:p>
    <w:p>
      <w:r>
        <w:t>______________________________</w:t>
      </w:r>
    </w:p>
    <w:p>
      <w:pPr>
        <w:pStyle w:val="Heading2"/>
      </w:pPr>
      <w:r>
        <w:rPr>
          <w:color w:val="1F3B5C"/>
          <w:sz w:val="30"/>
        </w:rPr>
        <w:t>2. SCOPE OF PROCESSING</w:t>
      </w:r>
    </w:p>
    <w:p>
      <w:pPr>
        <w:pStyle w:val="Heading3"/>
      </w:pPr>
      <w:r>
        <w:rPr>
          <w:color w:val="1F3B5C"/>
          <w:sz w:val="24"/>
        </w:rPr>
        <w:t>2.1 Data Categories Processed by Stripe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Data Elements</w:t>
            </w:r>
          </w:p>
        </w:tc>
        <w:tc>
          <w:tcPr>
            <w:tcW w:type="dxa" w:w="2880"/>
            <w:shd w:val="clear" w:color="auto" w:fill="1F3B5C"/>
          </w:tcPr>
          <w:p>
            <w:r>
              <w:rPr>
                <w:b/>
                <w:color w:val="FFFFFF"/>
                <w:sz w:val="18"/>
              </w:rPr>
            </w:r>
            <w:r>
              <w:rPr>
                <w:b/>
                <w:color w:val="FFFFFF"/>
                <w:sz w:val="18"/>
              </w:rPr>
              <w:t>Purpose</w:t>
            </w:r>
          </w:p>
        </w:tc>
      </w:tr>
      <w:tr>
        <w:tc>
          <w:tcPr>
            <w:tcW w:type="dxa" w:w="2880"/>
          </w:tcPr>
          <w:p>
            <w:r>
              <w:rPr>
                <w:sz w:val="18"/>
              </w:rPr>
            </w:r>
            <w:r>
              <w:rPr>
                <w:sz w:val="18"/>
              </w:rPr>
              <w:t>Payment Data</w:t>
            </w:r>
          </w:p>
        </w:tc>
        <w:tc>
          <w:tcPr>
            <w:tcW w:type="dxa" w:w="2880"/>
          </w:tcPr>
          <w:p>
            <w:r>
              <w:rPr>
                <w:sz w:val="18"/>
              </w:rPr>
            </w:r>
            <w:r>
              <w:rPr>
                <w:sz w:val="18"/>
              </w:rPr>
              <w:t>Card details, Billing info, Payment method</w:t>
            </w:r>
          </w:p>
        </w:tc>
        <w:tc>
          <w:tcPr>
            <w:tcW w:type="dxa" w:w="2880"/>
          </w:tcPr>
          <w:p>
            <w:r>
              <w:rPr>
                <w:sz w:val="18"/>
              </w:rPr>
            </w:r>
            <w:r>
              <w:rPr>
                <w:sz w:val="18"/>
              </w:rPr>
              <w:t>Payment processing</w:t>
            </w:r>
          </w:p>
        </w:tc>
      </w:tr>
      <w:tr>
        <w:tc>
          <w:tcPr>
            <w:tcW w:type="dxa" w:w="2880"/>
            <w:shd w:val="clear" w:color="auto" w:fill="EAF1F8"/>
          </w:tcPr>
          <w:p>
            <w:r>
              <w:rPr>
                <w:sz w:val="18"/>
              </w:rPr>
            </w:r>
            <w:r>
              <w:rPr>
                <w:sz w:val="18"/>
              </w:rPr>
              <w:t>Transaction Data</w:t>
            </w:r>
          </w:p>
        </w:tc>
        <w:tc>
          <w:tcPr>
            <w:tcW w:type="dxa" w:w="2880"/>
            <w:shd w:val="clear" w:color="auto" w:fill="EAF1F8"/>
          </w:tcPr>
          <w:p>
            <w:r>
              <w:rPr>
                <w:sz w:val="18"/>
              </w:rPr>
            </w:r>
            <w:r>
              <w:rPr>
                <w:sz w:val="18"/>
              </w:rPr>
              <w:t>Transaction ID, Amount, Status</w:t>
            </w:r>
          </w:p>
        </w:tc>
        <w:tc>
          <w:tcPr>
            <w:tcW w:type="dxa" w:w="2880"/>
            <w:shd w:val="clear" w:color="auto" w:fill="EAF1F8"/>
          </w:tcPr>
          <w:p>
            <w:r>
              <w:rPr>
                <w:sz w:val="18"/>
              </w:rPr>
            </w:r>
            <w:r>
              <w:rPr>
                <w:sz w:val="18"/>
              </w:rPr>
              <w:t>Payment records</w:t>
            </w:r>
          </w:p>
        </w:tc>
      </w:tr>
      <w:tr>
        <w:tc>
          <w:tcPr>
            <w:tcW w:type="dxa" w:w="2880"/>
          </w:tcPr>
          <w:p>
            <w:r>
              <w:rPr>
                <w:sz w:val="18"/>
              </w:rPr>
            </w:r>
            <w:r>
              <w:rPr>
                <w:sz w:val="18"/>
              </w:rPr>
              <w:t>Employer PII</w:t>
            </w:r>
          </w:p>
        </w:tc>
        <w:tc>
          <w:tcPr>
            <w:tcW w:type="dxa" w:w="2880"/>
          </w:tcPr>
          <w:p>
            <w:r>
              <w:rPr>
                <w:sz w:val="18"/>
              </w:rPr>
            </w:r>
            <w:r>
              <w:rPr>
                <w:sz w:val="18"/>
              </w:rPr>
              <w:t>Name, Phone, Company</w:t>
            </w:r>
          </w:p>
        </w:tc>
        <w:tc>
          <w:tcPr>
            <w:tcW w:type="dxa" w:w="2880"/>
          </w:tcPr>
          <w:p>
            <w:r>
              <w:rPr>
                <w:sz w:val="18"/>
              </w:rPr>
            </w:r>
            <w:r>
              <w:rPr>
                <w:sz w:val="18"/>
              </w:rPr>
              <w:t>Billing identity</w:t>
            </w:r>
          </w:p>
        </w:tc>
      </w:tr>
      <w:tr>
        <w:tc>
          <w:tcPr>
            <w:tcW w:type="dxa" w:w="2880"/>
            <w:shd w:val="clear" w:color="auto" w:fill="EAF1F8"/>
          </w:tcPr>
          <w:p>
            <w:r>
              <w:rPr>
                <w:sz w:val="18"/>
              </w:rPr>
            </w:r>
            <w:r>
              <w:rPr>
                <w:sz w:val="18"/>
              </w:rPr>
              <w:t>Dispute Data</w:t>
            </w:r>
          </w:p>
        </w:tc>
        <w:tc>
          <w:tcPr>
            <w:tcW w:type="dxa" w:w="2880"/>
            <w:shd w:val="clear" w:color="auto" w:fill="EAF1F8"/>
          </w:tcPr>
          <w:p>
            <w:r>
              <w:rPr>
                <w:sz w:val="18"/>
              </w:rPr>
            </w:r>
            <w:r>
              <w:rPr>
                <w:sz w:val="18"/>
              </w:rPr>
              <w:t>Dispute references, Evidence</w:t>
            </w:r>
          </w:p>
        </w:tc>
        <w:tc>
          <w:tcPr>
            <w:tcW w:type="dxa" w:w="2880"/>
            <w:shd w:val="clear" w:color="auto" w:fill="EAF1F8"/>
          </w:tcPr>
          <w:p>
            <w:r>
              <w:rPr>
                <w:sz w:val="18"/>
              </w:rPr>
            </w:r>
            <w:r>
              <w:rPr>
                <w:sz w:val="18"/>
              </w:rPr>
              <w:t>Dispute resolution</w:t>
            </w:r>
          </w:p>
        </w:tc>
      </w:tr>
    </w:tbl>
    <w:p/>
    <w:p>
      <w:pPr>
        <w:pStyle w:val="Heading3"/>
      </w:pPr>
      <w:r>
        <w:rPr>
          <w:color w:val="1F3B5C"/>
          <w:sz w:val="24"/>
        </w:rPr>
        <w:t>2.2 Purpose of Processing</w:t>
      </w:r>
    </w:p>
    <w:p>
      <w:r>
        <w:t>Stripe shall process Personal Data solely for:</w:t>
      </w:r>
    </w:p>
    <w:p>
      <w:pPr>
        <w:pStyle w:val="ListBullet"/>
      </w:pPr>
      <w:r>
        <w:t>Payment processing and settlement</w:t>
      </w:r>
    </w:p>
    <w:p>
      <w:pPr>
        <w:pStyle w:val="ListBullet"/>
      </w:pPr>
      <w:r>
        <w:t>Fraud detection and prevention</w:t>
      </w:r>
    </w:p>
    <w:p>
      <w:pPr>
        <w:pStyle w:val="ListBullet"/>
      </w:pPr>
      <w:r>
        <w:t>Billing and invoicing</w:t>
      </w:r>
    </w:p>
    <w:p>
      <w:pPr>
        <w:pStyle w:val="ListBullet"/>
      </w:pPr>
      <w:r>
        <w:t>Dispute resolution</w:t>
      </w:r>
    </w:p>
    <w:p>
      <w:pPr>
        <w:pStyle w:val="ListBullet"/>
      </w:pPr>
      <w:r>
        <w:t>Regulatory compliance (financial regulations)</w:t>
      </w:r>
    </w:p>
    <w:p>
      <w:pPr>
        <w:pStyle w:val="Heading3"/>
      </w:pPr>
      <w:r>
        <w:rPr>
          <w:color w:val="1F3B5C"/>
          <w:sz w:val="24"/>
        </w:rPr>
        <w:t>2.3 Duration of Processing</w:t>
      </w:r>
    </w:p>
    <w:p>
      <w:r>
        <w:t>This DPA shall remain in effect for the duration of the Stripe service agreement.</w:t>
      </w:r>
    </w:p>
    <w:p>
      <w:r>
        <w:t>______________________________</w:t>
      </w:r>
    </w:p>
    <w:p>
      <w:pPr>
        <w:pStyle w:val="Heading2"/>
      </w:pPr>
      <w:r>
        <w:rPr>
          <w:color w:val="1F3B5C"/>
          <w:sz w:val="30"/>
        </w:rPr>
        <w:t>3. OBLIGATIONS OF STRIPE</w:t>
      </w:r>
    </w:p>
    <w:p>
      <w:pPr>
        <w:pStyle w:val="Heading3"/>
      </w:pPr>
      <w:r>
        <w:rPr>
          <w:color w:val="1F3B5C"/>
          <w:sz w:val="24"/>
        </w:rPr>
        <w:t>3.1 Processing Instructions</w:t>
      </w:r>
    </w:p>
    <w:p>
      <w:pPr>
        <w:pStyle w:val="ListBullet"/>
      </w:pPr>
      <w:r>
        <w:t>Process Personal Data only on documented instructions from LINEKORA</w:t>
      </w:r>
    </w:p>
    <w:p>
      <w:pPr>
        <w:pStyle w:val="ListBullet"/>
      </w:pPr>
      <w:r>
        <w:t>Immediately inform LINEKORA if an instruction infringes on data protection laws</w:t>
      </w:r>
    </w:p>
    <w:p>
      <w:pPr>
        <w:pStyle w:val="ListBullet"/>
      </w:pPr>
      <w:r>
        <w:t>Not process Personal Data for any purpose other than the agreed services</w:t>
      </w:r>
    </w:p>
    <w:p>
      <w:pPr>
        <w:pStyle w:val="Heading3"/>
      </w:pPr>
      <w:r>
        <w:rPr>
          <w:color w:val="1F3B5C"/>
          <w:sz w:val="24"/>
        </w:rPr>
        <w:t>3.2 Confidentiality</w:t>
      </w:r>
    </w:p>
    <w:p>
      <w:pPr>
        <w:pStyle w:val="ListBullet"/>
      </w:pPr>
      <w:r>
        <w:t>All persons authorized to process Personal Data are bound by confidentiality obligations</w:t>
      </w:r>
    </w:p>
    <w:p>
      <w:pPr>
        <w:pStyle w:val="ListBullet"/>
      </w:pPr>
      <w:r>
        <w:t>Access to Personal Data is limited to authorized personnel only</w:t>
      </w:r>
    </w:p>
    <w:p>
      <w:pPr>
        <w:pStyle w:val="ListBullet"/>
      </w:pPr>
      <w:r>
        <w:t>Personal Data is not disclosed to unauthorized third parties</w:t>
      </w:r>
    </w:p>
    <w:p>
      <w:pPr>
        <w:pStyle w:val="Heading3"/>
      </w:pPr>
      <w:r>
        <w:rPr>
          <w:color w:val="1F3B5C"/>
          <w:sz w:val="24"/>
        </w:rPr>
        <w:t>3.3 Security Measures</w:t>
      </w:r>
    </w:p>
    <w:p>
      <w:r>
        <w:t>Stripe shall implement:</w:t>
      </w:r>
    </w:p>
    <w:p>
      <w:pPr>
        <w:pStyle w:val="ListBullet"/>
      </w:pPr>
      <w:r>
        <w:t xml:space="preserve">[ ] </w:t>
      </w:r>
      <w:r>
        <w:rPr>
          <w:b/>
        </w:rPr>
        <w:t>Encryption</w:t>
      </w:r>
      <w:r>
        <w:t xml:space="preserve"> — AES-256 encryption at rest; TLS 1.2+ in transit</w:t>
      </w:r>
    </w:p>
    <w:p>
      <w:pPr>
        <w:pStyle w:val="ListBullet"/>
      </w:pPr>
      <w:r>
        <w:t xml:space="preserve">[ ] </w:t>
      </w:r>
      <w:r>
        <w:rPr>
          <w:b/>
        </w:rPr>
        <w:t>Access Controls</w:t>
      </w:r>
      <w:r>
        <w:t xml:space="preserve"> — Role-based access control (RBAC)</w:t>
      </w:r>
    </w:p>
    <w:p>
      <w:pPr>
        <w:pStyle w:val="ListBullet"/>
      </w:pPr>
      <w:r>
        <w:t xml:space="preserve">[ ] </w:t>
      </w:r>
      <w:r>
        <w:rPr>
          <w:b/>
        </w:rPr>
        <w:t>Audit Logging</w:t>
      </w:r>
      <w:r>
        <w:t xml:space="preserve"> — All access to Personal Data is logged</w:t>
      </w:r>
    </w:p>
    <w:p>
      <w:pPr>
        <w:pStyle w:val="ListBullet"/>
      </w:pPr>
      <w:r>
        <w:t xml:space="preserve">[ ] </w:t>
      </w:r>
      <w:r>
        <w:rPr>
          <w:b/>
        </w:rPr>
        <w:t>Vulnerability Management</w:t>
      </w:r>
      <w:r>
        <w:t xml:space="preserve"> — Regular security assessments (penetration testing)</w:t>
      </w:r>
    </w:p>
    <w:p>
      <w:pPr>
        <w:pStyle w:val="ListBullet"/>
      </w:pPr>
      <w:r>
        <w:t xml:space="preserve">[ ] </w:t>
      </w:r>
      <w:r>
        <w:rPr>
          <w:b/>
        </w:rPr>
        <w:t>Incident Response</w:t>
      </w:r>
      <w:r>
        <w:t xml:space="preserve"> — Documented breach notification procedures</w:t>
      </w:r>
    </w:p>
    <w:p>
      <w:pPr>
        <w:pStyle w:val="ListBullet"/>
      </w:pPr>
      <w:r>
        <w:t xml:space="preserve">[ ] </w:t>
      </w:r>
      <w:r>
        <w:rPr>
          <w:b/>
        </w:rPr>
        <w:t>PCI DSS Level 1 Compliance</w:t>
      </w:r>
      <w:r>
        <w:t xml:space="preserve"> — Highest payment security standard</w:t>
      </w:r>
    </w:p>
    <w:p>
      <w:pPr>
        <w:pStyle w:val="ListBullet"/>
      </w:pPr>
      <w:r>
        <w:t xml:space="preserve">[ ] </w:t>
      </w:r>
      <w:r>
        <w:rPr>
          <w:b/>
        </w:rPr>
        <w:t>SOC 2 Type II Compliance</w:t>
      </w:r>
      <w:r>
        <w:t xml:space="preserve"> — Annual audit</w:t>
      </w:r>
    </w:p>
    <w:p>
      <w:pPr>
        <w:pStyle w:val="Heading3"/>
      </w:pPr>
      <w:r>
        <w:rPr>
          <w:color w:val="1F3B5C"/>
          <w:sz w:val="24"/>
        </w:rPr>
        <w:t>3.4 Sub-Processors</w:t>
      </w:r>
    </w:p>
    <w:p>
      <w:r>
        <w:t>Stripe maintains a list of sub-processors at: https://stripe.com/privacy</w:t>
      </w:r>
    </w:p>
    <w:p>
      <w:r>
        <w:t>LINEKORA must be notified of any changes to the sub-processor list.</w:t>
      </w:r>
    </w:p>
    <w:p>
      <w:pPr>
        <w:pStyle w:val="Heading3"/>
      </w:pPr>
      <w:r>
        <w:rPr>
          <w:color w:val="1F3B5C"/>
          <w:sz w:val="24"/>
        </w:rPr>
        <w:t>3.5 Data Breach Notification</w:t>
      </w:r>
    </w:p>
    <w:p>
      <w:pPr>
        <w:pStyle w:val="ListBullet"/>
      </w:pPr>
      <w:r>
        <w:t xml:space="preserve">Notify LINEKORA </w:t>
      </w:r>
      <w:r>
        <w:rPr>
          <w:b/>
        </w:rPr>
        <w:t>within 48 hours</w:t>
      </w:r>
      <w:r>
        <w:t xml:space="preserve"> of becoming aware of a Personal Data breach</w:t>
      </w:r>
    </w:p>
    <w:p>
      <w:pPr>
        <w:pStyle w:val="ListBullet"/>
      </w:pPr>
      <w:r>
        <w:t xml:space="preserve">Provide all information necessary for LINEKORA to comply with the </w:t>
      </w:r>
      <w:r>
        <w:rPr>
          <w:b/>
        </w:rPr>
        <w:t>72-hour breach notification</w:t>
      </w:r>
      <w:r>
        <w:t xml:space="preserve"> requirement under Rwanda's PDPB</w:t>
      </w:r>
    </w:p>
    <w:p>
      <w:pPr>
        <w:pStyle w:val="ListBullet"/>
      </w:pPr>
      <w:r>
        <w:t>Take immediate steps to contain and remediate the breach</w:t>
      </w:r>
    </w:p>
    <w:p>
      <w:r>
        <w:t>______________________________</w:t>
      </w:r>
    </w:p>
    <w:p>
      <w:pPr>
        <w:pStyle w:val="Heading2"/>
      </w:pPr>
      <w:r>
        <w:rPr>
          <w:color w:val="1F3B5C"/>
          <w:sz w:val="30"/>
        </w:rPr>
        <w:t>4. CROSS-BORDER DATA TRANSFERS</w:t>
      </w:r>
    </w:p>
    <w:p>
      <w:pPr>
        <w:pStyle w:val="Heading3"/>
      </w:pPr>
      <w:r>
        <w:rPr>
          <w:color w:val="1F3B5C"/>
          <w:sz w:val="24"/>
        </w:rPr>
        <w:t>4.1 Processor 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Processor</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Stored</w:t>
            </w:r>
          </w:p>
        </w:tc>
        <w:tc>
          <w:tcPr>
            <w:tcW w:type="dxa" w:w="2160"/>
            <w:shd w:val="clear" w:color="auto" w:fill="1F3B5C"/>
          </w:tcPr>
          <w:p>
            <w:r>
              <w:rPr>
                <w:b/>
                <w:color w:val="FFFFFF"/>
                <w:sz w:val="18"/>
              </w:rPr>
            </w:r>
            <w:r>
              <w:rPr>
                <w:b/>
                <w:color w:val="FFFFFF"/>
                <w:sz w:val="18"/>
              </w:rPr>
              <w:t>Transfer Mechanism</w:t>
            </w:r>
          </w:p>
        </w:tc>
      </w:tr>
      <w:tr>
        <w:tc>
          <w:tcPr>
            <w:tcW w:type="dxa" w:w="2160"/>
          </w:tcPr>
          <w:p>
            <w:r>
              <w:rPr>
                <w:sz w:val="18"/>
              </w:rPr>
            </w:r>
            <w:r>
              <w:rPr>
                <w:sz w:val="18"/>
              </w:rPr>
              <w:t>Stripe Inc.</w:t>
            </w:r>
          </w:p>
        </w:tc>
        <w:tc>
          <w:tcPr>
            <w:tcW w:type="dxa" w:w="2160"/>
          </w:tcPr>
          <w:p>
            <w:r>
              <w:rPr>
                <w:sz w:val="18"/>
              </w:rPr>
            </w:r>
            <w:r>
              <w:rPr>
                <w:sz w:val="18"/>
              </w:rPr>
              <w:t>San Francisco, CA, USA</w:t>
            </w:r>
          </w:p>
        </w:tc>
        <w:tc>
          <w:tcPr>
            <w:tcW w:type="dxa" w:w="2160"/>
          </w:tcPr>
          <w:p>
            <w:r>
              <w:rPr>
                <w:sz w:val="18"/>
              </w:rPr>
            </w:r>
            <w:r>
              <w:rPr>
                <w:sz w:val="18"/>
              </w:rPr>
              <w:t>Payment data, Transaction records</w:t>
            </w:r>
          </w:p>
        </w:tc>
        <w:tc>
          <w:tcPr>
            <w:tcW w:type="dxa" w:w="2160"/>
          </w:tcPr>
          <w:p>
            <w:r>
              <w:rPr>
                <w:sz w:val="18"/>
              </w:rPr>
            </w:r>
            <w:r>
              <w:rPr>
                <w:sz w:val="18"/>
              </w:rPr>
              <w:t>Standard Contractual Clauses (SCCs)</w:t>
            </w:r>
          </w:p>
        </w:tc>
      </w:tr>
    </w:tbl>
    <w:p/>
    <w:p>
      <w:pPr>
        <w:pStyle w:val="Heading3"/>
      </w:pPr>
      <w:r>
        <w:rPr>
          <w:color w:val="1F3B5C"/>
          <w:sz w:val="24"/>
        </w:rPr>
        <w:t>4.2 Safeguards</w:t>
      </w:r>
    </w:p>
    <w:p>
      <w:r>
        <w:t>Stripe shall ensure that any cross-border transfer of Personal Data is protected by:</w:t>
      </w:r>
    </w:p>
    <w:p>
      <w:pPr>
        <w:pStyle w:val="ListBullet"/>
      </w:pPr>
      <w:r>
        <w:t>Standard Contractual Clauses (SCCs)</w:t>
      </w:r>
    </w:p>
    <w:p>
      <w:pPr>
        <w:pStyle w:val="ListBullet"/>
      </w:pPr>
      <w:r>
        <w:t>Encryption at rest (AES-256) and in transit (TLS 1.2+)</w:t>
      </w:r>
    </w:p>
    <w:p>
      <w:pPr>
        <w:pStyle w:val="ListBullet"/>
      </w:pPr>
      <w:r>
        <w:t>PCI DSS Level 1 compliance</w:t>
      </w:r>
    </w:p>
    <w:p>
      <w:pPr>
        <w:pStyle w:val="ListBullet"/>
      </w:pPr>
      <w:r>
        <w:t>Regular security audits</w:t>
      </w:r>
    </w:p>
    <w:p>
      <w:pPr>
        <w:pStyle w:val="Heading3"/>
      </w:pPr>
      <w:r>
        <w:rPr>
          <w:color w:val="1F3B5C"/>
          <w:sz w:val="24"/>
        </w:rPr>
        <w:t>4.3 International Storage Authorization</w:t>
      </w:r>
    </w:p>
    <w:p>
      <w:r>
        <w:t xml:space="preserve">Stripe acknowledges that Personal Data is stored and processed </w:t>
      </w:r>
      <w:r>
        <w:rPr>
          <w:b/>
        </w:rPr>
        <w:t>outside of Rwanda</w:t>
      </w:r>
      <w:r>
        <w:t xml:space="preserve"> and that such transfer requires authorization from the </w:t>
      </w:r>
      <w:r>
        <w:rPr>
          <w:b/>
        </w:rPr>
        <w:t>Rwanda Data Protection Authority</w:t>
      </w:r>
      <w:r>
        <w:t>.</w:t>
      </w:r>
    </w:p>
    <w:p>
      <w:r>
        <w:t>______________________________</w:t>
      </w:r>
    </w:p>
    <w:p>
      <w:pPr>
        <w:pStyle w:val="Heading2"/>
      </w:pPr>
      <w:r>
        <w:rPr>
          <w:color w:val="1F3B5C"/>
          <w:sz w:val="30"/>
        </w:rPr>
        <w:t>5. DATA RETENTION AND DELETION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Type</w:t>
            </w:r>
          </w:p>
        </w:tc>
        <w:tc>
          <w:tcPr>
            <w:tcW w:type="dxa" w:w="2880"/>
            <w:shd w:val="clear" w:color="auto" w:fill="1F3B5C"/>
          </w:tcPr>
          <w:p>
            <w:r>
              <w:rPr>
                <w:b/>
                <w:color w:val="FFFFFF"/>
                <w:sz w:val="18"/>
              </w:rPr>
            </w:r>
            <w:r>
              <w:rPr>
                <w:b/>
                <w:color w:val="FFFFFF"/>
                <w:sz w:val="18"/>
              </w:rPr>
              <w:t>Retention Period</w:t>
            </w:r>
          </w:p>
        </w:tc>
        <w:tc>
          <w:tcPr>
            <w:tcW w:type="dxa" w:w="2880"/>
            <w:shd w:val="clear" w:color="auto" w:fill="1F3B5C"/>
          </w:tcPr>
          <w:p>
            <w:r>
              <w:rPr>
                <w:b/>
                <w:color w:val="FFFFFF"/>
                <w:sz w:val="18"/>
              </w:rPr>
            </w:r>
            <w:r>
              <w:rPr>
                <w:b/>
                <w:color w:val="FFFFFF"/>
                <w:sz w:val="18"/>
              </w:rPr>
              <w:t>Deletion Method</w:t>
            </w:r>
          </w:p>
        </w:tc>
      </w:tr>
      <w:tr>
        <w:tc>
          <w:tcPr>
            <w:tcW w:type="dxa" w:w="2880"/>
          </w:tcPr>
          <w:p>
            <w:r>
              <w:rPr>
                <w:sz w:val="18"/>
              </w:rPr>
            </w:r>
            <w:r>
              <w:rPr>
                <w:sz w:val="18"/>
              </w:rPr>
              <w:t>Transaction records</w:t>
            </w:r>
          </w:p>
        </w:tc>
        <w:tc>
          <w:tcPr>
            <w:tcW w:type="dxa" w:w="2880"/>
          </w:tcPr>
          <w:p>
            <w:r>
              <w:rPr>
                <w:sz w:val="18"/>
              </w:rPr>
            </w:r>
            <w:r>
              <w:rPr>
                <w:sz w:val="18"/>
              </w:rPr>
              <w:t>7 years (financial regulation)</w:t>
            </w:r>
          </w:p>
        </w:tc>
        <w:tc>
          <w:tcPr>
            <w:tcW w:type="dxa" w:w="2880"/>
          </w:tcPr>
          <w:p>
            <w:r>
              <w:rPr>
                <w:sz w:val="18"/>
              </w:rPr>
            </w:r>
            <w:r>
              <w:rPr>
                <w:sz w:val="18"/>
              </w:rPr>
              <w:t>Archive then delete</w:t>
            </w:r>
          </w:p>
        </w:tc>
      </w:tr>
      <w:tr>
        <w:tc>
          <w:tcPr>
            <w:tcW w:type="dxa" w:w="2880"/>
            <w:shd w:val="clear" w:color="auto" w:fill="EAF1F8"/>
          </w:tcPr>
          <w:p>
            <w:r>
              <w:rPr>
                <w:sz w:val="18"/>
              </w:rPr>
            </w:r>
            <w:r>
              <w:rPr>
                <w:sz w:val="18"/>
              </w:rPr>
              <w:t>Payment methods</w:t>
            </w:r>
          </w:p>
        </w:tc>
        <w:tc>
          <w:tcPr>
            <w:tcW w:type="dxa" w:w="2880"/>
            <w:shd w:val="clear" w:color="auto" w:fill="EAF1F8"/>
          </w:tcPr>
          <w:p>
            <w:r>
              <w:rPr>
                <w:sz w:val="18"/>
              </w:rPr>
            </w:r>
            <w:r>
              <w:rPr>
                <w:sz w:val="18"/>
              </w:rPr>
              <w:t>Until account closure</w:t>
            </w:r>
          </w:p>
        </w:tc>
        <w:tc>
          <w:tcPr>
            <w:tcW w:type="dxa" w:w="2880"/>
            <w:shd w:val="clear" w:color="auto" w:fill="EAF1F8"/>
          </w:tcPr>
          <w:p>
            <w:r>
              <w:rPr>
                <w:sz w:val="18"/>
              </w:rPr>
            </w:r>
            <w:r>
              <w:rPr>
                <w:sz w:val="18"/>
              </w:rPr>
              <w:t>Secure deletion</w:t>
            </w:r>
          </w:p>
        </w:tc>
      </w:tr>
      <w:tr>
        <w:tc>
          <w:tcPr>
            <w:tcW w:type="dxa" w:w="2880"/>
          </w:tcPr>
          <w:p>
            <w:r>
              <w:rPr>
                <w:sz w:val="18"/>
              </w:rPr>
            </w:r>
            <w:r>
              <w:rPr>
                <w:sz w:val="18"/>
              </w:rPr>
              <w:t>Dispute records</w:t>
            </w:r>
          </w:p>
        </w:tc>
        <w:tc>
          <w:tcPr>
            <w:tcW w:type="dxa" w:w="2880"/>
          </w:tcPr>
          <w:p>
            <w:r>
              <w:rPr>
                <w:sz w:val="18"/>
              </w:rPr>
            </w:r>
            <w:r>
              <w:rPr>
                <w:sz w:val="18"/>
              </w:rPr>
              <w:t>Until resolution + 1 year</w:t>
            </w:r>
          </w:p>
        </w:tc>
        <w:tc>
          <w:tcPr>
            <w:tcW w:type="dxa" w:w="2880"/>
          </w:tcPr>
          <w:p>
            <w:r>
              <w:rPr>
                <w:sz w:val="18"/>
              </w:rPr>
            </w:r>
            <w:r>
              <w:rPr>
                <w:sz w:val="18"/>
              </w:rPr>
              <w:t>Secure deletion</w:t>
            </w:r>
          </w:p>
        </w:tc>
      </w:tr>
      <w:tr>
        <w:tc>
          <w:tcPr>
            <w:tcW w:type="dxa" w:w="2880"/>
            <w:shd w:val="clear" w:color="auto" w:fill="EAF1F8"/>
          </w:tcPr>
          <w:p>
            <w:r>
              <w:rPr>
                <w:sz w:val="18"/>
              </w:rPr>
            </w:r>
            <w:r>
              <w:rPr>
                <w:sz w:val="18"/>
              </w:rPr>
              <w:t>Fraud records</w:t>
            </w:r>
          </w:p>
        </w:tc>
        <w:tc>
          <w:tcPr>
            <w:tcW w:type="dxa" w:w="2880"/>
            <w:shd w:val="clear" w:color="auto" w:fill="EAF1F8"/>
          </w:tcPr>
          <w:p>
            <w:r>
              <w:rPr>
                <w:sz w:val="18"/>
              </w:rPr>
            </w:r>
            <w:r>
              <w:rPr>
                <w:sz w:val="18"/>
              </w:rPr>
              <w:t>As required by law</w:t>
            </w:r>
          </w:p>
        </w:tc>
        <w:tc>
          <w:tcPr>
            <w:tcW w:type="dxa" w:w="2880"/>
            <w:shd w:val="clear" w:color="auto" w:fill="EAF1F8"/>
          </w:tcPr>
          <w:p>
            <w:r>
              <w:rPr>
                <w:sz w:val="18"/>
              </w:rPr>
            </w:r>
            <w:r>
              <w:rPr>
                <w:sz w:val="18"/>
              </w:rPr>
              <w:t>Secure deletion</w:t>
            </w:r>
          </w:p>
        </w:tc>
      </w:tr>
    </w:tbl>
    <w:p/>
    <w:p>
      <w:r>
        <w:t>______________________________</w:t>
      </w:r>
    </w:p>
    <w:p>
      <w:pPr>
        <w:pStyle w:val="Heading2"/>
      </w:pPr>
      <w:r>
        <w:rPr>
          <w:color w:val="1F3B5C"/>
          <w:sz w:val="30"/>
        </w:rPr>
        <w:t>6. AUDIT RIGHTS</w:t>
      </w:r>
    </w:p>
    <w:p>
      <w:r>
        <w:t>LINEKORA (or its authorized auditor) shall have the right to:</w:t>
      </w:r>
    </w:p>
    <w:p>
      <w:pPr>
        <w:pStyle w:val="ListBullet"/>
      </w:pPr>
      <w:r>
        <w:t>Conduct audits of Stripe's data processing activities</w:t>
      </w:r>
    </w:p>
    <w:p>
      <w:pPr>
        <w:pStyle w:val="ListBullet"/>
      </w:pPr>
      <w:r>
        <w:t>Request documentation and evidence of compliance (PCI DSS, SOC 2)</w:t>
      </w:r>
    </w:p>
    <w:p>
      <w:pPr>
        <w:pStyle w:val="ListBullet"/>
      </w:pPr>
      <w:r>
        <w:t>Inspect security measures and facilities</w:t>
      </w:r>
    </w:p>
    <w:p>
      <w:r>
        <w:t>______________________________</w:t>
      </w:r>
    </w:p>
    <w:p>
      <w:pPr>
        <w:pStyle w:val="Heading2"/>
      </w:pPr>
      <w:r>
        <w:rPr>
          <w:color w:val="1F3B5C"/>
          <w:sz w:val="30"/>
        </w:rPr>
        <w:t>7. SIGNATURES</w:t>
      </w:r>
    </w:p>
    <w:p>
      <w:pPr>
        <w:pStyle w:val="Heading3"/>
      </w:pPr>
      <w:r>
        <w:rPr>
          <w:color w:val="1F3B5C"/>
          <w:sz w:val="24"/>
        </w:rPr>
        <w:t>Data Controller: LINEKORA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pPr>
        <w:pStyle w:val="Heading3"/>
      </w:pPr>
      <w:r>
        <w:rPr>
          <w:color w:val="1F3B5C"/>
          <w:sz w:val="24"/>
        </w:rPr>
        <w:t>Data Processor: Stripe Inc.</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r>
        <w:t>______________________________</w:t>
      </w:r>
    </w:p>
    <w:p>
      <w:r>
        <w:t>*Document prepared for LINEKORA Data Protection Compliance*</w:t>
      </w:r>
    </w:p>
    <w:p>
      <w:r>
        <w:t>*Pursuant to Rwanda Data Protection Law No. 3/2021*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