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3B5C"/>
          <w:sz w:val="40"/>
        </w:rPr>
        <w:t>DATA PROTECTION AGREEMENT (DPA)</w:t>
      </w:r>
    </w:p>
    <w:p>
      <w:pPr>
        <w:pStyle w:val="Heading1"/>
      </w:pPr>
      <w:r>
        <w:rPr>
          <w:color w:val="1F3B5C"/>
          <w:sz w:val="40"/>
        </w:rPr>
        <w:t>Twilio — LINEKORA</w:t>
      </w:r>
    </w:p>
    <w:p>
      <w:r>
        <w:rPr>
          <w:b/>
        </w:rPr>
        <w:t>Between:</w:t>
      </w:r>
    </w:p>
    <w:p>
      <w:pPr>
        <w:pStyle w:val="ListBullet"/>
      </w:pPr>
      <w:r>
        <w:rPr>
          <w:b/>
        </w:rPr>
        <w:t>Data Controller:</w:t>
      </w:r>
      <w:r>
        <w:t xml:space="preserve"> LINEKORA (hereinafter "the Company")</w:t>
      </w:r>
    </w:p>
    <w:p>
      <w:pPr>
        <w:pStyle w:val="ListBullet"/>
      </w:pPr>
      <w:r>
        <w:rPr>
          <w:b/>
        </w:rPr>
        <w:t>Data Processor:</w:t>
      </w:r>
      <w:r>
        <w:t xml:space="preserve"> Twilio Inc. (hereinafter "Twilio")</w:t>
      </w:r>
    </w:p>
    <w:p>
      <w:r>
        <w:rPr>
          <w:b/>
        </w:rPr>
        <w:t>Effective Date:</w:t>
      </w:r>
      <w:r>
        <w:t xml:space="preserve"> _______________</w:t>
      </w:r>
    </w:p>
    <w:p>
      <w:r>
        <w:rPr>
          <w:b/>
        </w:rPr>
        <w:t>Agreement Reference:</w:t>
      </w:r>
      <w:r>
        <w:t xml:space="preserve"> LINEKORA-DPA-TWILIO-2026</w:t>
      </w:r>
    </w:p>
    <w:p>
      <w:r>
        <w:t>______________________________</w:t>
      </w:r>
    </w:p>
    <w:p>
      <w:pPr>
        <w:pStyle w:val="Heading2"/>
      </w:pPr>
      <w:r>
        <w:rPr>
          <w:color w:val="1F3B5C"/>
          <w:sz w:val="30"/>
        </w:rPr>
        <w:t>1. PURPOSE</w:t>
      </w:r>
    </w:p>
    <w:p>
      <w:r>
        <w:t xml:space="preserve">This DPA sets out the terms that apply when Personal Data is processed by Twilio on behalf of LINEKORA in the course of providing SMS and notification services. This DPA is required for compliance with the </w:t>
      </w:r>
      <w:r>
        <w:rPr>
          <w:b/>
        </w:rPr>
        <w:t>Rwanda Data Protection Law No. 3/2021</w:t>
      </w:r>
      <w:r>
        <w:t>.</w:t>
      </w:r>
    </w:p>
    <w:p>
      <w:r>
        <w:t>______________________________</w:t>
      </w:r>
    </w:p>
    <w:p>
      <w:pPr>
        <w:pStyle w:val="Heading2"/>
      </w:pPr>
      <w:r>
        <w:rPr>
          <w:color w:val="1F3B5C"/>
          <w:sz w:val="30"/>
        </w:rPr>
        <w:t>2. SCOPE OF PROCESSING</w:t>
      </w:r>
    </w:p>
    <w:p>
      <w:pPr>
        <w:pStyle w:val="Heading3"/>
      </w:pPr>
      <w:r>
        <w:rPr>
          <w:color w:val="1F3B5C"/>
          <w:sz w:val="24"/>
        </w:rPr>
        <w:t>2.1 Data Categories Processed by Twilio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C"/>
          </w:tcPr>
          <w:p>
            <w:r>
              <w:rPr>
                <w:b/>
                <w:color w:val="FFFFFF"/>
                <w:sz w:val="18"/>
              </w:rPr>
            </w:r>
            <w:r>
              <w:rPr>
                <w:b/>
                <w:color w:val="FFFFFF"/>
                <w:sz w:val="18"/>
              </w:rPr>
              <w:t>Data Category</w:t>
            </w:r>
          </w:p>
        </w:tc>
        <w:tc>
          <w:tcPr>
            <w:tcW w:type="dxa" w:w="2880"/>
            <w:shd w:val="clear" w:color="auto" w:fill="1F3B5C"/>
          </w:tcPr>
          <w:p>
            <w:r>
              <w:rPr>
                <w:b/>
                <w:color w:val="FFFFFF"/>
                <w:sz w:val="18"/>
              </w:rPr>
            </w:r>
            <w:r>
              <w:rPr>
                <w:b/>
                <w:color w:val="FFFFFF"/>
                <w:sz w:val="18"/>
              </w:rPr>
              <w:t>Data Elements</w:t>
            </w:r>
          </w:p>
        </w:tc>
        <w:tc>
          <w:tcPr>
            <w:tcW w:type="dxa" w:w="2880"/>
            <w:shd w:val="clear" w:color="auto" w:fill="1F3B5C"/>
          </w:tcPr>
          <w:p>
            <w:r>
              <w:rPr>
                <w:b/>
                <w:color w:val="FFFFFF"/>
                <w:sz w:val="18"/>
              </w:rPr>
            </w:r>
            <w:r>
              <w:rPr>
                <w:b/>
                <w:color w:val="FFFFFF"/>
                <w:sz w:val="18"/>
              </w:rPr>
              <w:t>Purpose</w:t>
            </w:r>
          </w:p>
        </w:tc>
      </w:tr>
      <w:tr>
        <w:tc>
          <w:tcPr>
            <w:tcW w:type="dxa" w:w="2880"/>
          </w:tcPr>
          <w:p>
            <w:r>
              <w:rPr>
                <w:sz w:val="18"/>
              </w:rPr>
            </w:r>
            <w:r>
              <w:rPr>
                <w:sz w:val="18"/>
              </w:rPr>
              <w:t>Notification Data</w:t>
            </w:r>
          </w:p>
        </w:tc>
        <w:tc>
          <w:tcPr>
            <w:tcW w:type="dxa" w:w="2880"/>
          </w:tcPr>
          <w:p>
            <w:r>
              <w:rPr>
                <w:sz w:val="18"/>
              </w:rPr>
            </w:r>
            <w:r>
              <w:rPr>
                <w:sz w:val="18"/>
              </w:rPr>
              <w:t>Name, Phone Number, Transaction ID</w:t>
            </w:r>
          </w:p>
        </w:tc>
        <w:tc>
          <w:tcPr>
            <w:tcW w:type="dxa" w:w="2880"/>
          </w:tcPr>
          <w:p>
            <w:r>
              <w:rPr>
                <w:sz w:val="18"/>
              </w:rPr>
            </w:r>
            <w:r>
              <w:rPr>
                <w:sz w:val="18"/>
              </w:rPr>
              <w:t>SMS delivery</w:t>
            </w:r>
          </w:p>
        </w:tc>
      </w:tr>
      <w:tr>
        <w:tc>
          <w:tcPr>
            <w:tcW w:type="dxa" w:w="2880"/>
            <w:shd w:val="clear" w:color="auto" w:fill="EAF1F8"/>
          </w:tcPr>
          <w:p>
            <w:r>
              <w:rPr>
                <w:sz w:val="18"/>
              </w:rPr>
            </w:r>
            <w:r>
              <w:rPr>
                <w:sz w:val="18"/>
              </w:rPr>
              <w:t>SMS Content</w:t>
            </w:r>
          </w:p>
        </w:tc>
        <w:tc>
          <w:tcPr>
            <w:tcW w:type="dxa" w:w="2880"/>
            <w:shd w:val="clear" w:color="auto" w:fill="EAF1F8"/>
          </w:tcPr>
          <w:p>
            <w:r>
              <w:rPr>
                <w:sz w:val="18"/>
              </w:rPr>
            </w:r>
            <w:r>
              <w:rPr>
                <w:sz w:val="18"/>
              </w:rPr>
              <w:t>Message content (task alerts, payment confirmations)</w:t>
            </w:r>
          </w:p>
        </w:tc>
        <w:tc>
          <w:tcPr>
            <w:tcW w:type="dxa" w:w="2880"/>
            <w:shd w:val="clear" w:color="auto" w:fill="EAF1F8"/>
          </w:tcPr>
          <w:p>
            <w:r>
              <w:rPr>
                <w:sz w:val="18"/>
              </w:rPr>
            </w:r>
            <w:r>
              <w:rPr>
                <w:sz w:val="18"/>
              </w:rPr>
              <w:t>Service delivery</w:t>
            </w:r>
          </w:p>
        </w:tc>
      </w:tr>
      <w:tr>
        <w:tc>
          <w:tcPr>
            <w:tcW w:type="dxa" w:w="2880"/>
          </w:tcPr>
          <w:p>
            <w:r>
              <w:rPr>
                <w:sz w:val="18"/>
              </w:rPr>
            </w:r>
            <w:r>
              <w:rPr>
                <w:sz w:val="18"/>
              </w:rPr>
              <w:t>Delivery Logs</w:t>
            </w:r>
          </w:p>
        </w:tc>
        <w:tc>
          <w:tcPr>
            <w:tcW w:type="dxa" w:w="2880"/>
          </w:tcPr>
          <w:p>
            <w:r>
              <w:rPr>
                <w:sz w:val="18"/>
              </w:rPr>
            </w:r>
            <w:r>
              <w:rPr>
                <w:sz w:val="18"/>
              </w:rPr>
              <w:t>Delivery status, Timestamps, Message ID</w:t>
            </w:r>
          </w:p>
        </w:tc>
        <w:tc>
          <w:tcPr>
            <w:tcW w:type="dxa" w:w="2880"/>
          </w:tcPr>
          <w:p>
            <w:r>
              <w:rPr>
                <w:sz w:val="18"/>
              </w:rPr>
            </w:r>
            <w:r>
              <w:rPr>
                <w:sz w:val="18"/>
              </w:rPr>
              <w:t>Delivery verification</w:t>
            </w:r>
          </w:p>
        </w:tc>
      </w:tr>
      <w:tr>
        <w:tc>
          <w:tcPr>
            <w:tcW w:type="dxa" w:w="2880"/>
            <w:shd w:val="clear" w:color="auto" w:fill="EAF1F8"/>
          </w:tcPr>
          <w:p>
            <w:r>
              <w:rPr>
                <w:sz w:val="18"/>
              </w:rPr>
            </w:r>
            <w:r>
              <w:rPr>
                <w:sz w:val="18"/>
              </w:rPr>
              <w:t>User Phone</w:t>
            </w:r>
          </w:p>
        </w:tc>
        <w:tc>
          <w:tcPr>
            <w:tcW w:type="dxa" w:w="2880"/>
            <w:shd w:val="clear" w:color="auto" w:fill="EAF1F8"/>
          </w:tcPr>
          <w:p>
            <w:r>
              <w:rPr>
                <w:sz w:val="18"/>
              </w:rPr>
            </w:r>
            <w:r>
              <w:rPr>
                <w:sz w:val="18"/>
              </w:rPr>
              <w:t>Phone number, Country code</w:t>
            </w:r>
          </w:p>
        </w:tc>
        <w:tc>
          <w:tcPr>
            <w:tcW w:type="dxa" w:w="2880"/>
            <w:shd w:val="clear" w:color="auto" w:fill="EAF1F8"/>
          </w:tcPr>
          <w:p>
            <w:r>
              <w:rPr>
                <w:sz w:val="18"/>
              </w:rPr>
            </w:r>
            <w:r>
              <w:rPr>
                <w:sz w:val="18"/>
              </w:rPr>
              <w:t>SMS routing</w:t>
            </w:r>
          </w:p>
        </w:tc>
      </w:tr>
    </w:tbl>
    <w:p/>
    <w:p>
      <w:pPr>
        <w:pStyle w:val="Heading3"/>
      </w:pPr>
      <w:r>
        <w:rPr>
          <w:color w:val="1F3B5C"/>
          <w:sz w:val="24"/>
        </w:rPr>
        <w:t>2.2 Purpose of Processing</w:t>
      </w:r>
    </w:p>
    <w:p>
      <w:r>
        <w:t>Twilio shall process Personal Data solely for:</w:t>
      </w:r>
    </w:p>
    <w:p>
      <w:pPr>
        <w:pStyle w:val="ListBullet"/>
      </w:pPr>
      <w:r>
        <w:t>SMS notification delivery</w:t>
      </w:r>
    </w:p>
    <w:p>
      <w:pPr>
        <w:pStyle w:val="ListBullet"/>
      </w:pPr>
      <w:r>
        <w:t>Mobile money transaction alerts</w:t>
      </w:r>
    </w:p>
    <w:p>
      <w:pPr>
        <w:pStyle w:val="ListBullet"/>
      </w:pPr>
      <w:r>
        <w:t>OTP (One-Time Password) verification</w:t>
      </w:r>
    </w:p>
    <w:p>
      <w:pPr>
        <w:pStyle w:val="ListBullet"/>
      </w:pPr>
      <w:r>
        <w:t>Delivery status reporting</w:t>
      </w:r>
    </w:p>
    <w:p>
      <w:pPr>
        <w:pStyle w:val="Heading3"/>
      </w:pPr>
      <w:r>
        <w:rPr>
          <w:color w:val="1F3B5C"/>
          <w:sz w:val="24"/>
        </w:rPr>
        <w:t>2.3 Duration of Processing</w:t>
      </w:r>
    </w:p>
    <w:p>
      <w:r>
        <w:t>This DPA shall remain in effect for the duration of the Twilio service agreement.</w:t>
      </w:r>
    </w:p>
    <w:p>
      <w:r>
        <w:t>______________________________</w:t>
      </w:r>
    </w:p>
    <w:p>
      <w:pPr>
        <w:pStyle w:val="Heading2"/>
      </w:pPr>
      <w:r>
        <w:rPr>
          <w:color w:val="1F3B5C"/>
          <w:sz w:val="30"/>
        </w:rPr>
        <w:t>3. OBLIGATIONS OF TWILIO</w:t>
      </w:r>
    </w:p>
    <w:p>
      <w:pPr>
        <w:pStyle w:val="Heading3"/>
      </w:pPr>
      <w:r>
        <w:rPr>
          <w:color w:val="1F3B5C"/>
          <w:sz w:val="24"/>
        </w:rPr>
        <w:t>3.1 Processing Instructions</w:t>
      </w:r>
    </w:p>
    <w:p>
      <w:pPr>
        <w:pStyle w:val="ListBullet"/>
      </w:pPr>
      <w:r>
        <w:t>Process Personal Data only on documented instructions from LINEKORA</w:t>
      </w:r>
    </w:p>
    <w:p>
      <w:pPr>
        <w:pStyle w:val="ListBullet"/>
      </w:pPr>
      <w:r>
        <w:t>Immediately inform LINEKORA if an instruction infringes on data protection laws</w:t>
      </w:r>
    </w:p>
    <w:p>
      <w:pPr>
        <w:pStyle w:val="ListBullet"/>
      </w:pPr>
      <w:r>
        <w:t>Not process Personal Data for any purpose other than the agreed services</w:t>
      </w:r>
    </w:p>
    <w:p>
      <w:pPr>
        <w:pStyle w:val="Heading3"/>
      </w:pPr>
      <w:r>
        <w:rPr>
          <w:color w:val="1F3B5C"/>
          <w:sz w:val="24"/>
        </w:rPr>
        <w:t>3.2 Confidentiality</w:t>
      </w:r>
    </w:p>
    <w:p>
      <w:pPr>
        <w:pStyle w:val="ListBullet"/>
      </w:pPr>
      <w:r>
        <w:t>All persons authorized to process Personal Data are bound by confidentiality obligations</w:t>
      </w:r>
    </w:p>
    <w:p>
      <w:pPr>
        <w:pStyle w:val="ListBullet"/>
      </w:pPr>
      <w:r>
        <w:t>Access to Personal Data is limited to authorized personnel only</w:t>
      </w:r>
    </w:p>
    <w:p>
      <w:pPr>
        <w:pStyle w:val="ListBullet"/>
      </w:pPr>
      <w:r>
        <w:t>Personal Data is not disclosed to unauthorized third parties</w:t>
      </w:r>
    </w:p>
    <w:p>
      <w:pPr>
        <w:pStyle w:val="Heading3"/>
      </w:pPr>
      <w:r>
        <w:rPr>
          <w:color w:val="1F3B5C"/>
          <w:sz w:val="24"/>
        </w:rPr>
        <w:t>3.3 Security Measures</w:t>
      </w:r>
    </w:p>
    <w:p>
      <w:r>
        <w:t>Twilio shall implement:</w:t>
      </w:r>
    </w:p>
    <w:p>
      <w:pPr>
        <w:pStyle w:val="ListBullet"/>
      </w:pPr>
      <w:r>
        <w:t xml:space="preserve">[ ] </w:t>
      </w:r>
      <w:r>
        <w:rPr>
          <w:b/>
        </w:rPr>
        <w:t>Encryption</w:t>
      </w:r>
      <w:r>
        <w:t xml:space="preserve"> — AES-256 encryption at rest; TLS 1.2+ in transit</w:t>
      </w:r>
    </w:p>
    <w:p>
      <w:pPr>
        <w:pStyle w:val="ListBullet"/>
      </w:pPr>
      <w:r>
        <w:t xml:space="preserve">[ ] </w:t>
      </w:r>
      <w:r>
        <w:rPr>
          <w:b/>
        </w:rPr>
        <w:t>Access Controls</w:t>
      </w:r>
      <w:r>
        <w:t xml:space="preserve"> — Role-based access control (RBAC)</w:t>
      </w:r>
    </w:p>
    <w:p>
      <w:pPr>
        <w:pStyle w:val="ListBullet"/>
      </w:pPr>
      <w:r>
        <w:t xml:space="preserve">[ ] </w:t>
      </w:r>
      <w:r>
        <w:rPr>
          <w:b/>
        </w:rPr>
        <w:t>Audit Logging</w:t>
      </w:r>
      <w:r>
        <w:t xml:space="preserve"> — All access to Personal Data is logged</w:t>
      </w:r>
    </w:p>
    <w:p>
      <w:pPr>
        <w:pStyle w:val="ListBullet"/>
      </w:pPr>
      <w:r>
        <w:t xml:space="preserve">[ ] </w:t>
      </w:r>
      <w:r>
        <w:rPr>
          <w:b/>
        </w:rPr>
        <w:t>Vulnerability Management</w:t>
      </w:r>
      <w:r>
        <w:t xml:space="preserve"> — Regular security assessments</w:t>
      </w:r>
    </w:p>
    <w:p>
      <w:pPr>
        <w:pStyle w:val="ListBullet"/>
      </w:pPr>
      <w:r>
        <w:t xml:space="preserve">[ ] </w:t>
      </w:r>
      <w:r>
        <w:rPr>
          <w:b/>
        </w:rPr>
        <w:t>Incident Response</w:t>
      </w:r>
      <w:r>
        <w:t xml:space="preserve"> — Documented breach notification procedures</w:t>
      </w:r>
    </w:p>
    <w:p>
      <w:pPr>
        <w:pStyle w:val="ListBullet"/>
      </w:pPr>
      <w:r>
        <w:t xml:space="preserve">[ ] </w:t>
      </w:r>
      <w:r>
        <w:rPr>
          <w:b/>
        </w:rPr>
        <w:t>SOC 2 Type II Compliance</w:t>
      </w:r>
      <w:r>
        <w:t xml:space="preserve"> — Annual audit</w:t>
      </w:r>
    </w:p>
    <w:p>
      <w:pPr>
        <w:pStyle w:val="ListBullet"/>
      </w:pPr>
      <w:r>
        <w:t xml:space="preserve">[ ] </w:t>
      </w:r>
      <w:r>
        <w:rPr>
          <w:b/>
        </w:rPr>
        <w:t>ISO 27001 Compliance</w:t>
      </w:r>
      <w:r>
        <w:t xml:space="preserve"> — Information security management</w:t>
      </w:r>
    </w:p>
    <w:p>
      <w:pPr>
        <w:pStyle w:val="Heading3"/>
      </w:pPr>
      <w:r>
        <w:rPr>
          <w:color w:val="1F3B5C"/>
          <w:sz w:val="24"/>
        </w:rPr>
        <w:t>3.4 Sub-Processors</w:t>
      </w:r>
    </w:p>
    <w:p>
      <w:r>
        <w:t>Twilio maintains a list of sub-processors at: https://www.twilio.com/legal/subprocessors</w:t>
      </w:r>
    </w:p>
    <w:p>
      <w:r>
        <w:t>LINEKORA must be notified of any changes to the sub-processor list.</w:t>
      </w:r>
    </w:p>
    <w:p>
      <w:pPr>
        <w:pStyle w:val="Heading3"/>
      </w:pPr>
      <w:r>
        <w:rPr>
          <w:color w:val="1F3B5C"/>
          <w:sz w:val="24"/>
        </w:rPr>
        <w:t>3.5 Data Breach Notification</w:t>
      </w:r>
    </w:p>
    <w:p>
      <w:pPr>
        <w:pStyle w:val="ListBullet"/>
      </w:pPr>
      <w:r>
        <w:t xml:space="preserve">Notify LINEKORA </w:t>
      </w:r>
      <w:r>
        <w:rPr>
          <w:b/>
        </w:rPr>
        <w:t>within 48 hours</w:t>
      </w:r>
      <w:r>
        <w:t xml:space="preserve"> of becoming aware of a Personal Data breach</w:t>
      </w:r>
    </w:p>
    <w:p>
      <w:pPr>
        <w:pStyle w:val="ListBullet"/>
      </w:pPr>
      <w:r>
        <w:t xml:space="preserve">Provide all information necessary for LINEKORA to comply with the </w:t>
      </w:r>
      <w:r>
        <w:rPr>
          <w:b/>
        </w:rPr>
        <w:t>72-hour breach notification</w:t>
      </w:r>
      <w:r>
        <w:t xml:space="preserve"> requirement under Rwanda's PDPB</w:t>
      </w:r>
    </w:p>
    <w:p>
      <w:pPr>
        <w:pStyle w:val="ListBullet"/>
      </w:pPr>
      <w:r>
        <w:t>Take immediate steps to contain and remediate the breach</w:t>
      </w:r>
    </w:p>
    <w:p>
      <w:r>
        <w:t>______________________________</w:t>
      </w:r>
    </w:p>
    <w:p>
      <w:pPr>
        <w:pStyle w:val="Heading2"/>
      </w:pPr>
      <w:r>
        <w:rPr>
          <w:color w:val="1F3B5C"/>
          <w:sz w:val="30"/>
        </w:rPr>
        <w:t>4. CROSS-BORDER DATA TRANSFERS</w:t>
      </w:r>
    </w:p>
    <w:p>
      <w:pPr>
        <w:pStyle w:val="Heading3"/>
      </w:pPr>
      <w:r>
        <w:rPr>
          <w:color w:val="1F3B5C"/>
          <w:sz w:val="24"/>
        </w:rPr>
        <w:t>4.1 Processor Location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B5C"/>
          </w:tcPr>
          <w:p>
            <w:r>
              <w:rPr>
                <w:b/>
                <w:color w:val="FFFFFF"/>
                <w:sz w:val="18"/>
              </w:rPr>
            </w:r>
            <w:r>
              <w:rPr>
                <w:b/>
                <w:color w:val="FFFFFF"/>
                <w:sz w:val="18"/>
              </w:rPr>
              <w:t>Processor</w:t>
            </w:r>
          </w:p>
        </w:tc>
        <w:tc>
          <w:tcPr>
            <w:tcW w:type="dxa" w:w="2160"/>
            <w:shd w:val="clear" w:color="auto" w:fill="1F3B5C"/>
          </w:tcPr>
          <w:p>
            <w:r>
              <w:rPr>
                <w:b/>
                <w:color w:val="FFFFFF"/>
                <w:sz w:val="18"/>
              </w:rPr>
            </w:r>
            <w:r>
              <w:rPr>
                <w:b/>
                <w:color w:val="FFFFFF"/>
                <w:sz w:val="18"/>
              </w:rPr>
              <w:t>Location</w:t>
            </w:r>
          </w:p>
        </w:tc>
        <w:tc>
          <w:tcPr>
            <w:tcW w:type="dxa" w:w="2160"/>
            <w:shd w:val="clear" w:color="auto" w:fill="1F3B5C"/>
          </w:tcPr>
          <w:p>
            <w:r>
              <w:rPr>
                <w:b/>
                <w:color w:val="FFFFFF"/>
                <w:sz w:val="18"/>
              </w:rPr>
            </w:r>
            <w:r>
              <w:rPr>
                <w:b/>
                <w:color w:val="FFFFFF"/>
                <w:sz w:val="18"/>
              </w:rPr>
              <w:t>Data Stored</w:t>
            </w:r>
          </w:p>
        </w:tc>
        <w:tc>
          <w:tcPr>
            <w:tcW w:type="dxa" w:w="2160"/>
            <w:shd w:val="clear" w:color="auto" w:fill="1F3B5C"/>
          </w:tcPr>
          <w:p>
            <w:r>
              <w:rPr>
                <w:b/>
                <w:color w:val="FFFFFF"/>
                <w:sz w:val="18"/>
              </w:rPr>
            </w:r>
            <w:r>
              <w:rPr>
                <w:b/>
                <w:color w:val="FFFFFF"/>
                <w:sz w:val="18"/>
              </w:rPr>
              <w:t>Transfer Mechanism</w:t>
            </w:r>
          </w:p>
        </w:tc>
      </w:tr>
      <w:tr>
        <w:tc>
          <w:tcPr>
            <w:tcW w:type="dxa" w:w="2160"/>
          </w:tcPr>
          <w:p>
            <w:r>
              <w:rPr>
                <w:sz w:val="18"/>
              </w:rPr>
            </w:r>
            <w:r>
              <w:rPr>
                <w:sz w:val="18"/>
              </w:rPr>
              <w:t>Twilio Inc.</w:t>
            </w:r>
          </w:p>
        </w:tc>
        <w:tc>
          <w:tcPr>
            <w:tcW w:type="dxa" w:w="2160"/>
          </w:tcPr>
          <w:p>
            <w:r>
              <w:rPr>
                <w:sz w:val="18"/>
              </w:rPr>
            </w:r>
            <w:r>
              <w:rPr>
                <w:sz w:val="18"/>
              </w:rPr>
              <w:t>USA</w:t>
            </w:r>
          </w:p>
        </w:tc>
        <w:tc>
          <w:tcPr>
            <w:tcW w:type="dxa" w:w="2160"/>
          </w:tcPr>
          <w:p>
            <w:r>
              <w:rPr>
                <w:sz w:val="18"/>
              </w:rPr>
            </w:r>
            <w:r>
              <w:rPr>
                <w:sz w:val="18"/>
              </w:rPr>
              <w:t>SMS data, Delivery logs</w:t>
            </w:r>
          </w:p>
        </w:tc>
        <w:tc>
          <w:tcPr>
            <w:tcW w:type="dxa" w:w="2160"/>
          </w:tcPr>
          <w:p>
            <w:r>
              <w:rPr>
                <w:sz w:val="18"/>
              </w:rPr>
            </w:r>
            <w:r>
              <w:rPr>
                <w:sz w:val="18"/>
              </w:rPr>
              <w:t>Standard Contractual Clauses (SCCs)</w:t>
            </w:r>
          </w:p>
        </w:tc>
      </w:tr>
    </w:tbl>
    <w:p/>
    <w:p>
      <w:pPr>
        <w:pStyle w:val="Heading3"/>
      </w:pPr>
      <w:r>
        <w:rPr>
          <w:color w:val="1F3B5C"/>
          <w:sz w:val="24"/>
        </w:rPr>
        <w:t>4.2 Safeguards</w:t>
      </w:r>
    </w:p>
    <w:p>
      <w:r>
        <w:t>Twilio shall ensure that any cross-border transfer of Personal Data is protected by:</w:t>
      </w:r>
    </w:p>
    <w:p>
      <w:pPr>
        <w:pStyle w:val="ListBullet"/>
      </w:pPr>
      <w:r>
        <w:t>Standard Contractual Clauses (SCCs)</w:t>
      </w:r>
    </w:p>
    <w:p>
      <w:pPr>
        <w:pStyle w:val="ListBullet"/>
      </w:pPr>
      <w:r>
        <w:t>Encryption at rest (AES-256) and in transit (TLS 1.2+)</w:t>
      </w:r>
    </w:p>
    <w:p>
      <w:pPr>
        <w:pStyle w:val="ListBullet"/>
      </w:pPr>
      <w:r>
        <w:t>Regular security audits</w:t>
      </w:r>
    </w:p>
    <w:p>
      <w:pPr>
        <w:pStyle w:val="Heading3"/>
      </w:pPr>
      <w:r>
        <w:rPr>
          <w:color w:val="1F3B5C"/>
          <w:sz w:val="24"/>
        </w:rPr>
        <w:t>4.3 International Storage Authorization</w:t>
      </w:r>
    </w:p>
    <w:p>
      <w:r>
        <w:t xml:space="preserve">Twilio acknowledges that Personal Data is stored and processed </w:t>
      </w:r>
      <w:r>
        <w:rPr>
          <w:b/>
        </w:rPr>
        <w:t>outside of Rwanda</w:t>
      </w:r>
      <w:r>
        <w:t xml:space="preserve"> and that such transfer requires authorization from the </w:t>
      </w:r>
      <w:r>
        <w:rPr>
          <w:b/>
        </w:rPr>
        <w:t>Rwanda Data Protection Authority</w:t>
      </w:r>
      <w:r>
        <w:t>.</w:t>
      </w:r>
    </w:p>
    <w:p>
      <w:r>
        <w:t>______________________________</w:t>
      </w:r>
    </w:p>
    <w:p>
      <w:pPr>
        <w:pStyle w:val="Heading2"/>
      </w:pPr>
      <w:r>
        <w:rPr>
          <w:color w:val="1F3B5C"/>
          <w:sz w:val="30"/>
        </w:rPr>
        <w:t>5. DATA RETENTION AND DELETION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C"/>
          </w:tcPr>
          <w:p>
            <w:r>
              <w:rPr>
                <w:b/>
                <w:color w:val="FFFFFF"/>
                <w:sz w:val="18"/>
              </w:rPr>
            </w:r>
            <w:r>
              <w:rPr>
                <w:b/>
                <w:color w:val="FFFFFF"/>
                <w:sz w:val="18"/>
              </w:rPr>
              <w:t>Data Type</w:t>
            </w:r>
          </w:p>
        </w:tc>
        <w:tc>
          <w:tcPr>
            <w:tcW w:type="dxa" w:w="2880"/>
            <w:shd w:val="clear" w:color="auto" w:fill="1F3B5C"/>
          </w:tcPr>
          <w:p>
            <w:r>
              <w:rPr>
                <w:b/>
                <w:color w:val="FFFFFF"/>
                <w:sz w:val="18"/>
              </w:rPr>
            </w:r>
            <w:r>
              <w:rPr>
                <w:b/>
                <w:color w:val="FFFFFF"/>
                <w:sz w:val="18"/>
              </w:rPr>
              <w:t>Retention Period</w:t>
            </w:r>
          </w:p>
        </w:tc>
        <w:tc>
          <w:tcPr>
            <w:tcW w:type="dxa" w:w="2880"/>
            <w:shd w:val="clear" w:color="auto" w:fill="1F3B5C"/>
          </w:tcPr>
          <w:p>
            <w:r>
              <w:rPr>
                <w:b/>
                <w:color w:val="FFFFFF"/>
                <w:sz w:val="18"/>
              </w:rPr>
            </w:r>
            <w:r>
              <w:rPr>
                <w:b/>
                <w:color w:val="FFFFFF"/>
                <w:sz w:val="18"/>
              </w:rPr>
              <w:t>Deletion Method</w:t>
            </w:r>
          </w:p>
        </w:tc>
      </w:tr>
      <w:tr>
        <w:tc>
          <w:tcPr>
            <w:tcW w:type="dxa" w:w="2880"/>
          </w:tcPr>
          <w:p>
            <w:r>
              <w:rPr>
                <w:sz w:val="18"/>
              </w:rPr>
            </w:r>
            <w:r>
              <w:rPr>
                <w:sz w:val="18"/>
              </w:rPr>
              <w:t>SMS delivery logs</w:t>
            </w:r>
          </w:p>
        </w:tc>
        <w:tc>
          <w:tcPr>
            <w:tcW w:type="dxa" w:w="2880"/>
          </w:tcPr>
          <w:p>
            <w:r>
              <w:rPr>
                <w:sz w:val="18"/>
              </w:rPr>
            </w:r>
            <w:r>
              <w:rPr>
                <w:sz w:val="18"/>
              </w:rPr>
              <w:t>30 days</w:t>
            </w:r>
          </w:p>
        </w:tc>
        <w:tc>
          <w:tcPr>
            <w:tcW w:type="dxa" w:w="2880"/>
          </w:tcPr>
          <w:p>
            <w:r>
              <w:rPr>
                <w:sz w:val="18"/>
              </w:rPr>
            </w:r>
            <w:r>
              <w:rPr>
                <w:sz w:val="18"/>
              </w:rPr>
              <w:t>Automatic purge</w:t>
            </w:r>
          </w:p>
        </w:tc>
      </w:tr>
      <w:tr>
        <w:tc>
          <w:tcPr>
            <w:tcW w:type="dxa" w:w="2880"/>
            <w:shd w:val="clear" w:color="auto" w:fill="EAF1F8"/>
          </w:tcPr>
          <w:p>
            <w:r>
              <w:rPr>
                <w:sz w:val="18"/>
              </w:rPr>
            </w:r>
            <w:r>
              <w:rPr>
                <w:sz w:val="18"/>
              </w:rPr>
              <w:t>SMS content</w:t>
            </w:r>
          </w:p>
        </w:tc>
        <w:tc>
          <w:tcPr>
            <w:tcW w:type="dxa" w:w="2880"/>
            <w:shd w:val="clear" w:color="auto" w:fill="EAF1F8"/>
          </w:tcPr>
          <w:p>
            <w:r>
              <w:rPr>
                <w:sz w:val="18"/>
              </w:rPr>
            </w:r>
            <w:r>
              <w:rPr>
                <w:sz w:val="18"/>
              </w:rPr>
              <w:t>30 days</w:t>
            </w:r>
          </w:p>
        </w:tc>
        <w:tc>
          <w:tcPr>
            <w:tcW w:type="dxa" w:w="2880"/>
            <w:shd w:val="clear" w:color="auto" w:fill="EAF1F8"/>
          </w:tcPr>
          <w:p>
            <w:r>
              <w:rPr>
                <w:sz w:val="18"/>
              </w:rPr>
            </w:r>
            <w:r>
              <w:rPr>
                <w:sz w:val="18"/>
              </w:rPr>
              <w:t>Automatic purge</w:t>
            </w:r>
          </w:p>
        </w:tc>
      </w:tr>
      <w:tr>
        <w:tc>
          <w:tcPr>
            <w:tcW w:type="dxa" w:w="2880"/>
          </w:tcPr>
          <w:p>
            <w:r>
              <w:rPr>
                <w:sz w:val="18"/>
              </w:rPr>
            </w:r>
            <w:r>
              <w:rPr>
                <w:sz w:val="18"/>
              </w:rPr>
              <w:t>Phone number records</w:t>
            </w:r>
          </w:p>
        </w:tc>
        <w:tc>
          <w:tcPr>
            <w:tcW w:type="dxa" w:w="2880"/>
          </w:tcPr>
          <w:p>
            <w:r>
              <w:rPr>
                <w:sz w:val="18"/>
              </w:rPr>
            </w:r>
            <w:r>
              <w:rPr>
                <w:sz w:val="18"/>
              </w:rPr>
              <w:t>Until service termination</w:t>
            </w:r>
          </w:p>
        </w:tc>
        <w:tc>
          <w:tcPr>
            <w:tcW w:type="dxa" w:w="2880"/>
          </w:tcPr>
          <w:p>
            <w:r>
              <w:rPr>
                <w:sz w:val="18"/>
              </w:rPr>
            </w:r>
            <w:r>
              <w:rPr>
                <w:sz w:val="18"/>
              </w:rPr>
              <w:t>Secure deletion</w:t>
            </w:r>
          </w:p>
        </w:tc>
      </w:tr>
      <w:tr>
        <w:tc>
          <w:tcPr>
            <w:tcW w:type="dxa" w:w="2880"/>
            <w:shd w:val="clear" w:color="auto" w:fill="EAF1F8"/>
          </w:tcPr>
          <w:p>
            <w:r>
              <w:rPr>
                <w:sz w:val="18"/>
              </w:rPr>
            </w:r>
            <w:r>
              <w:rPr>
                <w:sz w:val="18"/>
              </w:rPr>
              <w:t>OTP verification data</w:t>
            </w:r>
          </w:p>
        </w:tc>
        <w:tc>
          <w:tcPr>
            <w:tcW w:type="dxa" w:w="2880"/>
            <w:shd w:val="clear" w:color="auto" w:fill="EAF1F8"/>
          </w:tcPr>
          <w:p>
            <w:r>
              <w:rPr>
                <w:sz w:val="18"/>
              </w:rPr>
            </w:r>
            <w:r>
              <w:rPr>
                <w:sz w:val="18"/>
              </w:rPr>
              <w:t>24 hours</w:t>
            </w:r>
          </w:p>
        </w:tc>
        <w:tc>
          <w:tcPr>
            <w:tcW w:type="dxa" w:w="2880"/>
            <w:shd w:val="clear" w:color="auto" w:fill="EAF1F8"/>
          </w:tcPr>
          <w:p>
            <w:r>
              <w:rPr>
                <w:sz w:val="18"/>
              </w:rPr>
            </w:r>
            <w:r>
              <w:rPr>
                <w:sz w:val="18"/>
              </w:rPr>
              <w:t>Automatic purge</w:t>
            </w:r>
          </w:p>
        </w:tc>
      </w:tr>
    </w:tbl>
    <w:p/>
    <w:p>
      <w:r>
        <w:t>______________________________</w:t>
      </w:r>
    </w:p>
    <w:p>
      <w:pPr>
        <w:pStyle w:val="Heading2"/>
      </w:pPr>
      <w:r>
        <w:rPr>
          <w:color w:val="1F3B5C"/>
          <w:sz w:val="30"/>
        </w:rPr>
        <w:t>6. AUDIT RIGHTS</w:t>
      </w:r>
    </w:p>
    <w:p>
      <w:r>
        <w:t>LINEKORA (or its authorized auditor) shall have the right to:</w:t>
      </w:r>
    </w:p>
    <w:p>
      <w:pPr>
        <w:pStyle w:val="ListBullet"/>
      </w:pPr>
      <w:r>
        <w:t>Conduct audits of Twilio's data processing activities</w:t>
      </w:r>
    </w:p>
    <w:p>
      <w:pPr>
        <w:pStyle w:val="ListBullet"/>
      </w:pPr>
      <w:r>
        <w:t>Request documentation and evidence of compliance (SOC 2, ISO 27001)</w:t>
      </w:r>
    </w:p>
    <w:p>
      <w:pPr>
        <w:pStyle w:val="ListBullet"/>
      </w:pPr>
      <w:r>
        <w:t>Inspect security measures and facilities</w:t>
      </w:r>
    </w:p>
    <w:p>
      <w:r>
        <w:t>______________________________</w:t>
      </w:r>
    </w:p>
    <w:p>
      <w:pPr>
        <w:pStyle w:val="Heading2"/>
      </w:pPr>
      <w:r>
        <w:rPr>
          <w:color w:val="1F3B5C"/>
          <w:sz w:val="30"/>
        </w:rPr>
        <w:t>7. SIGNATURES</w:t>
      </w:r>
    </w:p>
    <w:p>
      <w:pPr>
        <w:pStyle w:val="Heading3"/>
      </w:pPr>
      <w:r>
        <w:rPr>
          <w:color w:val="1F3B5C"/>
          <w:sz w:val="24"/>
        </w:rPr>
        <w:t>Data Controller: LINEKORA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C"/>
          </w:tcPr>
          <w:p>
            <w:r>
              <w:rPr>
                <w:b/>
                <w:color w:val="FFFFFF"/>
                <w:sz w:val="18"/>
              </w:rPr>
            </w:r>
            <w:r>
              <w:rPr>
                <w:b/>
                <w:color w:val="FFFFFF"/>
                <w:sz w:val="18"/>
              </w:rPr>
              <w:t>Field</w:t>
            </w:r>
          </w:p>
        </w:tc>
        <w:tc>
          <w:tcPr>
            <w:tcW w:type="dxa" w:w="4320"/>
            <w:shd w:val="clear" w:color="auto" w:fill="1F3B5C"/>
          </w:tcPr>
          <w:p>
            <w:r>
              <w:rPr>
                <w:b/>
                <w:color w:val="FFFFFF"/>
                <w:sz w:val="18"/>
              </w:rPr>
            </w:r>
            <w:r>
              <w:rPr>
                <w:b/>
                <w:color w:val="FFFFFF"/>
                <w:sz w:val="18"/>
              </w:rPr>
              <w:t>Details</w:t>
            </w:r>
          </w:p>
        </w:tc>
      </w:tr>
      <w:tr>
        <w:tc>
          <w:tcPr>
            <w:tcW w:type="dxa" w:w="4320"/>
          </w:tcPr>
          <w:p>
            <w:r>
              <w:rPr>
                <w:sz w:val="18"/>
              </w:rPr>
            </w:r>
            <w:r>
              <w:rPr>
                <w:sz w:val="18"/>
              </w:rPr>
              <w:t>Name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Title</w:t>
            </w:r>
          </w:p>
        </w:tc>
        <w:tc>
          <w:tcPr>
            <w:tcW w:type="dxa" w:w="4320"/>
            <w:shd w:val="clear" w:color="auto" w:fill="EAF1F8"/>
          </w:tcPr>
          <w:p>
            <w:r>
              <w:rPr>
                <w:sz w:val="18"/>
              </w:rPr>
            </w:r>
            <w:r>
              <w:rPr>
                <w:sz w:val="18"/>
              </w:rPr>
              <w:t>_________________________</w:t>
            </w:r>
          </w:p>
        </w:tc>
      </w:tr>
      <w:tr>
        <w:tc>
          <w:tcPr>
            <w:tcW w:type="dxa" w:w="4320"/>
          </w:tcPr>
          <w:p>
            <w:r>
              <w:rPr>
                <w:sz w:val="18"/>
              </w:rPr>
            </w:r>
            <w:r>
              <w:rPr>
                <w:sz w:val="18"/>
              </w:rPr>
              <w:t>Date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Signature</w:t>
            </w:r>
          </w:p>
        </w:tc>
        <w:tc>
          <w:tcPr>
            <w:tcW w:type="dxa" w:w="4320"/>
            <w:shd w:val="clear" w:color="auto" w:fill="EAF1F8"/>
          </w:tcPr>
          <w:p>
            <w:r>
              <w:rPr>
                <w:sz w:val="18"/>
              </w:rPr>
            </w:r>
            <w:r>
              <w:rPr>
                <w:sz w:val="18"/>
              </w:rPr>
              <w:t>_________________________</w:t>
            </w:r>
          </w:p>
        </w:tc>
      </w:tr>
    </w:tbl>
    <w:p/>
    <w:p>
      <w:pPr>
        <w:pStyle w:val="Heading3"/>
      </w:pPr>
      <w:r>
        <w:rPr>
          <w:color w:val="1F3B5C"/>
          <w:sz w:val="24"/>
        </w:rPr>
        <w:t>Data Processor: Twilio Inc.</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C"/>
          </w:tcPr>
          <w:p>
            <w:r>
              <w:rPr>
                <w:b/>
                <w:color w:val="FFFFFF"/>
                <w:sz w:val="18"/>
              </w:rPr>
            </w:r>
            <w:r>
              <w:rPr>
                <w:b/>
                <w:color w:val="FFFFFF"/>
                <w:sz w:val="18"/>
              </w:rPr>
              <w:t>Field</w:t>
            </w:r>
          </w:p>
        </w:tc>
        <w:tc>
          <w:tcPr>
            <w:tcW w:type="dxa" w:w="4320"/>
            <w:shd w:val="clear" w:color="auto" w:fill="1F3B5C"/>
          </w:tcPr>
          <w:p>
            <w:r>
              <w:rPr>
                <w:b/>
                <w:color w:val="FFFFFF"/>
                <w:sz w:val="18"/>
              </w:rPr>
            </w:r>
            <w:r>
              <w:rPr>
                <w:b/>
                <w:color w:val="FFFFFF"/>
                <w:sz w:val="18"/>
              </w:rPr>
              <w:t>Details</w:t>
            </w:r>
          </w:p>
        </w:tc>
      </w:tr>
      <w:tr>
        <w:tc>
          <w:tcPr>
            <w:tcW w:type="dxa" w:w="4320"/>
          </w:tcPr>
          <w:p>
            <w:r>
              <w:rPr>
                <w:sz w:val="18"/>
              </w:rPr>
            </w:r>
            <w:r>
              <w:rPr>
                <w:sz w:val="18"/>
              </w:rPr>
              <w:t>Name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Title</w:t>
            </w:r>
          </w:p>
        </w:tc>
        <w:tc>
          <w:tcPr>
            <w:tcW w:type="dxa" w:w="4320"/>
            <w:shd w:val="clear" w:color="auto" w:fill="EAF1F8"/>
          </w:tcPr>
          <w:p>
            <w:r>
              <w:rPr>
                <w:sz w:val="18"/>
              </w:rPr>
            </w:r>
            <w:r>
              <w:rPr>
                <w:sz w:val="18"/>
              </w:rPr>
              <w:t>_________________________</w:t>
            </w:r>
          </w:p>
        </w:tc>
      </w:tr>
      <w:tr>
        <w:tc>
          <w:tcPr>
            <w:tcW w:type="dxa" w:w="4320"/>
          </w:tcPr>
          <w:p>
            <w:r>
              <w:rPr>
                <w:sz w:val="18"/>
              </w:rPr>
            </w:r>
            <w:r>
              <w:rPr>
                <w:sz w:val="18"/>
              </w:rPr>
              <w:t>Date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Signature</w:t>
            </w:r>
          </w:p>
        </w:tc>
        <w:tc>
          <w:tcPr>
            <w:tcW w:type="dxa" w:w="4320"/>
            <w:shd w:val="clear" w:color="auto" w:fill="EAF1F8"/>
          </w:tcPr>
          <w:p>
            <w:r>
              <w:rPr>
                <w:sz w:val="18"/>
              </w:rPr>
            </w:r>
            <w:r>
              <w:rPr>
                <w:sz w:val="18"/>
              </w:rPr>
              <w:t>_________________________</w:t>
            </w:r>
          </w:p>
        </w:tc>
      </w:tr>
    </w:tbl>
    <w:p/>
    <w:p>
      <w:r>
        <w:t>______________________________</w:t>
      </w:r>
    </w:p>
    <w:p>
      <w:r>
        <w:t>*Document prepared for LINEKORA Data Protection Compliance*</w:t>
      </w:r>
    </w:p>
    <w:p>
      <w:r>
        <w:t>*Pursuant to Rwanda Data Protection Law No. 3/2021*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