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&lt;html lang="he" dir="rtl"&gt;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        /* All previous styles remain the same */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            line-height: 1.8;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        .company-name {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        .company-name span {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        .date-location {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        .recipient {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        .subject-line {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            border-bottom: 2px solid black;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            padding-bottom: 0.5rem;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        .red-text {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        .blue-text {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        .green-text {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        .content ul {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        .underline {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        .content-bullets {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        .content-bullets li {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        .regular-list li {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        .bank-details li {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            margin-bottom: 0.8rem;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        .paragraph-spacing {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            border-bottom: 2px solid #ef4444;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            padding: 1.5rem 0;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        .footer-content {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        .diamond {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            margin: 0 0.5rem;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        &lt;div class="company-name"&gt;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            TICO &lt;span&gt;FRANCO&lt;/span&gt; &amp; CO.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        &lt;div class="subtitle"&gt;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            Certified Public Accountants Isr.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    &lt;div class="date-location"&gt;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: 0.2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  <w:t xml:space="preserve">    &lt;div class="recipient"&gt;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לכבוד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    &lt;div class="subject-line"&gt;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&gt;)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;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2025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ברצוננו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להודות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למשרדנו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ולגופו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(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ששילמתם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אשתקד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2024 </w:t>
      </w:r>
      <w:r w:rsidDel="00000000" w:rsidR="00000000" w:rsidRPr="00000000">
        <w:rPr>
          <w:rtl w:val="1"/>
        </w:rPr>
        <w:t xml:space="preserve">הסתכם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בלפחות</w:t>
      </w:r>
      <w:r w:rsidDel="00000000" w:rsidR="00000000" w:rsidRPr="00000000">
        <w:rPr>
          <w:rtl w:val="1"/>
        </w:rPr>
        <w:t xml:space="preserve"> 4%).&lt;/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נודה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&gt;)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5.1.2025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5.12.2025.&lt;/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נבקשכם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).&lt;/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  <w:t xml:space="preserve">                &lt;ul class="bank-details" style="list-style: none;"&gt;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532 -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539990&lt;/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  <w:t xml:space="preserve">        &lt;p class="blue-text" style="font-weight: bold; text-align: center; margin: 3rem 0;"&gt;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</w:t>
      </w:r>
      <w:r w:rsidDel="00000000" w:rsidR="00000000" w:rsidRPr="00000000">
        <w:rPr>
          <w:rtl w:val="1"/>
        </w:rPr>
        <w:t xml:space="preserve">להסדרת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050-8620993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sigal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  <w:t xml:space="preserve">        &lt;div class="footer-content"&gt;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שד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            &lt;span style="font-weight: bold;"&gt;035666170&lt;/span&gt;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            &lt;span style="font-weight: bold;"&gt;franco-cpa@franco.co.il&lt;/span&gt;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