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        .subject {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        .subject-label {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        .red-text { color: #ef4444; }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        .blue-text { color: #3b82f6; }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       .green-text {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        .content ul li {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            margin-bottom: 0.7em;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        .content ul:not(.diamond-list) li::before {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        .content ul.diamond-list {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            margin-right: 1em;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 {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            padding-right: 2em;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            margin-bottom: 0.5em;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        .content ul.diamond-list li::before {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            content: "♦";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        .regular-paragraph {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            padding-right: 1.5em;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            margin: 0.7em 0;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        .regular-paragraph::before {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            content: "•";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            line-height: 1.2;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        .section-header {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            padding-right: 0 !important;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        .section-header::before {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            content: none !important;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        .bold-text {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0.2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    &lt;div class="subject"&gt;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2025&lt;/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5.12.2025.&lt;/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).&lt;/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  <w:t xml:space="preserve">        &lt;ul class="diamond-list"&gt;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541596&lt;/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        &lt;p class="blue-text section-header" style="font-weight: bold; text-align: center; margin: 2rem 0;"&gt;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1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