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e2dn9vvkk93" w:id="0"/>
      <w:bookmarkEnd w:id="0"/>
      <w:r w:rsidDel="00000000" w:rsidR="00000000" w:rsidRPr="00000000">
        <w:rPr>
          <w:rtl w:val="0"/>
        </w:rPr>
        <w:t xml:space="preserve">Bakare Oluwatomisin Esther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fw74paa08b5" w:id="1"/>
      <w:bookmarkEnd w:id="1"/>
      <w:r w:rsidDel="00000000" w:rsidR="00000000" w:rsidRPr="00000000">
        <w:rPr>
          <w:rtl w:val="0"/>
        </w:rPr>
        <w:t xml:space="preserve">Growth Manager | Product Marketing and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+2347082232785 | niolabakare@gmail.com</w:t>
        <w:br w:type="textWrapping"/>
        <w:t xml:space="preserve">Lagos, Nigeria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1xowsmbp2sk9" w:id="2"/>
      <w:bookmarkEnd w:id="2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a Growth Manager and Product Marketing Strategist sitting at the intersection of data, product, and storytelling. I specialize in identifying meaningful insights and turning them into strategies that drive real user growth and revenue. With experience across global media, AI tech, and lifestyle brands and more, I shape marketing and product direction by focusing on what users actually respond to, optimizing performance, and making GTM decisions backed by clear data.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g8hec9menfc8" w:id="3"/>
      <w:bookmarkEnd w:id="3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an6c2lp3qk4g" w:id="4"/>
      <w:bookmarkEnd w:id="4"/>
      <w:r w:rsidDel="00000000" w:rsidR="00000000" w:rsidRPr="00000000">
        <w:rPr>
          <w:rtl w:val="0"/>
        </w:rPr>
        <w:t xml:space="preserve">Product Marketing Manager (Contract) | Gesturé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October 2025 – January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Manage digital presence for a luxury short-let brand, building campaigns that boost visibility and customer inquiries.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and scheduled content calendars that highlight brand value and engage prospective clients.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Engineered a data-backed content pivot that triggered a 147.5% increase in Account Reach and a 144.3% surge in Content Views within a single 7-day sprint.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Revitalized user engagement mechanics, delivering a 100% week-over-week growth in interactions and a 55.6% boost in profile visits.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kz1qdsav003d" w:id="5"/>
      <w:bookmarkEnd w:id="5"/>
      <w:r w:rsidDel="00000000" w:rsidR="00000000" w:rsidRPr="00000000">
        <w:rPr>
          <w:rtl w:val="0"/>
        </w:rPr>
        <w:t xml:space="preserve">Content Strategist &amp; Web Copywriter (Contract) | Folivision Limited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October 2025 – December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Led content strategy for 7 core website sections and authored 11 SEO-optimized articles, driving thought leadership and increasing organic site traffic.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Integrated high-value USPs (70%+ savings, LTO/BNPL) and 10+ years of team experience into all marketing copy to build credibility and maximize conversions.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46v2t3j3ul7" w:id="6"/>
      <w:bookmarkEnd w:id="6"/>
      <w:r w:rsidDel="00000000" w:rsidR="00000000" w:rsidRPr="00000000">
        <w:rPr>
          <w:rtl w:val="0"/>
        </w:rPr>
        <w:t xml:space="preserve">Copywriter (Freelance) | MySounds Global &amp; UGotJokes UK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May 2025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Developed persuasive marketing copy and creative content tailored to youth and entertainment audiences.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Produced copy for social media, email campaigns, and website updates to enhance audience connection.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1xpnjcsq3e5e" w:id="7"/>
      <w:bookmarkEnd w:id="7"/>
      <w:r w:rsidDel="00000000" w:rsidR="00000000" w:rsidRPr="00000000">
        <w:rPr>
          <w:rtl w:val="0"/>
        </w:rPr>
        <w:t xml:space="preserve">Executive Editor | Inside Success Global (UK, Nigeria, Ghana)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February 2025 – December 2025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Executed a Pan-African organic growth strategy across Nigeria and Ghana, scaling Active Users by 373% (11K) in the primary market while triggering a 509% user surge in a new market entry.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Optimized cross-border SEO and discovery funnels to capture high-intent traffic, driving over 48,000+ interaction events and 12,000+ sessions without paid ad spend.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Coordinated freelance writers and managed publishing schedules to deliver impactful articles and campaigns.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joghoiu3t5qo" w:id="8"/>
      <w:bookmarkEnd w:id="8"/>
      <w:r w:rsidDel="00000000" w:rsidR="00000000" w:rsidRPr="00000000">
        <w:rPr>
          <w:rtl w:val="0"/>
        </w:rPr>
        <w:t xml:space="preserve">Social Media Manager | Casa Valora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December 2024 – January 2025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tailored marketing strategies to align product features with target audience needs.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teams to ensure consistent brand messaging across all digital touchpoints.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agcgb9cgznd" w:id="9"/>
      <w:bookmarkEnd w:id="9"/>
      <w:r w:rsidDel="00000000" w:rsidR="00000000" w:rsidRPr="00000000">
        <w:rPr>
          <w:rtl w:val="0"/>
        </w:rPr>
        <w:t xml:space="preserve">Social Media Manager | Unilag Microfinance Bank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October 2024 – February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Managed the end-to-end content calendar for all social media platforms, executing campaigns to promote micro-loan products and financial literacy workshops.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Analyzed audience engagement and metrics to optimize content performance, resulting in a 35% increase in followers and a 120% surge in engagement.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j8rr1e507q98" w:id="10"/>
      <w:bookmarkEnd w:id="10"/>
      <w:r w:rsidDel="00000000" w:rsidR="00000000" w:rsidRPr="00000000">
        <w:rPr>
          <w:rtl w:val="0"/>
        </w:rPr>
        <w:t xml:space="preserve">Business Development Associate | Think Round Inc (California)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November 2024 – February 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Supported business growth by conducting research, analyzing trends, and contributing to strategic reports.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Assisted the business development team with proposals, presentations, and client outreach activities.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stxal1vxetq" w:id="11"/>
      <w:bookmarkEnd w:id="11"/>
      <w:r w:rsidDel="00000000" w:rsidR="00000000" w:rsidRPr="00000000">
        <w:rPr>
          <w:rtl w:val="0"/>
        </w:rPr>
        <w:t xml:space="preserve">Analyst and Research Volunteer | MPB Initiative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October 2024 – Present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Designed and analyzed surveys to measure volunteer impact, providing insights to guide organizational strategy.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Created dashboards and reports that visualized data for decision-making and community programs.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9qjo1f2vuun6" w:id="12"/>
      <w:bookmarkEnd w:id="12"/>
      <w:r w:rsidDel="00000000" w:rsidR="00000000" w:rsidRPr="00000000">
        <w:rPr>
          <w:rtl w:val="0"/>
        </w:rPr>
        <w:t xml:space="preserve">Customer Care Specialist | Jumia Group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October 2023 – March 2024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Resolved customer inquiries and escalations, ensuring improved service satisfaction and client retention.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teams to streamline processes and enhance customer experience.</w:t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j0l6dh9bxi6q" w:id="13"/>
      <w:bookmarkEnd w:id="13"/>
      <w:r w:rsidDel="00000000" w:rsidR="00000000" w:rsidRPr="00000000">
        <w:rPr>
          <w:rtl w:val="0"/>
        </w:rPr>
        <w:t xml:space="preserve">Education</w:t>
      </w:r>
    </w:p>
    <w:tbl>
      <w:tblPr>
        <w:tblStyle w:val="Table1"/>
        <w:tblW w:w="10500.0" w:type="dxa"/>
        <w:jc w:val="left"/>
        <w:tblBorders>
          <w:top w:color="edf2f7" w:space="0" w:sz="4" w:val="single"/>
          <w:left w:color="000000" w:space="0" w:sz="0" w:val="nil"/>
          <w:bottom w:color="edf2f7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Degree / Certification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Altschool Africa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 (Growth)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Expected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HubSpot Academy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Content Marketing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University of Lagos, Nigeria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Bsc. in Biochemistry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2021 – Expected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DataCamp Inc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Analyst Associate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m6d43cz8tuuz" w:id="14"/>
      <w:bookmarkEnd w:id="14"/>
      <w:r w:rsidDel="00000000" w:rsidR="00000000" w:rsidRPr="00000000">
        <w:rPr>
          <w:rtl w:val="0"/>
        </w:rPr>
        <w:t xml:space="preserve">Skills &amp; Tools</w:t>
      </w:r>
    </w:p>
    <w:tbl>
      <w:tblPr>
        <w:tblStyle w:val="Table2"/>
        <w:tblW w:w="10000.0" w:type="dxa"/>
        <w:jc w:val="left"/>
        <w:tblBorders>
          <w:top w:color="edf2f7" w:space="0" w:sz="4" w:val="single"/>
          <w:left w:color="000000" w:space="0" w:sz="0" w:val="nil"/>
          <w:bottom w:color="edf2f7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Competencies &amp; Technologies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Skills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Editorial Writing, Content Development, Social Media Strategy, Community Engagement, Digital Marketing, Campaign Management, Content Editing, Analytics, Performance Tracking, Brand Management, SEO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&amp;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Canva Pro, CapCut, WordPress, Notion, Trello, Google Workspace, Jira, MailChimp, ConvertKit, Grammarly, WordCounter.net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Technical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Analytics, Meta Business Suite, PostgreSQL, Power BI, Looker Studio, Tableau, Python, n8n, Basic HTML &amp; CSS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1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2d3748"/>
      <w:sz w:val="22"/>
      <w:szCs w:val="2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12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202c"/>
      <w:sz w:val="20"/>
      <w:szCs w:val="20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12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3333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3333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3333"/>
      <w:sz w:val="18"/>
      <w:szCs w:val="18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3333"/>
      <w:sz w:val="18"/>
      <w:szCs w:val="18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40" w:before="240" w:line="240" w:lineRule="auto"/>
      <w:ind w:left="0" w:right="0" w:firstLine="0"/>
      <w:jc w:val="left"/>
    </w:pPr>
    <w:rPr>
      <w:rFonts w:ascii="Playfair Display" w:cs="Playfair Display" w:eastAsia="Playfair Display" w:hAnsi="Playfair Display"/>
      <w:b w:val="1"/>
      <w:bCs w:val="1"/>
      <w:i w:val="0"/>
      <w:iCs w:val="0"/>
      <w:smallCaps w:val="0"/>
      <w:strike w:val="0"/>
      <w:color w:val="1a202c"/>
      <w:sz w:val="44"/>
      <w:szCs w:val="44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40" w:before="16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4a5568"/>
      <w:sz w:val="20"/>
      <w:szCs w:val="2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a5568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a5568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