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7398" w14:textId="77777777" w:rsidR="00723345" w:rsidRDefault="00723345" w:rsidP="00723345">
      <w:pPr>
        <w:pStyle w:val="Heading1"/>
        <w:spacing w:before="120" w:line="240" w:lineRule="auto"/>
        <w:rPr>
          <w:sz w:val="36"/>
          <w:szCs w:val="36"/>
        </w:rPr>
      </w:pPr>
      <w:r>
        <w:rPr>
          <w:noProof/>
        </w:rPr>
        <w:drawing>
          <wp:anchor distT="0" distB="0" distL="0" distR="0" simplePos="0" relativeHeight="251685888" behindDoc="1" locked="0" layoutInCell="1" hidden="0" allowOverlap="1" wp14:anchorId="458FBB8A" wp14:editId="361A66DD">
            <wp:simplePos x="0" y="0"/>
            <wp:positionH relativeFrom="column">
              <wp:posOffset>0</wp:posOffset>
            </wp:positionH>
            <wp:positionV relativeFrom="paragraph">
              <wp:posOffset>-635</wp:posOffset>
            </wp:positionV>
            <wp:extent cx="1016000" cy="599440"/>
            <wp:effectExtent l="0" t="0" r="0" b="0"/>
            <wp:wrapNone/>
            <wp:docPr id="2053921959" name="image3.png" descr="A:\CBHE-factori\aa-starter\Factori_soumis\communication\logo\Logo Factori 4.0.png"/>
            <wp:cNvGraphicFramePr/>
            <a:graphic xmlns:a="http://schemas.openxmlformats.org/drawingml/2006/main">
              <a:graphicData uri="http://schemas.openxmlformats.org/drawingml/2006/picture">
                <pic:pic xmlns:pic="http://schemas.openxmlformats.org/drawingml/2006/picture">
                  <pic:nvPicPr>
                    <pic:cNvPr id="0" name="image3.png" descr="A:\CBHE-factori\aa-starter\Factori_soumis\communication\logo\Logo Factori 4.0.png"/>
                    <pic:cNvPicPr preferRelativeResize="0"/>
                  </pic:nvPicPr>
                  <pic:blipFill>
                    <a:blip r:embed="rId9"/>
                    <a:srcRect/>
                    <a:stretch>
                      <a:fillRect/>
                    </a:stretch>
                  </pic:blipFill>
                  <pic:spPr>
                    <a:xfrm>
                      <a:off x="0" y="0"/>
                      <a:ext cx="1016000" cy="599440"/>
                    </a:xfrm>
                    <a:prstGeom prst="rect">
                      <a:avLst/>
                    </a:prstGeom>
                    <a:ln/>
                  </pic:spPr>
                </pic:pic>
              </a:graphicData>
            </a:graphic>
          </wp:anchor>
        </w:drawing>
      </w:r>
      <w:r>
        <w:rPr>
          <w:sz w:val="36"/>
          <w:szCs w:val="36"/>
        </w:rPr>
        <w:tab/>
      </w:r>
      <w:r>
        <w:rPr>
          <w:sz w:val="36"/>
          <w:szCs w:val="36"/>
        </w:rPr>
        <w:tab/>
      </w:r>
      <w:r>
        <w:rPr>
          <w:sz w:val="36"/>
          <w:szCs w:val="36"/>
        </w:rPr>
        <w:tab/>
      </w:r>
      <w:r>
        <w:rPr>
          <w:sz w:val="36"/>
          <w:szCs w:val="36"/>
        </w:rPr>
        <w:tab/>
      </w:r>
      <w:r>
        <w:rPr>
          <w:sz w:val="36"/>
          <w:szCs w:val="36"/>
        </w:rPr>
        <w:tab/>
      </w:r>
      <w:r>
        <w:rPr>
          <w:noProof/>
        </w:rPr>
        <w:drawing>
          <wp:inline distT="0" distB="0" distL="0" distR="0" wp14:anchorId="2DE8FBEF" wp14:editId="5E15DCE2">
            <wp:extent cx="2948940" cy="723932"/>
            <wp:effectExtent l="0" t="0" r="3810" b="0"/>
            <wp:docPr id="508965570" name="Picture 50896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51923" name=""/>
                    <pic:cNvPicPr/>
                  </pic:nvPicPr>
                  <pic:blipFill>
                    <a:blip r:embed="rId10"/>
                    <a:stretch>
                      <a:fillRect/>
                    </a:stretch>
                  </pic:blipFill>
                  <pic:spPr>
                    <a:xfrm>
                      <a:off x="0" y="0"/>
                      <a:ext cx="2988630" cy="733675"/>
                    </a:xfrm>
                    <a:prstGeom prst="rect">
                      <a:avLst/>
                    </a:prstGeom>
                  </pic:spPr>
                </pic:pic>
              </a:graphicData>
            </a:graphic>
          </wp:inline>
        </w:drawing>
      </w:r>
    </w:p>
    <w:p w14:paraId="5445AA65" w14:textId="77777777" w:rsidR="00723345" w:rsidRDefault="00723345" w:rsidP="00723345">
      <w:pPr>
        <w:pStyle w:val="Heading1"/>
        <w:spacing w:before="120" w:line="240" w:lineRule="auto"/>
        <w:rPr>
          <w:sz w:val="36"/>
          <w:szCs w:val="36"/>
        </w:rPr>
      </w:pPr>
    </w:p>
    <w:p w14:paraId="0FA6BB50" w14:textId="77777777" w:rsidR="00723345" w:rsidRDefault="00723345" w:rsidP="00723345">
      <w:pPr>
        <w:pStyle w:val="Heading1"/>
        <w:spacing w:before="120" w:line="240" w:lineRule="auto"/>
        <w:jc w:val="center"/>
        <w:rPr>
          <w:sz w:val="36"/>
          <w:szCs w:val="36"/>
        </w:rPr>
      </w:pPr>
      <w:r>
        <w:rPr>
          <w:sz w:val="36"/>
          <w:szCs w:val="36"/>
        </w:rPr>
        <w:t xml:space="preserve">From Automation and Control Training to the Overall Roll-Out of Industry 4.0 Across South-East Asian Nations </w:t>
      </w:r>
    </w:p>
    <w:p w14:paraId="0A6C9EA5" w14:textId="77777777" w:rsidR="00723345" w:rsidRDefault="00723345" w:rsidP="00723345">
      <w:pPr>
        <w:pStyle w:val="Heading1"/>
        <w:spacing w:before="120" w:line="240" w:lineRule="auto"/>
        <w:jc w:val="center"/>
        <w:rPr>
          <w:sz w:val="36"/>
          <w:szCs w:val="36"/>
        </w:rPr>
      </w:pPr>
      <w:r>
        <w:rPr>
          <w:sz w:val="36"/>
          <w:szCs w:val="36"/>
        </w:rPr>
        <w:t>(</w:t>
      </w:r>
      <w:r w:rsidRPr="002A040C">
        <w:rPr>
          <w:sz w:val="36"/>
          <w:szCs w:val="36"/>
        </w:rPr>
        <w:t>ASEAN FACTORI 4.0</w:t>
      </w:r>
      <w:r>
        <w:rPr>
          <w:sz w:val="36"/>
          <w:szCs w:val="36"/>
        </w:rPr>
        <w:t>)</w:t>
      </w:r>
      <w:r w:rsidRPr="002A040C">
        <w:rPr>
          <w:sz w:val="36"/>
          <w:szCs w:val="36"/>
        </w:rPr>
        <w:t xml:space="preserve"> </w:t>
      </w:r>
    </w:p>
    <w:p w14:paraId="040EC45C" w14:textId="77777777" w:rsidR="00723345" w:rsidRPr="00BE6E4A" w:rsidRDefault="00723345" w:rsidP="00723345">
      <w:pPr>
        <w:jc w:val="center"/>
        <w:rPr>
          <w:rFonts w:asciiTheme="minorHAnsi" w:hAnsiTheme="minorHAnsi" w:cstheme="minorHAnsi"/>
          <w:b/>
          <w:bCs/>
          <w:sz w:val="36"/>
          <w:szCs w:val="36"/>
          <w:shd w:val="clear" w:color="auto" w:fill="F7F7F8"/>
        </w:rPr>
      </w:pPr>
      <w:r w:rsidRPr="00BE6E4A">
        <w:rPr>
          <w:rFonts w:asciiTheme="minorHAnsi" w:hAnsiTheme="minorHAnsi" w:cstheme="minorHAnsi"/>
          <w:b/>
          <w:bCs/>
          <w:sz w:val="36"/>
          <w:szCs w:val="36"/>
          <w:shd w:val="clear" w:color="auto" w:fill="F7F7F8"/>
        </w:rPr>
        <w:t>PROJECT</w:t>
      </w:r>
      <w:r>
        <w:rPr>
          <w:rFonts w:asciiTheme="minorHAnsi" w:hAnsiTheme="minorHAnsi" w:cstheme="minorHAnsi"/>
          <w:b/>
          <w:bCs/>
          <w:sz w:val="36"/>
          <w:szCs w:val="36"/>
          <w:shd w:val="clear" w:color="auto" w:fill="F7F7F8"/>
        </w:rPr>
        <w:t xml:space="preserve"> No. </w:t>
      </w:r>
      <w:r w:rsidRPr="00BE6E4A">
        <w:rPr>
          <w:rFonts w:asciiTheme="minorHAnsi" w:hAnsiTheme="minorHAnsi" w:cstheme="minorHAnsi"/>
          <w:b/>
          <w:bCs/>
          <w:sz w:val="36"/>
          <w:szCs w:val="36"/>
          <w:shd w:val="clear" w:color="auto" w:fill="F7F7F8"/>
        </w:rPr>
        <w:t>609854-EPP-1-2019-1-FR-EPPKA2-CBHE-JP</w:t>
      </w:r>
    </w:p>
    <w:p w14:paraId="083B3BBF" w14:textId="77777777" w:rsidR="00572899" w:rsidRPr="00572899" w:rsidRDefault="00572899" w:rsidP="00572899">
      <w:pPr>
        <w:pStyle w:val="ListParagraph"/>
        <w:rPr>
          <w:rFonts w:asciiTheme="minorHAnsi" w:hAnsiTheme="minorHAnsi" w:cstheme="minorHAnsi"/>
          <w:b/>
          <w:bCs/>
        </w:rPr>
      </w:pPr>
    </w:p>
    <w:p w14:paraId="2E43D116" w14:textId="77777777" w:rsidR="00723345" w:rsidRPr="00723345" w:rsidRDefault="00723345" w:rsidP="000655BA">
      <w:pPr>
        <w:jc w:val="thaiDistribute"/>
        <w:rPr>
          <w:rFonts w:asciiTheme="minorHAnsi" w:hAnsiTheme="minorHAnsi" w:cstheme="minorHAnsi"/>
          <w:b/>
          <w:bCs/>
          <w:sz w:val="24"/>
          <w:szCs w:val="24"/>
          <w:shd w:val="clear" w:color="auto" w:fill="F7F7F8"/>
        </w:rPr>
      </w:pPr>
      <w:r w:rsidRPr="00723345">
        <w:rPr>
          <w:rFonts w:asciiTheme="minorHAnsi" w:hAnsiTheme="minorHAnsi" w:cstheme="minorHAnsi"/>
          <w:b/>
          <w:bCs/>
          <w:sz w:val="24"/>
          <w:szCs w:val="24"/>
          <w:shd w:val="clear" w:color="auto" w:fill="F7F7F8"/>
        </w:rPr>
        <w:t>Teaching Done by EU (Seminar 1) on April 8, 22, 29, 2021</w:t>
      </w:r>
    </w:p>
    <w:p w14:paraId="0D12EF67" w14:textId="3E2BB822" w:rsidR="004550F9" w:rsidRPr="00723345" w:rsidRDefault="004550F9" w:rsidP="000655BA">
      <w:pPr>
        <w:jc w:val="thaiDistribute"/>
        <w:rPr>
          <w:rFonts w:asciiTheme="minorHAnsi" w:hAnsiTheme="minorHAnsi" w:cstheme="minorHAnsi"/>
          <w:sz w:val="24"/>
          <w:szCs w:val="24"/>
          <w:shd w:val="clear" w:color="auto" w:fill="F7F7F8"/>
        </w:rPr>
      </w:pPr>
      <w:r w:rsidRPr="00723345">
        <w:rPr>
          <w:rFonts w:asciiTheme="minorHAnsi" w:hAnsiTheme="minorHAnsi" w:cstheme="minorHAnsi"/>
          <w:sz w:val="24"/>
          <w:szCs w:val="24"/>
          <w:shd w:val="clear" w:color="auto" w:fill="F7F7F8"/>
        </w:rPr>
        <w:t>To ensure the success of the modification to the mentioned three courses, several important steps were taken. First and foremost, the staff underwent comprehensive training to enhance their proficiency in Programmable Logic Controllers (PLCs), enabling them to develop and deliver high-quality lessons to the students. This training aimed to equip the staff with the necessary knowledge and skills to effectively teach PLC-related topics.</w:t>
      </w:r>
    </w:p>
    <w:p w14:paraId="44C1EBB3" w14:textId="6F2A3FF1" w:rsidR="00A25E09" w:rsidRDefault="004550F9" w:rsidP="00723345">
      <w:pPr>
        <w:jc w:val="thaiDistribute"/>
        <w:rPr>
          <w:rFonts w:asciiTheme="minorHAnsi" w:hAnsiTheme="minorHAnsi" w:cstheme="minorHAnsi"/>
          <w:sz w:val="24"/>
          <w:szCs w:val="24"/>
          <w:shd w:val="clear" w:color="auto" w:fill="F7F7F8"/>
        </w:rPr>
      </w:pPr>
      <w:r w:rsidRPr="00723345">
        <w:rPr>
          <w:rFonts w:asciiTheme="minorHAnsi" w:hAnsiTheme="minorHAnsi" w:cstheme="minorHAnsi"/>
          <w:sz w:val="24"/>
          <w:szCs w:val="24"/>
          <w:shd w:val="clear" w:color="auto" w:fill="F7F7F8"/>
        </w:rPr>
        <w:t>Furthermore, the same PLC approach was shared with professionals working in the field of automation. This enabled them to provide valuable insights and recommendations on how Chulalongkorn University (CU) could best deliver PLC knowledge to its graduates, ensuring their preparedness for the industry upon graduation.</w:t>
      </w:r>
    </w:p>
    <w:p w14:paraId="014964E7" w14:textId="0936EFF0" w:rsidR="005422B6" w:rsidRPr="00723345" w:rsidRDefault="005422B6" w:rsidP="00413830">
      <w:pPr>
        <w:jc w:val="thaiDistribute"/>
        <w:rPr>
          <w:rFonts w:asciiTheme="minorHAnsi" w:hAnsiTheme="minorHAnsi" w:cstheme="minorHAnsi"/>
          <w:color w:val="000000" w:themeColor="text1"/>
          <w:sz w:val="24"/>
          <w:szCs w:val="24"/>
          <w:shd w:val="clear" w:color="auto" w:fill="F7F7F8"/>
        </w:rPr>
      </w:pPr>
      <w:r w:rsidRPr="00723345">
        <w:rPr>
          <w:rFonts w:asciiTheme="minorHAnsi" w:hAnsiTheme="minorHAnsi" w:cstheme="minorHAnsi"/>
          <w:color w:val="000000" w:themeColor="text1"/>
          <w:sz w:val="24"/>
          <w:szCs w:val="24"/>
          <w:shd w:val="clear" w:color="auto" w:fill="F7F7F8"/>
        </w:rPr>
        <w:t xml:space="preserve">Through </w:t>
      </w:r>
      <w:r w:rsidR="00983CD9" w:rsidRPr="00723345">
        <w:rPr>
          <w:rFonts w:asciiTheme="minorHAnsi" w:hAnsiTheme="minorHAnsi" w:cstheme="minorHAnsi"/>
          <w:color w:val="000000" w:themeColor="text1"/>
          <w:sz w:val="24"/>
          <w:szCs w:val="24"/>
          <w:shd w:val="clear" w:color="auto" w:fill="F7F7F8"/>
        </w:rPr>
        <w:t>the</w:t>
      </w:r>
      <w:r w:rsidRPr="00723345">
        <w:rPr>
          <w:rFonts w:asciiTheme="minorHAnsi" w:hAnsiTheme="minorHAnsi" w:cstheme="minorHAnsi"/>
          <w:color w:val="000000" w:themeColor="text1"/>
          <w:sz w:val="24"/>
          <w:szCs w:val="24"/>
          <w:shd w:val="clear" w:color="auto" w:fill="F7F7F8"/>
        </w:rPr>
        <w:t xml:space="preserve"> introduction</w:t>
      </w:r>
      <w:r w:rsidR="00983CD9" w:rsidRPr="00723345">
        <w:rPr>
          <w:rFonts w:asciiTheme="minorHAnsi" w:hAnsiTheme="minorHAnsi" w:cstheme="minorHAnsi"/>
          <w:color w:val="000000" w:themeColor="text1"/>
          <w:sz w:val="24"/>
          <w:szCs w:val="24"/>
          <w:shd w:val="clear" w:color="auto" w:fill="F7F7F8"/>
        </w:rPr>
        <w:t xml:space="preserve"> of this project</w:t>
      </w:r>
      <w:r w:rsidRPr="00723345">
        <w:rPr>
          <w:rFonts w:asciiTheme="minorHAnsi" w:hAnsiTheme="minorHAnsi" w:cstheme="minorHAnsi"/>
          <w:color w:val="000000" w:themeColor="text1"/>
          <w:sz w:val="24"/>
          <w:szCs w:val="24"/>
          <w:shd w:val="clear" w:color="auto" w:fill="F7F7F8"/>
        </w:rPr>
        <w:t xml:space="preserve"> to </w:t>
      </w:r>
      <w:r w:rsidR="00582EC4" w:rsidRPr="00723345">
        <w:rPr>
          <w:rFonts w:asciiTheme="minorHAnsi" w:hAnsiTheme="minorHAnsi" w:cstheme="minorHAnsi"/>
          <w:color w:val="000000" w:themeColor="text1"/>
          <w:sz w:val="24"/>
          <w:szCs w:val="24"/>
          <w:shd w:val="clear" w:color="auto" w:fill="F7F7F8"/>
        </w:rPr>
        <w:t>Chulalongkorn University</w:t>
      </w:r>
      <w:r w:rsidRPr="00723345">
        <w:rPr>
          <w:rFonts w:asciiTheme="minorHAnsi" w:hAnsiTheme="minorHAnsi" w:cstheme="minorHAnsi"/>
          <w:color w:val="000000" w:themeColor="text1"/>
          <w:sz w:val="24"/>
          <w:szCs w:val="24"/>
          <w:shd w:val="clear" w:color="auto" w:fill="F7F7F8"/>
        </w:rPr>
        <w:t xml:space="preserve">, this training primarily focuses on familiarizing participants with programmable logic controllers, sharing best practices in establishing a </w:t>
      </w:r>
      <w:proofErr w:type="spellStart"/>
      <w:r w:rsidR="00983CD9" w:rsidRPr="00723345">
        <w:rPr>
          <w:rFonts w:asciiTheme="minorHAnsi" w:hAnsiTheme="minorHAnsi" w:cstheme="minorHAnsi"/>
          <w:color w:val="000000" w:themeColor="text1"/>
          <w:sz w:val="24"/>
          <w:szCs w:val="24"/>
          <w:shd w:val="clear" w:color="auto" w:fill="F7F7F8"/>
        </w:rPr>
        <w:t>C</w:t>
      </w:r>
      <w:r w:rsidRPr="00723345">
        <w:rPr>
          <w:rFonts w:asciiTheme="minorHAnsi" w:hAnsiTheme="minorHAnsi" w:cstheme="minorHAnsi"/>
          <w:color w:val="000000" w:themeColor="text1"/>
          <w:sz w:val="24"/>
          <w:szCs w:val="24"/>
          <w:shd w:val="clear" w:color="auto" w:fill="F7F7F8"/>
        </w:rPr>
        <w:t>enter</w:t>
      </w:r>
      <w:proofErr w:type="spellEnd"/>
      <w:r w:rsidRPr="00723345">
        <w:rPr>
          <w:rFonts w:asciiTheme="minorHAnsi" w:hAnsiTheme="minorHAnsi" w:cstheme="minorHAnsi"/>
          <w:color w:val="000000" w:themeColor="text1"/>
          <w:sz w:val="24"/>
          <w:szCs w:val="24"/>
          <w:shd w:val="clear" w:color="auto" w:fill="F7F7F8"/>
        </w:rPr>
        <w:t xml:space="preserve"> of </w:t>
      </w:r>
      <w:r w:rsidR="00983CD9" w:rsidRPr="00723345">
        <w:rPr>
          <w:rFonts w:asciiTheme="minorHAnsi" w:hAnsiTheme="minorHAnsi" w:cstheme="minorHAnsi"/>
          <w:color w:val="000000" w:themeColor="text1"/>
          <w:sz w:val="24"/>
          <w:szCs w:val="24"/>
          <w:shd w:val="clear" w:color="auto" w:fill="F7F7F8"/>
        </w:rPr>
        <w:t>E</w:t>
      </w:r>
      <w:r w:rsidRPr="00723345">
        <w:rPr>
          <w:rFonts w:asciiTheme="minorHAnsi" w:hAnsiTheme="minorHAnsi" w:cstheme="minorHAnsi"/>
          <w:color w:val="000000" w:themeColor="text1"/>
          <w:sz w:val="24"/>
          <w:szCs w:val="24"/>
          <w:shd w:val="clear" w:color="auto" w:fill="F7F7F8"/>
        </w:rPr>
        <w:t xml:space="preserve">xcellence, and designing new curricula. Tailored for </w:t>
      </w:r>
      <w:r w:rsidR="00582EC4" w:rsidRPr="00723345">
        <w:rPr>
          <w:rFonts w:asciiTheme="minorHAnsi" w:hAnsiTheme="minorHAnsi" w:cstheme="minorHAnsi"/>
          <w:color w:val="000000" w:themeColor="text1"/>
          <w:sz w:val="24"/>
          <w:szCs w:val="24"/>
          <w:shd w:val="clear" w:color="auto" w:fill="F7F7F8"/>
        </w:rPr>
        <w:t>CU</w:t>
      </w:r>
      <w:r w:rsidRPr="00723345">
        <w:rPr>
          <w:rFonts w:asciiTheme="minorHAnsi" w:hAnsiTheme="minorHAnsi" w:cstheme="minorHAnsi"/>
          <w:color w:val="000000" w:themeColor="text1"/>
          <w:sz w:val="24"/>
          <w:szCs w:val="24"/>
          <w:shd w:val="clear" w:color="auto" w:fill="F7F7F8"/>
        </w:rPr>
        <w:t xml:space="preserve"> students and staff, this training is facilitated by EU partners.</w:t>
      </w:r>
    </w:p>
    <w:p w14:paraId="237473CF" w14:textId="5A28A4A4" w:rsidR="00983CD9" w:rsidRPr="00723345" w:rsidRDefault="00FE0A29" w:rsidP="00413830">
      <w:pPr>
        <w:jc w:val="both"/>
        <w:rPr>
          <w:rFonts w:asciiTheme="minorHAnsi" w:hAnsiTheme="minorHAnsi" w:cstheme="minorHAnsi"/>
          <w:sz w:val="24"/>
          <w:szCs w:val="24"/>
          <w:shd w:val="clear" w:color="auto" w:fill="F7F7F8"/>
        </w:rPr>
      </w:pPr>
      <w:r w:rsidRPr="00723345">
        <w:rPr>
          <w:rFonts w:asciiTheme="minorHAnsi" w:hAnsiTheme="minorHAnsi" w:cstheme="minorHAnsi"/>
          <w:sz w:val="24"/>
          <w:szCs w:val="24"/>
          <w:shd w:val="clear" w:color="auto" w:fill="F7F7F8"/>
        </w:rPr>
        <w:t xml:space="preserve">The project training component primarily relied on benchmarking and laboratory learning. Due to travel restrictions, </w:t>
      </w:r>
      <w:r w:rsidR="00983CD9" w:rsidRPr="00723345">
        <w:rPr>
          <w:rFonts w:asciiTheme="minorHAnsi" w:hAnsiTheme="minorHAnsi" w:cstheme="minorHAnsi"/>
          <w:sz w:val="24"/>
          <w:szCs w:val="24"/>
          <w:shd w:val="clear" w:color="auto" w:fill="F7F7F8"/>
        </w:rPr>
        <w:t xml:space="preserve">Claude Bernard University Lyon 1, France, </w:t>
      </w:r>
      <w:r w:rsidRPr="00723345">
        <w:rPr>
          <w:rFonts w:asciiTheme="minorHAnsi" w:hAnsiTheme="minorHAnsi" w:cstheme="minorHAnsi"/>
          <w:sz w:val="24"/>
          <w:szCs w:val="24"/>
          <w:shd w:val="clear" w:color="auto" w:fill="F7F7F8"/>
        </w:rPr>
        <w:t xml:space="preserve">arranged a </w:t>
      </w:r>
      <w:r w:rsidR="00C87AF9" w:rsidRPr="00723345">
        <w:rPr>
          <w:rFonts w:asciiTheme="minorHAnsi" w:hAnsiTheme="minorHAnsi" w:cstheme="minorHAnsi"/>
          <w:sz w:val="24"/>
          <w:szCs w:val="24"/>
          <w:shd w:val="clear" w:color="auto" w:fill="F7F7F8"/>
        </w:rPr>
        <w:t>training via Zoom application</w:t>
      </w:r>
      <w:r w:rsidRPr="00723345">
        <w:rPr>
          <w:rFonts w:asciiTheme="minorHAnsi" w:hAnsiTheme="minorHAnsi" w:cstheme="minorHAnsi"/>
          <w:sz w:val="24"/>
          <w:szCs w:val="24"/>
          <w:shd w:val="clear" w:color="auto" w:fill="F7F7F8"/>
        </w:rPr>
        <w:t xml:space="preserve"> that focuse</w:t>
      </w:r>
      <w:r w:rsidR="00C87AF9" w:rsidRPr="00723345">
        <w:rPr>
          <w:rFonts w:asciiTheme="minorHAnsi" w:hAnsiTheme="minorHAnsi" w:cstheme="minorHAnsi"/>
          <w:sz w:val="24"/>
          <w:szCs w:val="24"/>
          <w:shd w:val="clear" w:color="auto" w:fill="F7F7F8"/>
        </w:rPr>
        <w:t>d</w:t>
      </w:r>
      <w:r w:rsidRPr="00723345">
        <w:rPr>
          <w:rFonts w:asciiTheme="minorHAnsi" w:hAnsiTheme="minorHAnsi" w:cstheme="minorHAnsi"/>
          <w:sz w:val="24"/>
          <w:szCs w:val="24"/>
          <w:shd w:val="clear" w:color="auto" w:fill="F7F7F8"/>
        </w:rPr>
        <w:t xml:space="preserve"> on developing a </w:t>
      </w:r>
      <w:proofErr w:type="spellStart"/>
      <w:r w:rsidR="00983CD9" w:rsidRPr="00723345">
        <w:rPr>
          <w:rFonts w:asciiTheme="minorHAnsi" w:hAnsiTheme="minorHAnsi" w:cstheme="minorHAnsi"/>
          <w:sz w:val="24"/>
          <w:szCs w:val="24"/>
          <w:shd w:val="clear" w:color="auto" w:fill="F7F7F8"/>
        </w:rPr>
        <w:t>C</w:t>
      </w:r>
      <w:r w:rsidRPr="00723345">
        <w:rPr>
          <w:rFonts w:asciiTheme="minorHAnsi" w:hAnsiTheme="minorHAnsi" w:cstheme="minorHAnsi"/>
          <w:sz w:val="24"/>
          <w:szCs w:val="24"/>
          <w:shd w:val="clear" w:color="auto" w:fill="F7F7F8"/>
        </w:rPr>
        <w:t>enter</w:t>
      </w:r>
      <w:proofErr w:type="spellEnd"/>
      <w:r w:rsidRPr="00723345">
        <w:rPr>
          <w:rFonts w:asciiTheme="minorHAnsi" w:hAnsiTheme="minorHAnsi" w:cstheme="minorHAnsi"/>
          <w:sz w:val="24"/>
          <w:szCs w:val="24"/>
          <w:shd w:val="clear" w:color="auto" w:fill="F7F7F8"/>
        </w:rPr>
        <w:t xml:space="preserve"> of </w:t>
      </w:r>
      <w:r w:rsidR="00983CD9" w:rsidRPr="00723345">
        <w:rPr>
          <w:rFonts w:asciiTheme="minorHAnsi" w:hAnsiTheme="minorHAnsi" w:cstheme="minorHAnsi"/>
          <w:sz w:val="24"/>
          <w:szCs w:val="24"/>
          <w:shd w:val="clear" w:color="auto" w:fill="F7F7F8"/>
        </w:rPr>
        <w:t>E</w:t>
      </w:r>
      <w:r w:rsidRPr="00723345">
        <w:rPr>
          <w:rFonts w:asciiTheme="minorHAnsi" w:hAnsiTheme="minorHAnsi" w:cstheme="minorHAnsi"/>
          <w:sz w:val="24"/>
          <w:szCs w:val="24"/>
          <w:shd w:val="clear" w:color="auto" w:fill="F7F7F8"/>
        </w:rPr>
        <w:t xml:space="preserve">xcellence and crafting new curricula based on best practices. </w:t>
      </w:r>
    </w:p>
    <w:p w14:paraId="5A5794B5" w14:textId="77777777" w:rsidR="00413830" w:rsidRPr="00723345" w:rsidRDefault="00FE0A29" w:rsidP="00413830">
      <w:pPr>
        <w:jc w:val="both"/>
        <w:rPr>
          <w:rFonts w:asciiTheme="minorHAnsi" w:hAnsiTheme="minorHAnsi" w:cstheme="minorHAnsi"/>
          <w:sz w:val="24"/>
          <w:szCs w:val="24"/>
          <w:shd w:val="clear" w:color="auto" w:fill="F7F7F8"/>
        </w:rPr>
      </w:pPr>
      <w:r w:rsidRPr="00723345">
        <w:rPr>
          <w:rFonts w:asciiTheme="minorHAnsi" w:hAnsiTheme="minorHAnsi" w:cstheme="minorHAnsi"/>
          <w:sz w:val="24"/>
          <w:szCs w:val="24"/>
          <w:shd w:val="clear" w:color="auto" w:fill="F7F7F8"/>
        </w:rPr>
        <w:t>The training sessions was conducted by associate partner</w:t>
      </w:r>
      <w:r w:rsidR="00983CD9" w:rsidRPr="00723345">
        <w:rPr>
          <w:rFonts w:asciiTheme="minorHAnsi" w:hAnsiTheme="minorHAnsi" w:cstheme="minorHAnsi"/>
          <w:sz w:val="24"/>
          <w:szCs w:val="24"/>
          <w:shd w:val="clear" w:color="auto" w:fill="F7F7F8"/>
        </w:rPr>
        <w:t>s</w:t>
      </w:r>
      <w:r w:rsidRPr="00723345">
        <w:rPr>
          <w:rFonts w:asciiTheme="minorHAnsi" w:hAnsiTheme="minorHAnsi" w:cstheme="minorHAnsi"/>
          <w:sz w:val="24"/>
          <w:szCs w:val="24"/>
          <w:shd w:val="clear" w:color="auto" w:fill="F7F7F8"/>
        </w:rPr>
        <w:t xml:space="preserve"> from the </w:t>
      </w:r>
      <w:r w:rsidR="00C87AF9" w:rsidRPr="00723345">
        <w:rPr>
          <w:rFonts w:asciiTheme="minorHAnsi" w:hAnsiTheme="minorHAnsi" w:cstheme="minorHAnsi"/>
          <w:sz w:val="24"/>
          <w:szCs w:val="24"/>
          <w:shd w:val="clear" w:color="auto" w:fill="F7F7F8"/>
        </w:rPr>
        <w:t xml:space="preserve">University of Ruse “Angel </w:t>
      </w:r>
      <w:proofErr w:type="spellStart"/>
      <w:r w:rsidR="00C87AF9" w:rsidRPr="00723345">
        <w:rPr>
          <w:rFonts w:asciiTheme="minorHAnsi" w:hAnsiTheme="minorHAnsi" w:cstheme="minorHAnsi"/>
          <w:sz w:val="24"/>
          <w:szCs w:val="24"/>
          <w:shd w:val="clear" w:color="auto" w:fill="F7F7F8"/>
        </w:rPr>
        <w:t>Kanchev</w:t>
      </w:r>
      <w:proofErr w:type="spellEnd"/>
      <w:r w:rsidR="00C87AF9" w:rsidRPr="00723345">
        <w:rPr>
          <w:rFonts w:asciiTheme="minorHAnsi" w:hAnsiTheme="minorHAnsi" w:cstheme="minorHAnsi"/>
          <w:sz w:val="24"/>
          <w:szCs w:val="24"/>
          <w:shd w:val="clear" w:color="auto" w:fill="F7F7F8"/>
        </w:rPr>
        <w:t xml:space="preserve">,” Bulgaria, and </w:t>
      </w:r>
      <w:proofErr w:type="spellStart"/>
      <w:r w:rsidR="00C87AF9" w:rsidRPr="00723345">
        <w:rPr>
          <w:rFonts w:asciiTheme="minorHAnsi" w:hAnsiTheme="minorHAnsi" w:cstheme="minorHAnsi"/>
          <w:sz w:val="24"/>
          <w:szCs w:val="24"/>
          <w:shd w:val="clear" w:color="auto" w:fill="F7F7F8"/>
        </w:rPr>
        <w:t>Universite</w:t>
      </w:r>
      <w:proofErr w:type="spellEnd"/>
      <w:r w:rsidR="00C87AF9" w:rsidRPr="00723345">
        <w:rPr>
          <w:rFonts w:asciiTheme="minorHAnsi" w:hAnsiTheme="minorHAnsi" w:cstheme="minorHAnsi"/>
          <w:sz w:val="24"/>
          <w:szCs w:val="24"/>
          <w:shd w:val="clear" w:color="auto" w:fill="F7F7F8"/>
        </w:rPr>
        <w:t xml:space="preserve"> Grenoble Alpes, France</w:t>
      </w:r>
      <w:r w:rsidRPr="00723345">
        <w:rPr>
          <w:rFonts w:asciiTheme="minorHAnsi" w:hAnsiTheme="minorHAnsi" w:cstheme="minorHAnsi"/>
          <w:sz w:val="24"/>
          <w:szCs w:val="24"/>
          <w:shd w:val="clear" w:color="auto" w:fill="F7F7F8"/>
        </w:rPr>
        <w:t xml:space="preserve">. Each session lasted for two hours, aiming to emphasize the advantages of adopting a tuning approach in designing new curricula and implementing teaching methodologies through a </w:t>
      </w:r>
      <w:proofErr w:type="spellStart"/>
      <w:r w:rsidRPr="00723345">
        <w:rPr>
          <w:rFonts w:asciiTheme="minorHAnsi" w:hAnsiTheme="minorHAnsi" w:cstheme="minorHAnsi"/>
          <w:sz w:val="24"/>
          <w:szCs w:val="24"/>
          <w:shd w:val="clear" w:color="auto" w:fill="F7F7F8"/>
        </w:rPr>
        <w:t>Center</w:t>
      </w:r>
      <w:proofErr w:type="spellEnd"/>
      <w:r w:rsidRPr="00723345">
        <w:rPr>
          <w:rFonts w:asciiTheme="minorHAnsi" w:hAnsiTheme="minorHAnsi" w:cstheme="minorHAnsi"/>
          <w:sz w:val="24"/>
          <w:szCs w:val="24"/>
          <w:shd w:val="clear" w:color="auto" w:fill="F7F7F8"/>
        </w:rPr>
        <w:t xml:space="preserve"> of Excellence.</w:t>
      </w:r>
      <w:r w:rsidR="009A737D" w:rsidRPr="00723345">
        <w:rPr>
          <w:rFonts w:asciiTheme="minorHAnsi" w:hAnsiTheme="minorHAnsi" w:cstheme="minorHAnsi"/>
          <w:sz w:val="24"/>
          <w:szCs w:val="24"/>
          <w:shd w:val="clear" w:color="auto" w:fill="F7F7F8"/>
        </w:rPr>
        <w:t xml:space="preserve"> </w:t>
      </w:r>
      <w:r w:rsidRPr="00723345">
        <w:rPr>
          <w:rFonts w:asciiTheme="minorHAnsi" w:hAnsiTheme="minorHAnsi" w:cstheme="minorHAnsi"/>
          <w:sz w:val="24"/>
          <w:szCs w:val="24"/>
          <w:shd w:val="clear" w:color="auto" w:fill="F7F7F8"/>
        </w:rPr>
        <w:t xml:space="preserve">The training started with concept of Industry 4.0 PLC network extensions and real time constraint, Introduction to the modern telecommunication networks, PLC history languages, </w:t>
      </w:r>
      <w:r w:rsidR="00983CD9" w:rsidRPr="00723345">
        <w:rPr>
          <w:rFonts w:asciiTheme="minorHAnsi" w:hAnsiTheme="minorHAnsi" w:cstheme="minorHAnsi"/>
          <w:sz w:val="24"/>
          <w:szCs w:val="24"/>
          <w:shd w:val="clear" w:color="auto" w:fill="F7F7F8"/>
        </w:rPr>
        <w:t xml:space="preserve">and </w:t>
      </w:r>
      <w:r w:rsidRPr="00723345">
        <w:rPr>
          <w:rFonts w:asciiTheme="minorHAnsi" w:hAnsiTheme="minorHAnsi" w:cstheme="minorHAnsi"/>
          <w:sz w:val="24"/>
          <w:szCs w:val="24"/>
          <w:shd w:val="clear" w:color="auto" w:fill="F7F7F8"/>
        </w:rPr>
        <w:t>PLC Industrial networks.</w:t>
      </w:r>
    </w:p>
    <w:p w14:paraId="06EF9143" w14:textId="77777777" w:rsidR="00723345" w:rsidRDefault="00413830" w:rsidP="00191856">
      <w:pPr>
        <w:jc w:val="thaiDistribute"/>
        <w:rPr>
          <w:rFonts w:asciiTheme="minorHAnsi" w:hAnsiTheme="minorHAnsi" w:cstheme="minorHAnsi"/>
          <w:color w:val="000000" w:themeColor="text1"/>
          <w:sz w:val="24"/>
          <w:szCs w:val="24"/>
          <w:shd w:val="clear" w:color="auto" w:fill="F7F7F8"/>
        </w:rPr>
      </w:pPr>
      <w:r w:rsidRPr="00723345">
        <w:rPr>
          <w:rFonts w:asciiTheme="minorHAnsi" w:hAnsiTheme="minorHAnsi" w:cstheme="minorHAnsi"/>
          <w:color w:val="000000" w:themeColor="text1"/>
          <w:sz w:val="24"/>
          <w:szCs w:val="24"/>
          <w:shd w:val="clear" w:color="auto" w:fill="F7F7F8"/>
        </w:rPr>
        <w:lastRenderedPageBreak/>
        <w:t xml:space="preserve">A combined total of 81 students </w:t>
      </w:r>
      <w:r w:rsidR="00191856" w:rsidRPr="00723345">
        <w:rPr>
          <w:rFonts w:asciiTheme="minorHAnsi" w:hAnsiTheme="minorHAnsi" w:cstheme="minorHAnsi"/>
          <w:color w:val="000000" w:themeColor="text1"/>
          <w:sz w:val="24"/>
          <w:szCs w:val="24"/>
          <w:shd w:val="clear" w:color="auto" w:fill="F7F7F8"/>
        </w:rPr>
        <w:t xml:space="preserve">from Department of Electrical Engineering and Department of Chemical Engineering </w:t>
      </w:r>
      <w:r w:rsidRPr="00723345">
        <w:rPr>
          <w:rFonts w:asciiTheme="minorHAnsi" w:hAnsiTheme="minorHAnsi" w:cstheme="minorHAnsi"/>
          <w:color w:val="000000" w:themeColor="text1"/>
          <w:sz w:val="24"/>
          <w:szCs w:val="24"/>
          <w:shd w:val="clear" w:color="auto" w:fill="F7F7F8"/>
        </w:rPr>
        <w:t>took part in th</w:t>
      </w:r>
      <w:r w:rsidR="00F1204C" w:rsidRPr="00723345">
        <w:rPr>
          <w:rFonts w:asciiTheme="minorHAnsi" w:hAnsiTheme="minorHAnsi" w:cstheme="minorHAnsi"/>
          <w:color w:val="000000" w:themeColor="text1"/>
          <w:sz w:val="24"/>
          <w:szCs w:val="24"/>
          <w:shd w:val="clear" w:color="auto" w:fill="F7F7F8"/>
        </w:rPr>
        <w:t>is</w:t>
      </w:r>
      <w:r w:rsidRPr="00723345">
        <w:rPr>
          <w:rFonts w:asciiTheme="minorHAnsi" w:hAnsiTheme="minorHAnsi" w:cstheme="minorHAnsi"/>
          <w:color w:val="000000" w:themeColor="text1"/>
          <w:sz w:val="24"/>
          <w:szCs w:val="24"/>
          <w:shd w:val="clear" w:color="auto" w:fill="F7F7F8"/>
        </w:rPr>
        <w:t xml:space="preserve"> </w:t>
      </w:r>
      <w:r w:rsidR="00F1204C" w:rsidRPr="00723345">
        <w:rPr>
          <w:rFonts w:asciiTheme="minorHAnsi" w:hAnsiTheme="minorHAnsi" w:cstheme="minorHAnsi"/>
          <w:color w:val="000000" w:themeColor="text1"/>
          <w:sz w:val="24"/>
          <w:szCs w:val="24"/>
          <w:shd w:val="clear" w:color="auto" w:fill="F7F7F8"/>
        </w:rPr>
        <w:t>seminar</w:t>
      </w:r>
      <w:r w:rsidRPr="00723345">
        <w:rPr>
          <w:rFonts w:asciiTheme="minorHAnsi" w:hAnsiTheme="minorHAnsi" w:cstheme="minorHAnsi"/>
          <w:color w:val="000000" w:themeColor="text1"/>
          <w:sz w:val="24"/>
          <w:szCs w:val="24"/>
          <w:shd w:val="clear" w:color="auto" w:fill="F7F7F8"/>
        </w:rPr>
        <w:t>.</w:t>
      </w:r>
    </w:p>
    <w:p w14:paraId="2E6019DD" w14:textId="77777777" w:rsidR="00723345" w:rsidRDefault="00723345" w:rsidP="00191856">
      <w:pPr>
        <w:jc w:val="thaiDistribute"/>
        <w:rPr>
          <w:rFonts w:asciiTheme="minorHAnsi" w:hAnsiTheme="minorHAnsi" w:cstheme="minorHAnsi"/>
          <w:color w:val="000000" w:themeColor="text1"/>
          <w:sz w:val="24"/>
          <w:szCs w:val="24"/>
          <w:shd w:val="clear" w:color="auto" w:fill="F7F7F8"/>
        </w:rPr>
      </w:pPr>
    </w:p>
    <w:p w14:paraId="4D7AF8F5" w14:textId="77777777" w:rsidR="00723345" w:rsidRPr="00723345" w:rsidRDefault="00723345" w:rsidP="00191856">
      <w:pPr>
        <w:jc w:val="thaiDistribute"/>
        <w:rPr>
          <w:rFonts w:asciiTheme="minorHAnsi" w:hAnsiTheme="minorHAnsi" w:cstheme="minorHAnsi"/>
          <w:color w:val="000000" w:themeColor="text1"/>
          <w:sz w:val="24"/>
          <w:szCs w:val="24"/>
          <w:shd w:val="clear" w:color="auto" w:fill="F7F7F8"/>
        </w:rPr>
      </w:pPr>
    </w:p>
    <w:p w14:paraId="530528D0" w14:textId="2FA4675F" w:rsidR="00A25E09" w:rsidRPr="00191856" w:rsidRDefault="00723345" w:rsidP="00191856">
      <w:pPr>
        <w:jc w:val="thaiDistribute"/>
        <w:rPr>
          <w:rFonts w:asciiTheme="minorHAnsi" w:hAnsiTheme="minorHAnsi" w:cstheme="minorHAnsi"/>
          <w:b/>
          <w:bCs/>
          <w:shd w:val="clear" w:color="auto" w:fill="F7F7F8"/>
        </w:rPr>
      </w:pPr>
      <w:r>
        <w:rPr>
          <w:bCs/>
          <w:noProof/>
        </w:rPr>
        <w:drawing>
          <wp:anchor distT="0" distB="0" distL="114300" distR="114300" simplePos="0" relativeHeight="251687936" behindDoc="0" locked="0" layoutInCell="1" allowOverlap="1" wp14:anchorId="511E6B8C" wp14:editId="1710B101">
            <wp:simplePos x="0" y="0"/>
            <wp:positionH relativeFrom="column">
              <wp:posOffset>0</wp:posOffset>
            </wp:positionH>
            <wp:positionV relativeFrom="paragraph">
              <wp:posOffset>-635</wp:posOffset>
            </wp:positionV>
            <wp:extent cx="4091464" cy="65024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inar_eramu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683" cy="6509105"/>
                    </a:xfrm>
                    <a:prstGeom prst="rect">
                      <a:avLst/>
                    </a:prstGeom>
                  </pic:spPr>
                </pic:pic>
              </a:graphicData>
            </a:graphic>
            <wp14:sizeRelH relativeFrom="margin">
              <wp14:pctWidth>0</wp14:pctWidth>
            </wp14:sizeRelH>
            <wp14:sizeRelV relativeFrom="margin">
              <wp14:pctHeight>0</wp14:pctHeight>
            </wp14:sizeRelV>
          </wp:anchor>
        </w:drawing>
      </w:r>
      <w:r w:rsidR="00A25E09" w:rsidRPr="00191856">
        <w:rPr>
          <w:rFonts w:asciiTheme="minorHAnsi" w:hAnsiTheme="minorHAnsi" w:cstheme="minorHAnsi"/>
          <w:b/>
          <w:bCs/>
          <w:shd w:val="clear" w:color="auto" w:fill="F7F7F8"/>
        </w:rPr>
        <w:br w:type="page"/>
      </w:r>
    </w:p>
    <w:sectPr w:rsidR="00A25E09" w:rsidRPr="00191856" w:rsidSect="00723345">
      <w:headerReference w:type="default" r:id="rId12"/>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D15BB" w14:textId="77777777" w:rsidR="00FE2B43" w:rsidRDefault="00FE2B43">
      <w:pPr>
        <w:spacing w:after="0" w:line="240" w:lineRule="auto"/>
      </w:pPr>
      <w:r>
        <w:separator/>
      </w:r>
    </w:p>
  </w:endnote>
  <w:endnote w:type="continuationSeparator" w:id="0">
    <w:p w14:paraId="59BDAAC6" w14:textId="77777777" w:rsidR="00FE2B43" w:rsidRDefault="00FE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C">
    <w:altName w:val="Calibri"/>
    <w:charset w:val="01"/>
    <w:family w:val="auto"/>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45F30" w14:textId="77777777" w:rsidR="00FE2B43" w:rsidRDefault="00FE2B43">
      <w:pPr>
        <w:spacing w:after="0" w:line="240" w:lineRule="auto"/>
      </w:pPr>
      <w:r>
        <w:separator/>
      </w:r>
    </w:p>
  </w:footnote>
  <w:footnote w:type="continuationSeparator" w:id="0">
    <w:p w14:paraId="4DAB649C" w14:textId="77777777" w:rsidR="00FE2B43" w:rsidRDefault="00FE2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157C" w14:textId="353D2854" w:rsidR="002D1210" w:rsidRDefault="002D1210">
    <w:pPr>
      <w:tabs>
        <w:tab w:val="center" w:pos="4536"/>
        <w:tab w:val="right" w:pos="9072"/>
      </w:tabs>
      <w:spacing w:after="0" w:line="240" w:lineRule="auto"/>
    </w:pPr>
  </w:p>
  <w:p w14:paraId="5EF4216B"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p w14:paraId="56B2EAF3"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B0D"/>
    <w:multiLevelType w:val="multilevel"/>
    <w:tmpl w:val="9A2C0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3F270A"/>
    <w:multiLevelType w:val="hybridMultilevel"/>
    <w:tmpl w:val="1F4C1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259B7"/>
    <w:multiLevelType w:val="multilevel"/>
    <w:tmpl w:val="08BC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627B"/>
    <w:multiLevelType w:val="multilevel"/>
    <w:tmpl w:val="AE78B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1D7C2C"/>
    <w:multiLevelType w:val="hybridMultilevel"/>
    <w:tmpl w:val="F03E44F0"/>
    <w:lvl w:ilvl="0" w:tplc="0190347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D419A3"/>
    <w:multiLevelType w:val="hybridMultilevel"/>
    <w:tmpl w:val="8F0A1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70ACC"/>
    <w:multiLevelType w:val="hybridMultilevel"/>
    <w:tmpl w:val="75FA9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506DC"/>
    <w:multiLevelType w:val="multilevel"/>
    <w:tmpl w:val="A13CF2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FA3A94"/>
    <w:multiLevelType w:val="multilevel"/>
    <w:tmpl w:val="FAF070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1419D2"/>
    <w:multiLevelType w:val="multilevel"/>
    <w:tmpl w:val="91B2EDF4"/>
    <w:lvl w:ilvl="0">
      <w:start w:val="2"/>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DDA4285"/>
    <w:multiLevelType w:val="hybridMultilevel"/>
    <w:tmpl w:val="951E1664"/>
    <w:lvl w:ilvl="0" w:tplc="68B0C336">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A49A6"/>
    <w:multiLevelType w:val="multilevel"/>
    <w:tmpl w:val="642C551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91459A5"/>
    <w:multiLevelType w:val="hybridMultilevel"/>
    <w:tmpl w:val="D09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786429">
    <w:abstractNumId w:val="8"/>
  </w:num>
  <w:num w:numId="2" w16cid:durableId="710688566">
    <w:abstractNumId w:val="5"/>
  </w:num>
  <w:num w:numId="3" w16cid:durableId="1996914237">
    <w:abstractNumId w:val="3"/>
  </w:num>
  <w:num w:numId="4" w16cid:durableId="307518980">
    <w:abstractNumId w:val="1"/>
  </w:num>
  <w:num w:numId="5" w16cid:durableId="871456405">
    <w:abstractNumId w:val="9"/>
  </w:num>
  <w:num w:numId="6" w16cid:durableId="1036000591">
    <w:abstractNumId w:val="0"/>
  </w:num>
  <w:num w:numId="7" w16cid:durableId="124813042">
    <w:abstractNumId w:val="6"/>
  </w:num>
  <w:num w:numId="8" w16cid:durableId="1847330809">
    <w:abstractNumId w:val="4"/>
  </w:num>
  <w:num w:numId="9" w16cid:durableId="1828477888">
    <w:abstractNumId w:val="7"/>
  </w:num>
  <w:num w:numId="10" w16cid:durableId="816920871">
    <w:abstractNumId w:val="10"/>
  </w:num>
  <w:num w:numId="11" w16cid:durableId="962275123">
    <w:abstractNumId w:val="12"/>
  </w:num>
  <w:num w:numId="12" w16cid:durableId="1833912177">
    <w:abstractNumId w:val="2"/>
  </w:num>
  <w:num w:numId="13" w16cid:durableId="151871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10"/>
    <w:rsid w:val="0001156B"/>
    <w:rsid w:val="000129E3"/>
    <w:rsid w:val="00022ECD"/>
    <w:rsid w:val="000274B4"/>
    <w:rsid w:val="00031B9B"/>
    <w:rsid w:val="00034A5B"/>
    <w:rsid w:val="000376E3"/>
    <w:rsid w:val="00056530"/>
    <w:rsid w:val="000655BA"/>
    <w:rsid w:val="00071F92"/>
    <w:rsid w:val="0008303C"/>
    <w:rsid w:val="00094607"/>
    <w:rsid w:val="000B4E45"/>
    <w:rsid w:val="000C5A09"/>
    <w:rsid w:val="000C768E"/>
    <w:rsid w:val="000D2719"/>
    <w:rsid w:val="000D4885"/>
    <w:rsid w:val="00102D8A"/>
    <w:rsid w:val="001112AC"/>
    <w:rsid w:val="00130837"/>
    <w:rsid w:val="00131B34"/>
    <w:rsid w:val="00140512"/>
    <w:rsid w:val="00150A59"/>
    <w:rsid w:val="0015371C"/>
    <w:rsid w:val="001547E2"/>
    <w:rsid w:val="00164FEB"/>
    <w:rsid w:val="00166A8B"/>
    <w:rsid w:val="00166C48"/>
    <w:rsid w:val="00167164"/>
    <w:rsid w:val="0017600B"/>
    <w:rsid w:val="00191856"/>
    <w:rsid w:val="00197698"/>
    <w:rsid w:val="001B54AE"/>
    <w:rsid w:val="001B62AD"/>
    <w:rsid w:val="001C600C"/>
    <w:rsid w:val="001F5087"/>
    <w:rsid w:val="001F5CD2"/>
    <w:rsid w:val="001F7410"/>
    <w:rsid w:val="00207B78"/>
    <w:rsid w:val="00210287"/>
    <w:rsid w:val="002118FA"/>
    <w:rsid w:val="00240BB1"/>
    <w:rsid w:val="00246461"/>
    <w:rsid w:val="00246591"/>
    <w:rsid w:val="002829F9"/>
    <w:rsid w:val="002A040C"/>
    <w:rsid w:val="002A1C4F"/>
    <w:rsid w:val="002C2F73"/>
    <w:rsid w:val="002D1210"/>
    <w:rsid w:val="002E3430"/>
    <w:rsid w:val="002F17FE"/>
    <w:rsid w:val="00304527"/>
    <w:rsid w:val="003153DB"/>
    <w:rsid w:val="00322B11"/>
    <w:rsid w:val="00326B3D"/>
    <w:rsid w:val="00332426"/>
    <w:rsid w:val="003751AC"/>
    <w:rsid w:val="00376F26"/>
    <w:rsid w:val="003A161F"/>
    <w:rsid w:val="003A2C1D"/>
    <w:rsid w:val="003B1F8D"/>
    <w:rsid w:val="003C3799"/>
    <w:rsid w:val="003E6203"/>
    <w:rsid w:val="003E6536"/>
    <w:rsid w:val="00413830"/>
    <w:rsid w:val="00415C02"/>
    <w:rsid w:val="00421338"/>
    <w:rsid w:val="00446539"/>
    <w:rsid w:val="004550F9"/>
    <w:rsid w:val="0047210E"/>
    <w:rsid w:val="0048138B"/>
    <w:rsid w:val="004866CB"/>
    <w:rsid w:val="004A4539"/>
    <w:rsid w:val="004B71F0"/>
    <w:rsid w:val="0050491B"/>
    <w:rsid w:val="00517683"/>
    <w:rsid w:val="0052152A"/>
    <w:rsid w:val="00536F2E"/>
    <w:rsid w:val="00541613"/>
    <w:rsid w:val="005422B6"/>
    <w:rsid w:val="00564E23"/>
    <w:rsid w:val="00566CA2"/>
    <w:rsid w:val="00572899"/>
    <w:rsid w:val="00582EC4"/>
    <w:rsid w:val="0058759A"/>
    <w:rsid w:val="005C1D0B"/>
    <w:rsid w:val="005F67B8"/>
    <w:rsid w:val="006018C9"/>
    <w:rsid w:val="00614385"/>
    <w:rsid w:val="00615ACB"/>
    <w:rsid w:val="00617B20"/>
    <w:rsid w:val="00624C70"/>
    <w:rsid w:val="00631D70"/>
    <w:rsid w:val="006446B1"/>
    <w:rsid w:val="00651486"/>
    <w:rsid w:val="00666387"/>
    <w:rsid w:val="00667A40"/>
    <w:rsid w:val="00677F58"/>
    <w:rsid w:val="00684C0D"/>
    <w:rsid w:val="006C1354"/>
    <w:rsid w:val="006F5DC4"/>
    <w:rsid w:val="00703342"/>
    <w:rsid w:val="0070344A"/>
    <w:rsid w:val="007140E3"/>
    <w:rsid w:val="00723345"/>
    <w:rsid w:val="007262B5"/>
    <w:rsid w:val="00737C2E"/>
    <w:rsid w:val="007424BC"/>
    <w:rsid w:val="00743789"/>
    <w:rsid w:val="00745F21"/>
    <w:rsid w:val="00750978"/>
    <w:rsid w:val="007560C3"/>
    <w:rsid w:val="007613A9"/>
    <w:rsid w:val="00786DE9"/>
    <w:rsid w:val="0079077E"/>
    <w:rsid w:val="007A528A"/>
    <w:rsid w:val="007C3E22"/>
    <w:rsid w:val="007C68F7"/>
    <w:rsid w:val="007F28F9"/>
    <w:rsid w:val="008201A6"/>
    <w:rsid w:val="0082088E"/>
    <w:rsid w:val="00826BD3"/>
    <w:rsid w:val="0084149A"/>
    <w:rsid w:val="0084721C"/>
    <w:rsid w:val="00853001"/>
    <w:rsid w:val="00853BF9"/>
    <w:rsid w:val="00856394"/>
    <w:rsid w:val="00860A6C"/>
    <w:rsid w:val="008715B9"/>
    <w:rsid w:val="008718B8"/>
    <w:rsid w:val="008764EB"/>
    <w:rsid w:val="00876B75"/>
    <w:rsid w:val="00880DBD"/>
    <w:rsid w:val="008851A8"/>
    <w:rsid w:val="00886BC0"/>
    <w:rsid w:val="008A0B2B"/>
    <w:rsid w:val="008A0C92"/>
    <w:rsid w:val="008A5F16"/>
    <w:rsid w:val="008A7675"/>
    <w:rsid w:val="008B5C27"/>
    <w:rsid w:val="008B6F5C"/>
    <w:rsid w:val="008C1A86"/>
    <w:rsid w:val="008F0628"/>
    <w:rsid w:val="009065DD"/>
    <w:rsid w:val="0091011E"/>
    <w:rsid w:val="00913711"/>
    <w:rsid w:val="00921770"/>
    <w:rsid w:val="009259C0"/>
    <w:rsid w:val="00937DC1"/>
    <w:rsid w:val="0095665A"/>
    <w:rsid w:val="00970E75"/>
    <w:rsid w:val="00980642"/>
    <w:rsid w:val="00983CD9"/>
    <w:rsid w:val="00990B05"/>
    <w:rsid w:val="009A1DF2"/>
    <w:rsid w:val="009A737D"/>
    <w:rsid w:val="009F025D"/>
    <w:rsid w:val="009F28A6"/>
    <w:rsid w:val="00A04D67"/>
    <w:rsid w:val="00A05A26"/>
    <w:rsid w:val="00A16A2F"/>
    <w:rsid w:val="00A25E09"/>
    <w:rsid w:val="00A3564F"/>
    <w:rsid w:val="00A74979"/>
    <w:rsid w:val="00A74F79"/>
    <w:rsid w:val="00A87A6B"/>
    <w:rsid w:val="00A92AFF"/>
    <w:rsid w:val="00AD3153"/>
    <w:rsid w:val="00AD36FE"/>
    <w:rsid w:val="00AD39E9"/>
    <w:rsid w:val="00AD4980"/>
    <w:rsid w:val="00AF24FA"/>
    <w:rsid w:val="00B167BF"/>
    <w:rsid w:val="00B53F51"/>
    <w:rsid w:val="00B74BE8"/>
    <w:rsid w:val="00B87BCB"/>
    <w:rsid w:val="00B9266A"/>
    <w:rsid w:val="00BC4A60"/>
    <w:rsid w:val="00BC7093"/>
    <w:rsid w:val="00BE2A23"/>
    <w:rsid w:val="00BE453C"/>
    <w:rsid w:val="00BE6E4A"/>
    <w:rsid w:val="00C15FDF"/>
    <w:rsid w:val="00C26057"/>
    <w:rsid w:val="00C375E7"/>
    <w:rsid w:val="00C43E9A"/>
    <w:rsid w:val="00C45099"/>
    <w:rsid w:val="00C64C17"/>
    <w:rsid w:val="00C723B5"/>
    <w:rsid w:val="00C87AF9"/>
    <w:rsid w:val="00CA302D"/>
    <w:rsid w:val="00CE20B1"/>
    <w:rsid w:val="00D33C62"/>
    <w:rsid w:val="00D36A29"/>
    <w:rsid w:val="00D40981"/>
    <w:rsid w:val="00D42C48"/>
    <w:rsid w:val="00D553AF"/>
    <w:rsid w:val="00D64866"/>
    <w:rsid w:val="00DA0702"/>
    <w:rsid w:val="00DB0075"/>
    <w:rsid w:val="00DC1A4B"/>
    <w:rsid w:val="00DC2F69"/>
    <w:rsid w:val="00DC4A88"/>
    <w:rsid w:val="00DC5F39"/>
    <w:rsid w:val="00DE535A"/>
    <w:rsid w:val="00DF15E9"/>
    <w:rsid w:val="00DF58F6"/>
    <w:rsid w:val="00E15838"/>
    <w:rsid w:val="00E25D27"/>
    <w:rsid w:val="00E44ED7"/>
    <w:rsid w:val="00E5601F"/>
    <w:rsid w:val="00E621B9"/>
    <w:rsid w:val="00E71C94"/>
    <w:rsid w:val="00E71FB7"/>
    <w:rsid w:val="00E81C27"/>
    <w:rsid w:val="00EB3E16"/>
    <w:rsid w:val="00EC084A"/>
    <w:rsid w:val="00EE0BD4"/>
    <w:rsid w:val="00EE430C"/>
    <w:rsid w:val="00EE447F"/>
    <w:rsid w:val="00F1204C"/>
    <w:rsid w:val="00F12BBD"/>
    <w:rsid w:val="00F14B03"/>
    <w:rsid w:val="00F2122F"/>
    <w:rsid w:val="00F21A91"/>
    <w:rsid w:val="00F252D5"/>
    <w:rsid w:val="00F27643"/>
    <w:rsid w:val="00F642BA"/>
    <w:rsid w:val="00F72190"/>
    <w:rsid w:val="00FA5B3F"/>
    <w:rsid w:val="00FA780A"/>
    <w:rsid w:val="00FB446A"/>
    <w:rsid w:val="00FE0A29"/>
    <w:rsid w:val="00FE2B43"/>
    <w:rsid w:val="00FE5C1B"/>
    <w:rsid w:val="00FE7E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F04A9"/>
  <w15:docId w15:val="{2CA4425F-E04A-41B1-8056-4524187C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E1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C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3C95"/>
  </w:style>
  <w:style w:type="paragraph" w:styleId="Footer">
    <w:name w:val="footer"/>
    <w:basedOn w:val="Normal"/>
    <w:link w:val="FooterChar"/>
    <w:uiPriority w:val="99"/>
    <w:unhideWhenUsed/>
    <w:rsid w:val="00EA3C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3C95"/>
  </w:style>
  <w:style w:type="paragraph" w:styleId="ListParagraph">
    <w:name w:val="List Paragraph"/>
    <w:basedOn w:val="Normal"/>
    <w:uiPriority w:val="34"/>
    <w:qFormat/>
    <w:rsid w:val="00AC5DEB"/>
    <w:pPr>
      <w:ind w:left="720"/>
      <w:contextualSpacing/>
    </w:pPr>
  </w:style>
  <w:style w:type="character" w:customStyle="1" w:styleId="fontstyle01">
    <w:name w:val="fontstyle01"/>
    <w:basedOn w:val="DefaultParagraphFont"/>
    <w:rsid w:val="000C485B"/>
    <w:rPr>
      <w:rFonts w:ascii="Calibri" w:hAnsi="Calibri" w:hint="default"/>
      <w:b w:val="0"/>
      <w:bCs w:val="0"/>
      <w:i w:val="0"/>
      <w:iCs w:val="0"/>
      <w:color w:val="000000"/>
      <w:sz w:val="22"/>
      <w:szCs w:val="22"/>
    </w:rPr>
  </w:style>
  <w:style w:type="character" w:styleId="Hyperlink">
    <w:name w:val="Hyperlink"/>
    <w:basedOn w:val="DefaultParagraphFont"/>
    <w:uiPriority w:val="99"/>
    <w:unhideWhenUsed/>
    <w:rsid w:val="00E12504"/>
    <w:rPr>
      <w:color w:val="0563C1" w:themeColor="hyperlink"/>
      <w:u w:val="single"/>
    </w:rPr>
  </w:style>
  <w:style w:type="paragraph" w:styleId="BalloonText">
    <w:name w:val="Balloon Text"/>
    <w:basedOn w:val="Normal"/>
    <w:link w:val="BalloonTextChar"/>
    <w:uiPriority w:val="99"/>
    <w:semiHidden/>
    <w:unhideWhenUsed/>
    <w:rsid w:val="00E12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50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465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Contents">
    <w:name w:val="Table Contents"/>
    <w:basedOn w:val="BodyText"/>
    <w:rsid w:val="00FB446A"/>
    <w:pPr>
      <w:spacing w:before="0" w:after="283"/>
    </w:pPr>
    <w:rPr>
      <w:rFonts w:cs="Noto Sans SC"/>
      <w:sz w:val="24"/>
      <w:szCs w:val="24"/>
    </w:rPr>
  </w:style>
  <w:style w:type="paragraph" w:customStyle="1" w:styleId="TableHeading">
    <w:name w:val="Table Heading"/>
    <w:basedOn w:val="TableContents"/>
    <w:rsid w:val="00FB446A"/>
    <w:pPr>
      <w:suppressLineNumbers/>
      <w:jc w:val="center"/>
    </w:pPr>
    <w:rPr>
      <w:b/>
      <w:bCs/>
    </w:rPr>
  </w:style>
  <w:style w:type="paragraph" w:styleId="BodyText">
    <w:name w:val="Body Text"/>
    <w:basedOn w:val="Normal"/>
    <w:link w:val="BodyTextChar"/>
    <w:uiPriority w:val="99"/>
    <w:unhideWhenUsed/>
    <w:rsid w:val="00FB446A"/>
    <w:pPr>
      <w:widowControl w:val="0"/>
      <w:suppressAutoHyphens/>
      <w:spacing w:before="706" w:after="120" w:line="240" w:lineRule="auto"/>
      <w:ind w:left="1134" w:right="1134"/>
    </w:pPr>
    <w:rPr>
      <w:rFonts w:ascii="Noto Sans SC" w:eastAsia="Noto Sans SC" w:hAnsi="Noto Sans SC" w:cs="Mangal"/>
      <w:sz w:val="28"/>
      <w:szCs w:val="25"/>
      <w:lang w:val="en-US" w:eastAsia="zh-CN" w:bidi="hi-IN"/>
    </w:rPr>
  </w:style>
  <w:style w:type="character" w:customStyle="1" w:styleId="BodyTextChar">
    <w:name w:val="Body Text Char"/>
    <w:basedOn w:val="DefaultParagraphFont"/>
    <w:link w:val="BodyText"/>
    <w:uiPriority w:val="99"/>
    <w:rsid w:val="00FB446A"/>
    <w:rPr>
      <w:rFonts w:ascii="Noto Sans SC" w:eastAsia="Noto Sans SC" w:hAnsi="Noto Sans SC" w:cs="Mangal"/>
      <w:sz w:val="28"/>
      <w:szCs w:val="25"/>
      <w:lang w:val="en-US" w:eastAsia="zh-CN" w:bidi="hi-IN"/>
    </w:rPr>
  </w:style>
  <w:style w:type="paragraph" w:customStyle="1" w:styleId="Quotations">
    <w:name w:val="Quotations"/>
    <w:basedOn w:val="Normal"/>
    <w:rsid w:val="00FB446A"/>
    <w:pPr>
      <w:widowControl w:val="0"/>
      <w:suppressAutoHyphens/>
      <w:spacing w:before="706" w:after="283" w:line="240" w:lineRule="auto"/>
      <w:ind w:left="300" w:right="567"/>
    </w:pPr>
    <w:rPr>
      <w:rFonts w:ascii="Noto Sans SC" w:eastAsia="Noto Sans SC" w:hAnsi="Noto Sans SC" w:cs="Noto Sans SC"/>
      <w:sz w:val="28"/>
      <w:szCs w:val="28"/>
      <w:lang w:val="en-US" w:eastAsia="zh-CN" w:bidi="hi-IN"/>
    </w:rPr>
  </w:style>
  <w:style w:type="paragraph" w:customStyle="1" w:styleId="TextBodytitle">
    <w:name w:val="Text Body.title"/>
    <w:basedOn w:val="BodyText"/>
    <w:rsid w:val="00FB446A"/>
    <w:pPr>
      <w:spacing w:before="0" w:after="283"/>
      <w:ind w:left="0" w:right="0"/>
      <w:jc w:val="center"/>
    </w:pPr>
    <w:rPr>
      <w:rFonts w:cs="Noto Sans SC"/>
      <w:b/>
      <w:bCs/>
      <w:sz w:val="36"/>
      <w:szCs w:val="36"/>
    </w:rPr>
  </w:style>
  <w:style w:type="paragraph" w:styleId="TOCHeading">
    <w:name w:val="TOC Heading"/>
    <w:basedOn w:val="Heading1"/>
    <w:next w:val="Normal"/>
    <w:uiPriority w:val="39"/>
    <w:unhideWhenUsed/>
    <w:qFormat/>
    <w:rsid w:val="004550F9"/>
    <w:pPr>
      <w:spacing w:before="240" w:after="0"/>
      <w:outlineLvl w:val="9"/>
    </w:pPr>
    <w:rPr>
      <w:rFonts w:asciiTheme="majorHAnsi" w:eastAsiaTheme="majorEastAsia" w:hAnsiTheme="majorHAnsi" w:cstheme="majorBidi"/>
      <w:b w:val="0"/>
      <w:color w:val="2F5496" w:themeColor="accent1" w:themeShade="BF"/>
      <w:sz w:val="32"/>
      <w:szCs w:val="32"/>
      <w:lang w:val="en-US" w:bidi="ar-SA"/>
    </w:rPr>
  </w:style>
  <w:style w:type="paragraph" w:styleId="TOC1">
    <w:name w:val="toc 1"/>
    <w:basedOn w:val="Normal"/>
    <w:next w:val="Normal"/>
    <w:autoRedefine/>
    <w:uiPriority w:val="39"/>
    <w:unhideWhenUsed/>
    <w:rsid w:val="004550F9"/>
    <w:pPr>
      <w:spacing w:after="100"/>
    </w:pPr>
    <w:rPr>
      <w:lang w:val="en-US"/>
    </w:rPr>
  </w:style>
  <w:style w:type="paragraph" w:styleId="Bibliography">
    <w:name w:val="Bibliography"/>
    <w:basedOn w:val="Normal"/>
    <w:next w:val="Normal"/>
    <w:uiPriority w:val="37"/>
    <w:unhideWhenUsed/>
    <w:rsid w:val="004550F9"/>
    <w:rPr>
      <w:rFonts w:cs="Angsana New"/>
      <w:szCs w:val="28"/>
      <w:lang w:val="en-US"/>
    </w:rPr>
  </w:style>
  <w:style w:type="character" w:styleId="FollowedHyperlink">
    <w:name w:val="FollowedHyperlink"/>
    <w:basedOn w:val="DefaultParagraphFont"/>
    <w:uiPriority w:val="99"/>
    <w:semiHidden/>
    <w:unhideWhenUsed/>
    <w:rsid w:val="008718B8"/>
    <w:rPr>
      <w:color w:val="954F72" w:themeColor="followedHyperlink"/>
      <w:u w:val="single"/>
    </w:rPr>
  </w:style>
  <w:style w:type="character" w:customStyle="1" w:styleId="Heading1Char">
    <w:name w:val="Heading 1 Char"/>
    <w:basedOn w:val="DefaultParagraphFont"/>
    <w:link w:val="Heading1"/>
    <w:uiPriority w:val="9"/>
    <w:rsid w:val="00723345"/>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100">
      <w:bodyDiv w:val="1"/>
      <w:marLeft w:val="0"/>
      <w:marRight w:val="0"/>
      <w:marTop w:val="0"/>
      <w:marBottom w:val="0"/>
      <w:divBdr>
        <w:top w:val="none" w:sz="0" w:space="0" w:color="auto"/>
        <w:left w:val="none" w:sz="0" w:space="0" w:color="auto"/>
        <w:bottom w:val="none" w:sz="0" w:space="0" w:color="auto"/>
        <w:right w:val="none" w:sz="0" w:space="0" w:color="auto"/>
      </w:divBdr>
      <w:divsChild>
        <w:div w:id="662976810">
          <w:marLeft w:val="0"/>
          <w:marRight w:val="0"/>
          <w:marTop w:val="0"/>
          <w:marBottom w:val="0"/>
          <w:divBdr>
            <w:top w:val="single" w:sz="2" w:space="0" w:color="auto"/>
            <w:left w:val="single" w:sz="2" w:space="0" w:color="auto"/>
            <w:bottom w:val="single" w:sz="6" w:space="0" w:color="auto"/>
            <w:right w:val="single" w:sz="2" w:space="0" w:color="auto"/>
          </w:divBdr>
          <w:divsChild>
            <w:div w:id="100482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05899">
                  <w:marLeft w:val="0"/>
                  <w:marRight w:val="0"/>
                  <w:marTop w:val="0"/>
                  <w:marBottom w:val="0"/>
                  <w:divBdr>
                    <w:top w:val="single" w:sz="2" w:space="0" w:color="D9D9E3"/>
                    <w:left w:val="single" w:sz="2" w:space="0" w:color="D9D9E3"/>
                    <w:bottom w:val="single" w:sz="2" w:space="0" w:color="D9D9E3"/>
                    <w:right w:val="single" w:sz="2" w:space="0" w:color="D9D9E3"/>
                  </w:divBdr>
                  <w:divsChild>
                    <w:div w:id="1217280617">
                      <w:marLeft w:val="0"/>
                      <w:marRight w:val="0"/>
                      <w:marTop w:val="0"/>
                      <w:marBottom w:val="0"/>
                      <w:divBdr>
                        <w:top w:val="single" w:sz="2" w:space="0" w:color="D9D9E3"/>
                        <w:left w:val="single" w:sz="2" w:space="0" w:color="D9D9E3"/>
                        <w:bottom w:val="single" w:sz="2" w:space="0" w:color="D9D9E3"/>
                        <w:right w:val="single" w:sz="2" w:space="0" w:color="D9D9E3"/>
                      </w:divBdr>
                      <w:divsChild>
                        <w:div w:id="1264726148">
                          <w:marLeft w:val="0"/>
                          <w:marRight w:val="0"/>
                          <w:marTop w:val="0"/>
                          <w:marBottom w:val="0"/>
                          <w:divBdr>
                            <w:top w:val="single" w:sz="2" w:space="0" w:color="D9D9E3"/>
                            <w:left w:val="single" w:sz="2" w:space="0" w:color="D9D9E3"/>
                            <w:bottom w:val="single" w:sz="2" w:space="0" w:color="D9D9E3"/>
                            <w:right w:val="single" w:sz="2" w:space="0" w:color="D9D9E3"/>
                          </w:divBdr>
                          <w:divsChild>
                            <w:div w:id="63799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630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XSO13</b:Tag>
    <b:SourceType>Book</b:SourceType>
    <b:Guid>{4752463A-F2C4-481A-AD59-922FA37A9D90}</b:Guid>
    <b:Title>XSOFT-CODESYS-3 PLC programming Manual</b:Title>
    <b:Year>2013</b:Year>
    <b:City>St Gallen</b:City>
    <b:Publisher>Eaton Automation AG</b:Publisher>
    <b:RefOrder>1</b:RefOrder>
  </b:Source>
  <b:Source>
    <b:Tag>Das22</b:Tag>
    <b:SourceType>Misc</b:SourceType>
    <b:Guid>{0FD2CAB7-DFBD-4F37-92BE-F624B772BB9C}</b:Guid>
    <b:Author>
      <b:Author>
        <b:NameList>
          <b:Person>
            <b:Last>Daskalov</b:Last>
            <b:First>Plamen</b:First>
          </b:Person>
        </b:NameList>
      </b:Author>
    </b:Author>
    <b:Title>Course on Industry 4.0 - 1/ PLC for sequential control of processes in automation (PLC - Basics),</b:Title>
    <b:Year>2022</b:Year>
    <b:City>“Angle Kanchev” University of Ruse, Bulgaria, November 2022.</b:City>
    <b:Month>November</b:Month>
    <b:CountryRegion>Bulgaria</b:CountryRegion>
    <b:RefOrder>2</b:RefOrder>
  </b:Source>
  <b:Source>
    <b:Tag>Das221</b:Tag>
    <b:SourceType>Misc</b:SourceType>
    <b:Guid>{662E8165-061D-4C21-886A-B29B64DAD4F4}</b:Guid>
    <b:Title>THAILAND Lab – Training PLC for sequential control of processes in automation (PLC - Basics)</b:Title>
    <b:Year>2022</b:Year>
    <b:Month>November</b:Month>
    <b:City>“Angle Kanchev” University of Ruse</b:City>
    <b:CountryRegion>Bulgaria</b:CountryRegion>
    <b:Author>
      <b:Author>
        <b:NameList>
          <b:Person>
            <b:Last>Daskalov</b:Last>
            <b:First>Plamen</b:First>
          </b:Person>
          <b:Person>
            <b:Last>Georgieva</b:Last>
            <b:First>Tsvetelina </b:First>
          </b:Person>
        </b:NameList>
      </b:Author>
    </b:Author>
    <b:RefOrder>3</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3kvNLrE+4kjsyyTNTCxn1TqbQ==">CgMxLjA4AHIhMUVqMU43REZlUkRMaUhmWHZ0Q3p2NEVmR2g5eEFoUXE4</go:docsCustomData>
</go:gDocsCustomXmlDataStorage>
</file>

<file path=customXml/itemProps1.xml><?xml version="1.0" encoding="utf-8"?>
<ds:datastoreItem xmlns:ds="http://schemas.openxmlformats.org/officeDocument/2006/customXml" ds:itemID="{1D558469-891A-425E-B80E-766D8DE262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yaho20</dc:creator>
  <cp:lastModifiedBy>ormjarukamol@gmail.com</cp:lastModifiedBy>
  <cp:revision>3</cp:revision>
  <dcterms:created xsi:type="dcterms:W3CDTF">2023-08-23T07:13:00Z</dcterms:created>
  <dcterms:modified xsi:type="dcterms:W3CDTF">2023-08-23T13:16:00Z</dcterms:modified>
</cp:coreProperties>
</file>