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E23C" w14:textId="77777777" w:rsidR="003B3F8B" w:rsidRDefault="003B3F8B" w:rsidP="003B3F8B">
      <w:pPr>
        <w:jc w:val="both"/>
        <w:rPr>
          <w:b/>
          <w:bCs/>
          <w:shd w:val="clear" w:color="auto" w:fill="F7F7F8"/>
        </w:rPr>
      </w:pPr>
      <w:bookmarkStart w:id="0" w:name="_Hlk141880763"/>
      <w:bookmarkStart w:id="1" w:name="_Hlk141880223"/>
    </w:p>
    <w:p w14:paraId="4B339B1A" w14:textId="77777777" w:rsidR="00C6428F" w:rsidRDefault="00C6428F" w:rsidP="00C6428F">
      <w:pPr>
        <w:pStyle w:val="Heading1"/>
        <w:spacing w:before="120" w:line="240" w:lineRule="auto"/>
        <w:rPr>
          <w:sz w:val="36"/>
          <w:szCs w:val="36"/>
        </w:rPr>
      </w:pPr>
      <w:r>
        <w:rPr>
          <w:noProof/>
        </w:rPr>
        <w:drawing>
          <wp:anchor distT="0" distB="0" distL="0" distR="0" simplePos="0" relativeHeight="251685888" behindDoc="1" locked="0" layoutInCell="1" hidden="0" allowOverlap="1" wp14:anchorId="4DA31213" wp14:editId="03F94A9B">
            <wp:simplePos x="0" y="0"/>
            <wp:positionH relativeFrom="column">
              <wp:posOffset>0</wp:posOffset>
            </wp:positionH>
            <wp:positionV relativeFrom="paragraph">
              <wp:posOffset>-635</wp:posOffset>
            </wp:positionV>
            <wp:extent cx="1016000" cy="599440"/>
            <wp:effectExtent l="0" t="0" r="0" b="0"/>
            <wp:wrapNone/>
            <wp:docPr id="2053921959" name="image3.png"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9"/>
                    <a:srcRect/>
                    <a:stretch>
                      <a:fillRect/>
                    </a:stretch>
                  </pic:blipFill>
                  <pic:spPr>
                    <a:xfrm>
                      <a:off x="0" y="0"/>
                      <a:ext cx="1016000" cy="599440"/>
                    </a:xfrm>
                    <a:prstGeom prst="rect">
                      <a:avLst/>
                    </a:prstGeom>
                    <a:ln/>
                  </pic:spPr>
                </pic:pic>
              </a:graphicData>
            </a:graphic>
          </wp:anchor>
        </w:drawing>
      </w:r>
      <w:r>
        <w:rPr>
          <w:sz w:val="36"/>
          <w:szCs w:val="36"/>
        </w:rPr>
        <w:tab/>
      </w:r>
      <w:r>
        <w:rPr>
          <w:sz w:val="36"/>
          <w:szCs w:val="36"/>
        </w:rPr>
        <w:tab/>
      </w:r>
      <w:r>
        <w:rPr>
          <w:sz w:val="36"/>
          <w:szCs w:val="36"/>
        </w:rPr>
        <w:tab/>
      </w:r>
      <w:r>
        <w:rPr>
          <w:sz w:val="36"/>
          <w:szCs w:val="36"/>
        </w:rPr>
        <w:tab/>
      </w:r>
      <w:r>
        <w:rPr>
          <w:noProof/>
        </w:rPr>
        <w:drawing>
          <wp:inline distT="0" distB="0" distL="0" distR="0" wp14:anchorId="0DAFDEC6" wp14:editId="2F0209D4">
            <wp:extent cx="3014197" cy="800647"/>
            <wp:effectExtent l="0" t="0" r="0" b="0"/>
            <wp:docPr id="390922221" name="Picture 3909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10"/>
                    <a:stretch>
                      <a:fillRect/>
                    </a:stretch>
                  </pic:blipFill>
                  <pic:spPr>
                    <a:xfrm>
                      <a:off x="0" y="0"/>
                      <a:ext cx="3052755" cy="810889"/>
                    </a:xfrm>
                    <a:prstGeom prst="rect">
                      <a:avLst/>
                    </a:prstGeom>
                  </pic:spPr>
                </pic:pic>
              </a:graphicData>
            </a:graphic>
          </wp:inline>
        </w:drawing>
      </w:r>
      <w:r>
        <w:rPr>
          <w:sz w:val="36"/>
          <w:szCs w:val="36"/>
        </w:rPr>
        <w:tab/>
      </w:r>
    </w:p>
    <w:p w14:paraId="15D20A2B" w14:textId="77777777" w:rsidR="00C6428F" w:rsidRDefault="00C6428F" w:rsidP="00C6428F">
      <w:pPr>
        <w:pStyle w:val="Heading1"/>
        <w:spacing w:before="120" w:line="240" w:lineRule="auto"/>
        <w:rPr>
          <w:sz w:val="36"/>
          <w:szCs w:val="36"/>
        </w:rPr>
      </w:pPr>
    </w:p>
    <w:p w14:paraId="35DCBF4E" w14:textId="77777777" w:rsidR="00C6428F" w:rsidRDefault="00C6428F" w:rsidP="00C6428F">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70A3E933" w14:textId="77777777" w:rsidR="00C6428F" w:rsidRDefault="00C6428F" w:rsidP="00C6428F">
      <w:pPr>
        <w:pStyle w:val="Heading1"/>
        <w:spacing w:before="120" w:line="240" w:lineRule="auto"/>
        <w:jc w:val="center"/>
        <w:rPr>
          <w:sz w:val="36"/>
          <w:szCs w:val="36"/>
        </w:rPr>
      </w:pPr>
      <w:r>
        <w:rPr>
          <w:sz w:val="36"/>
          <w:szCs w:val="36"/>
        </w:rPr>
        <w:t>(</w:t>
      </w:r>
      <w:r w:rsidRPr="002A040C">
        <w:rPr>
          <w:sz w:val="36"/>
          <w:szCs w:val="36"/>
        </w:rPr>
        <w:t>ASEAN FACTORI 4.0</w:t>
      </w:r>
      <w:r>
        <w:rPr>
          <w:sz w:val="36"/>
          <w:szCs w:val="36"/>
        </w:rPr>
        <w:t>)</w:t>
      </w:r>
      <w:r w:rsidRPr="002A040C">
        <w:rPr>
          <w:sz w:val="36"/>
          <w:szCs w:val="36"/>
        </w:rPr>
        <w:t xml:space="preserve"> </w:t>
      </w:r>
    </w:p>
    <w:p w14:paraId="5B364FDF" w14:textId="77777777" w:rsidR="00C6428F" w:rsidRPr="00BE6E4A" w:rsidRDefault="00C6428F" w:rsidP="00C6428F">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506F442F" w14:textId="77777777" w:rsidR="003B3F8B" w:rsidRDefault="003B3F8B" w:rsidP="003B3F8B">
      <w:pPr>
        <w:jc w:val="both"/>
        <w:rPr>
          <w:b/>
          <w:bCs/>
          <w:shd w:val="clear" w:color="auto" w:fill="F7F7F8"/>
        </w:rPr>
      </w:pPr>
    </w:p>
    <w:p w14:paraId="6527A817" w14:textId="350308A4" w:rsidR="00DC1A4B" w:rsidRPr="00C6428F" w:rsidRDefault="00DC1A4B" w:rsidP="003B3F8B">
      <w:pPr>
        <w:jc w:val="both"/>
        <w:rPr>
          <w:b/>
          <w:bCs/>
          <w:sz w:val="24"/>
          <w:szCs w:val="24"/>
          <w:shd w:val="clear" w:color="auto" w:fill="F7F7F8"/>
        </w:rPr>
      </w:pPr>
      <w:r w:rsidRPr="00C6428F">
        <w:rPr>
          <w:b/>
          <w:bCs/>
          <w:sz w:val="24"/>
          <w:szCs w:val="24"/>
          <w:shd w:val="clear" w:color="auto" w:fill="F7F7F8"/>
        </w:rPr>
        <w:t>Vocational Training</w:t>
      </w:r>
      <w:r w:rsidR="00B53F51" w:rsidRPr="00C6428F">
        <w:rPr>
          <w:b/>
          <w:bCs/>
          <w:sz w:val="24"/>
          <w:szCs w:val="24"/>
          <w:shd w:val="clear" w:color="auto" w:fill="F7F7F8"/>
        </w:rPr>
        <w:t xml:space="preserve"> (</w:t>
      </w:r>
      <w:r w:rsidRPr="00C6428F">
        <w:rPr>
          <w:b/>
          <w:bCs/>
          <w:sz w:val="24"/>
          <w:szCs w:val="24"/>
          <w:shd w:val="clear" w:color="auto" w:fill="F7F7F8"/>
        </w:rPr>
        <w:t>VPP-Training</w:t>
      </w:r>
      <w:r w:rsidR="00B53F51" w:rsidRPr="00C6428F">
        <w:rPr>
          <w:b/>
          <w:bCs/>
          <w:sz w:val="24"/>
          <w:szCs w:val="24"/>
          <w:shd w:val="clear" w:color="auto" w:fill="F7F7F8"/>
        </w:rPr>
        <w:t>)</w:t>
      </w:r>
      <w:r w:rsidRPr="00C6428F">
        <w:rPr>
          <w:b/>
          <w:bCs/>
          <w:sz w:val="24"/>
          <w:szCs w:val="24"/>
          <w:shd w:val="clear" w:color="auto" w:fill="F7F7F8"/>
        </w:rPr>
        <w:t xml:space="preserve"> for Technical Staff of Private Sector in Thailand for PLC on</w:t>
      </w:r>
    </w:p>
    <w:p w14:paraId="3D685744" w14:textId="77777777" w:rsidR="00DC1A4B" w:rsidRPr="00C6428F" w:rsidRDefault="00DC1A4B" w:rsidP="003B3F8B">
      <w:pPr>
        <w:jc w:val="both"/>
        <w:rPr>
          <w:b/>
          <w:bCs/>
          <w:sz w:val="24"/>
          <w:szCs w:val="24"/>
          <w:shd w:val="clear" w:color="auto" w:fill="F7F7F8"/>
        </w:rPr>
      </w:pPr>
      <w:r w:rsidRPr="00C6428F">
        <w:rPr>
          <w:b/>
          <w:bCs/>
          <w:sz w:val="24"/>
          <w:szCs w:val="24"/>
          <w:shd w:val="clear" w:color="auto" w:fill="F7F7F8"/>
        </w:rPr>
        <w:t xml:space="preserve"> March 24-25, 2023</w:t>
      </w:r>
    </w:p>
    <w:p w14:paraId="66E8AE88" w14:textId="77777777" w:rsidR="00DC1A4B" w:rsidRDefault="00DC1A4B" w:rsidP="00DC1A4B">
      <w:pPr>
        <w:ind w:firstLine="720"/>
        <w:jc w:val="both"/>
        <w:rPr>
          <w:b/>
          <w:bCs/>
          <w:shd w:val="clear" w:color="auto" w:fill="F7F7F8"/>
        </w:rPr>
      </w:pPr>
    </w:p>
    <w:p w14:paraId="077C87A7" w14:textId="77777777" w:rsidR="00DC1A4B" w:rsidRDefault="00DC1A4B" w:rsidP="00DC1A4B">
      <w:pPr>
        <w:ind w:firstLine="720"/>
        <w:jc w:val="both"/>
        <w:rPr>
          <w:b/>
          <w:bCs/>
          <w:shd w:val="clear" w:color="auto" w:fill="F7F7F8"/>
        </w:rPr>
      </w:pPr>
      <w:r>
        <w:rPr>
          <w:noProof/>
        </w:rPr>
        <w:drawing>
          <wp:anchor distT="0" distB="0" distL="114300" distR="114300" simplePos="0" relativeHeight="251683840" behindDoc="0" locked="0" layoutInCell="1" allowOverlap="1" wp14:anchorId="480CFDE6" wp14:editId="35752EDB">
            <wp:simplePos x="0" y="0"/>
            <wp:positionH relativeFrom="margin">
              <wp:posOffset>458124</wp:posOffset>
            </wp:positionH>
            <wp:positionV relativeFrom="paragraph">
              <wp:posOffset>47509</wp:posOffset>
            </wp:positionV>
            <wp:extent cx="5826760" cy="2876550"/>
            <wp:effectExtent l="0" t="0" r="2540" b="0"/>
            <wp:wrapNone/>
            <wp:docPr id="20539219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26760" cy="2876550"/>
                    </a:xfrm>
                    <a:prstGeom prst="rect">
                      <a:avLst/>
                    </a:prstGeom>
                    <a:ln/>
                  </pic:spPr>
                </pic:pic>
              </a:graphicData>
            </a:graphic>
            <wp14:sizeRelH relativeFrom="margin">
              <wp14:pctWidth>0</wp14:pctWidth>
            </wp14:sizeRelH>
            <wp14:sizeRelV relativeFrom="margin">
              <wp14:pctHeight>0</wp14:pctHeight>
            </wp14:sizeRelV>
          </wp:anchor>
        </w:drawing>
      </w:r>
    </w:p>
    <w:p w14:paraId="4F6CC8E4" w14:textId="77777777" w:rsidR="00DC1A4B" w:rsidRDefault="00DC1A4B" w:rsidP="00DC1A4B">
      <w:pPr>
        <w:ind w:firstLine="720"/>
        <w:jc w:val="both"/>
        <w:rPr>
          <w:b/>
          <w:bCs/>
          <w:shd w:val="clear" w:color="auto" w:fill="F7F7F8"/>
        </w:rPr>
      </w:pPr>
    </w:p>
    <w:p w14:paraId="1B63A7A6" w14:textId="77777777" w:rsidR="00DC1A4B" w:rsidRDefault="00DC1A4B" w:rsidP="00DC1A4B">
      <w:pPr>
        <w:jc w:val="both"/>
        <w:rPr>
          <w:b/>
          <w:bCs/>
          <w:shd w:val="clear" w:color="auto" w:fill="F7F7F8"/>
        </w:rPr>
      </w:pPr>
    </w:p>
    <w:p w14:paraId="59235675" w14:textId="77777777" w:rsidR="00DC1A4B" w:rsidRDefault="00DC1A4B" w:rsidP="00DC1A4B">
      <w:pPr>
        <w:jc w:val="both"/>
        <w:rPr>
          <w:b/>
          <w:bCs/>
          <w:shd w:val="clear" w:color="auto" w:fill="F7F7F8"/>
        </w:rPr>
      </w:pPr>
    </w:p>
    <w:p w14:paraId="3BB8A776" w14:textId="77777777" w:rsidR="00DC1A4B" w:rsidRDefault="00DC1A4B" w:rsidP="00DC1A4B">
      <w:pPr>
        <w:jc w:val="both"/>
        <w:rPr>
          <w:b/>
          <w:bCs/>
          <w:shd w:val="clear" w:color="auto" w:fill="F7F7F8"/>
        </w:rPr>
      </w:pPr>
    </w:p>
    <w:p w14:paraId="35FD355B" w14:textId="77777777" w:rsidR="00DC1A4B" w:rsidRDefault="00DC1A4B" w:rsidP="00DC1A4B">
      <w:pPr>
        <w:jc w:val="both"/>
        <w:rPr>
          <w:b/>
          <w:bCs/>
          <w:shd w:val="clear" w:color="auto" w:fill="F7F7F8"/>
        </w:rPr>
      </w:pPr>
    </w:p>
    <w:p w14:paraId="4DF4B594" w14:textId="77777777" w:rsidR="00DC1A4B" w:rsidRDefault="00DC1A4B" w:rsidP="00DC1A4B">
      <w:pPr>
        <w:jc w:val="both"/>
        <w:rPr>
          <w:b/>
          <w:bCs/>
          <w:shd w:val="clear" w:color="auto" w:fill="F7F7F8"/>
        </w:rPr>
      </w:pPr>
    </w:p>
    <w:p w14:paraId="3FE6E095" w14:textId="77777777" w:rsidR="00DC1A4B" w:rsidRDefault="00DC1A4B" w:rsidP="00DC1A4B">
      <w:pPr>
        <w:jc w:val="both"/>
        <w:rPr>
          <w:b/>
          <w:bCs/>
          <w:shd w:val="clear" w:color="auto" w:fill="F7F7F8"/>
        </w:rPr>
      </w:pPr>
    </w:p>
    <w:p w14:paraId="17428A99" w14:textId="77777777" w:rsidR="00DC1A4B" w:rsidRDefault="00DC1A4B" w:rsidP="00DC1A4B">
      <w:pPr>
        <w:jc w:val="both"/>
        <w:rPr>
          <w:b/>
          <w:bCs/>
          <w:shd w:val="clear" w:color="auto" w:fill="F7F7F8"/>
        </w:rPr>
      </w:pPr>
    </w:p>
    <w:p w14:paraId="6ECBDA95" w14:textId="77777777" w:rsidR="00DC1A4B" w:rsidRDefault="00DC1A4B" w:rsidP="00DC1A4B">
      <w:pPr>
        <w:jc w:val="both"/>
        <w:rPr>
          <w:b/>
          <w:bCs/>
          <w:shd w:val="clear" w:color="auto" w:fill="F7F7F8"/>
        </w:rPr>
      </w:pPr>
    </w:p>
    <w:p w14:paraId="1D8D7F84" w14:textId="77777777" w:rsidR="00DC1A4B" w:rsidRDefault="00DC1A4B" w:rsidP="00DC1A4B">
      <w:pPr>
        <w:jc w:val="both"/>
        <w:rPr>
          <w:b/>
          <w:shd w:val="clear" w:color="auto" w:fill="F7F7F8"/>
        </w:rPr>
      </w:pPr>
    </w:p>
    <w:bookmarkEnd w:id="0"/>
    <w:p w14:paraId="5861A851" w14:textId="77777777" w:rsidR="00DC1A4B" w:rsidRDefault="00DC1A4B" w:rsidP="00DC1A4B">
      <w:pPr>
        <w:ind w:left="720"/>
        <w:jc w:val="both"/>
        <w:rPr>
          <w:shd w:val="clear" w:color="auto" w:fill="F7F7F8"/>
        </w:rPr>
      </w:pPr>
    </w:p>
    <w:p w14:paraId="35832290" w14:textId="77777777" w:rsidR="00DC1A4B" w:rsidRPr="00C6428F" w:rsidRDefault="00DC1A4B" w:rsidP="00DC1A4B">
      <w:pPr>
        <w:jc w:val="both"/>
        <w:rPr>
          <w:sz w:val="24"/>
          <w:szCs w:val="24"/>
          <w:shd w:val="clear" w:color="auto" w:fill="F7F7F8"/>
        </w:rPr>
      </w:pPr>
      <w:r w:rsidRPr="00C6428F">
        <w:rPr>
          <w:sz w:val="24"/>
          <w:szCs w:val="24"/>
          <w:shd w:val="clear" w:color="auto" w:fill="F7F7F8"/>
        </w:rPr>
        <w:t xml:space="preserve">The Faculty of Engineering at Chulalongkorn University organized a Vocational Programmable Logic Controllers (PLCs) Training on March 24-25, 2023. This training was specifically designed for individuals currently working in the field of automation who are eager to gain insights into the history of Programmable Logic Controllers (PLCs), their applications, and practical exercises on utilizing PLC languages such as Ladder diagram, Function Block diagram, and </w:t>
      </w:r>
      <w:r w:rsidRPr="00C6428F">
        <w:rPr>
          <w:sz w:val="24"/>
          <w:szCs w:val="24"/>
          <w:shd w:val="clear" w:color="auto" w:fill="F7F7F8"/>
        </w:rPr>
        <w:lastRenderedPageBreak/>
        <w:t xml:space="preserve">Sequential Function Chart. The participants are from Thaiseisen, a former employee from Automotive company, and a former employee from control company. </w:t>
      </w:r>
    </w:p>
    <w:p w14:paraId="02D1C0D0" w14:textId="77777777" w:rsidR="00DC1A4B" w:rsidRPr="00C6428F" w:rsidRDefault="00DC1A4B" w:rsidP="00DC1A4B">
      <w:pPr>
        <w:jc w:val="both"/>
        <w:rPr>
          <w:sz w:val="24"/>
          <w:szCs w:val="24"/>
          <w:shd w:val="clear" w:color="auto" w:fill="F7F7F8"/>
        </w:rPr>
      </w:pPr>
      <w:r w:rsidRPr="00C6428F">
        <w:rPr>
          <w:sz w:val="24"/>
          <w:szCs w:val="24"/>
          <w:shd w:val="clear" w:color="auto" w:fill="F7F7F8"/>
        </w:rPr>
        <w:t>Distinguished speakers from Chulalongkorn University, including Prof. David Banjerdpongchai, PhD from the Electrical Engineering Department, Prof. Paisan Kittisupakorn, PhD from the Chemical Engineering Department, and Ms. Sirikanya Singcuna from the Chemical Engineering Department, shared their expertise as trainers during this program. Their extensive knowledge and experience in their respective fields ensured a comprehensive learning experience for the participants.</w:t>
      </w:r>
    </w:p>
    <w:p w14:paraId="43DE9E84" w14:textId="77777777" w:rsidR="00DC1A4B" w:rsidRPr="00C6428F" w:rsidRDefault="00DC1A4B" w:rsidP="00DC1A4B">
      <w:pPr>
        <w:jc w:val="both"/>
        <w:rPr>
          <w:sz w:val="24"/>
          <w:szCs w:val="24"/>
          <w:shd w:val="clear" w:color="auto" w:fill="F7F7F8"/>
        </w:rPr>
      </w:pPr>
      <w:r w:rsidRPr="00C6428F">
        <w:rPr>
          <w:sz w:val="24"/>
          <w:szCs w:val="24"/>
          <w:shd w:val="clear" w:color="auto" w:fill="F7F7F8"/>
        </w:rPr>
        <w:t>Assisting in the training were Prof. Plamen Daskalov, PhD, and Assoc. Prof. Tsvetelina Georgieva, PhD, from the University of Ruse, Bulgaria. Their presence and support enriched the training sessions, providing additional perspectives and insights from their renowned institution.</w:t>
      </w:r>
    </w:p>
    <w:p w14:paraId="4E73F536" w14:textId="77777777" w:rsidR="00DC1A4B" w:rsidRPr="00C6428F" w:rsidRDefault="00DC1A4B" w:rsidP="00DC1A4B">
      <w:pPr>
        <w:jc w:val="both"/>
        <w:rPr>
          <w:sz w:val="24"/>
          <w:szCs w:val="24"/>
          <w:shd w:val="clear" w:color="auto" w:fill="F7F7F8"/>
        </w:rPr>
      </w:pPr>
      <w:r w:rsidRPr="00C6428F">
        <w:rPr>
          <w:sz w:val="24"/>
          <w:szCs w:val="24"/>
          <w:shd w:val="clear" w:color="auto" w:fill="F7F7F8"/>
        </w:rPr>
        <w:t>Through this vocational training, participants had the opportunity to deepen their understanding of PLCs and enhance their practical skills. The comprehensive curriculum covered the historical development of PLCs, their wide-ranging applications, and hands-on exercises in utilizing different PLC languages. By actively participating in these sessions, individuals gained valuable knowledge and practical experience that could be directly applied in their work within the automation field.</w:t>
      </w:r>
    </w:p>
    <w:p w14:paraId="015C44B7" w14:textId="77777777" w:rsidR="00DC1A4B" w:rsidRPr="00C6428F" w:rsidRDefault="00DC1A4B" w:rsidP="00DC1A4B">
      <w:pPr>
        <w:jc w:val="both"/>
        <w:rPr>
          <w:sz w:val="24"/>
          <w:szCs w:val="24"/>
        </w:rPr>
      </w:pPr>
      <w:r w:rsidRPr="00C6428F">
        <w:rPr>
          <w:sz w:val="24"/>
          <w:szCs w:val="24"/>
          <w:shd w:val="clear" w:color="auto" w:fill="F7F7F8"/>
        </w:rPr>
        <w:t>We extend our sincere appreciation to all the trainers and participants for their active involvement in this Vocational Programmable Logic Controllers (PLCs) Training. Such collaborative efforts contribute to the continuous growth and development of professionals in the automation industry, ensuring their readiness to tackle the challenges of today's technological landscape.</w:t>
      </w:r>
    </w:p>
    <w:p w14:paraId="4BC4E32B" w14:textId="77777777" w:rsidR="00DC1A4B" w:rsidRPr="00C6428F" w:rsidRDefault="00DC1A4B" w:rsidP="00DC1A4B">
      <w:pPr>
        <w:jc w:val="thaiDistribute"/>
        <w:rPr>
          <w:rFonts w:asciiTheme="minorHAnsi" w:hAnsiTheme="minorHAnsi" w:cstheme="minorHAnsi"/>
          <w:sz w:val="24"/>
          <w:szCs w:val="24"/>
          <w:shd w:val="clear" w:color="auto" w:fill="F7F7F8"/>
        </w:rPr>
      </w:pPr>
    </w:p>
    <w:p w14:paraId="5B4BB56C" w14:textId="77777777" w:rsidR="00DC1A4B" w:rsidRPr="004550F9" w:rsidRDefault="00DC1A4B" w:rsidP="00DC1A4B">
      <w:pPr>
        <w:jc w:val="thaiDistribute"/>
        <w:rPr>
          <w:rFonts w:asciiTheme="minorHAnsi" w:hAnsiTheme="minorHAnsi" w:cstheme="minorHAnsi"/>
          <w:b/>
        </w:rPr>
      </w:pPr>
      <w:r w:rsidRPr="004550F9">
        <w:rPr>
          <w:rFonts w:asciiTheme="minorHAnsi" w:hAnsiTheme="minorHAnsi" w:cstheme="minorHAnsi"/>
          <w:b/>
          <w:noProof/>
        </w:rPr>
        <w:lastRenderedPageBreak/>
        <w:drawing>
          <wp:inline distT="0" distB="0" distL="0" distR="0" wp14:anchorId="6B935A47" wp14:editId="0EFB4404">
            <wp:extent cx="5657850" cy="4371047"/>
            <wp:effectExtent l="0" t="0" r="0" b="0"/>
            <wp:docPr id="205188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81512" name=""/>
                    <pic:cNvPicPr/>
                  </pic:nvPicPr>
                  <pic:blipFill>
                    <a:blip r:embed="rId12"/>
                    <a:stretch>
                      <a:fillRect/>
                    </a:stretch>
                  </pic:blipFill>
                  <pic:spPr>
                    <a:xfrm>
                      <a:off x="0" y="0"/>
                      <a:ext cx="5667410" cy="4378433"/>
                    </a:xfrm>
                    <a:prstGeom prst="rect">
                      <a:avLst/>
                    </a:prstGeom>
                  </pic:spPr>
                </pic:pic>
              </a:graphicData>
            </a:graphic>
          </wp:inline>
        </w:drawing>
      </w:r>
    </w:p>
    <w:p w14:paraId="027BDC83" w14:textId="77777777" w:rsidR="00DC1A4B" w:rsidRDefault="00DC1A4B" w:rsidP="00DC1A4B">
      <w:pPr>
        <w:rPr>
          <w:b/>
        </w:rPr>
      </w:pPr>
    </w:p>
    <w:p w14:paraId="64C72CC2" w14:textId="77777777" w:rsidR="00DC1A4B" w:rsidRDefault="00DC1A4B" w:rsidP="00DC1A4B">
      <w:pPr>
        <w:rPr>
          <w:b/>
        </w:rPr>
      </w:pPr>
    </w:p>
    <w:p w14:paraId="70485CF1" w14:textId="77777777" w:rsidR="000C768E" w:rsidRDefault="000C768E" w:rsidP="00446539">
      <w:pPr>
        <w:rPr>
          <w:b/>
        </w:rPr>
      </w:pPr>
    </w:p>
    <w:bookmarkEnd w:id="1"/>
    <w:p w14:paraId="39DFFBFB" w14:textId="164BF76A" w:rsidR="00D42C48" w:rsidRPr="003B3F8B" w:rsidRDefault="00D42C48" w:rsidP="003B3F8B">
      <w:pPr>
        <w:rPr>
          <w:b/>
        </w:rPr>
      </w:pPr>
    </w:p>
    <w:sectPr w:rsidR="00D42C48" w:rsidRPr="003B3F8B" w:rsidSect="00C6428F">
      <w:headerReference w:type="default" r:id="rId13"/>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EE95" w14:textId="77777777" w:rsidR="00CC115C" w:rsidRDefault="00CC115C">
      <w:pPr>
        <w:spacing w:after="0" w:line="240" w:lineRule="auto"/>
      </w:pPr>
      <w:r>
        <w:separator/>
      </w:r>
    </w:p>
  </w:endnote>
  <w:endnote w:type="continuationSeparator" w:id="0">
    <w:p w14:paraId="62F1B02D" w14:textId="77777777" w:rsidR="00CC115C" w:rsidRDefault="00CC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6E9C" w14:textId="77777777" w:rsidR="00CC115C" w:rsidRDefault="00CC115C">
      <w:pPr>
        <w:spacing w:after="0" w:line="240" w:lineRule="auto"/>
      </w:pPr>
      <w:r>
        <w:separator/>
      </w:r>
    </w:p>
  </w:footnote>
  <w:footnote w:type="continuationSeparator" w:id="0">
    <w:p w14:paraId="3AB930EA" w14:textId="77777777" w:rsidR="00CC115C" w:rsidRDefault="00CC1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7A711F0E"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112AC"/>
    <w:rsid w:val="00130837"/>
    <w:rsid w:val="00131B34"/>
    <w:rsid w:val="00140512"/>
    <w:rsid w:val="00150A59"/>
    <w:rsid w:val="0015371C"/>
    <w:rsid w:val="001547E2"/>
    <w:rsid w:val="00164FEB"/>
    <w:rsid w:val="00166A8B"/>
    <w:rsid w:val="00166C48"/>
    <w:rsid w:val="00167164"/>
    <w:rsid w:val="0017600B"/>
    <w:rsid w:val="00191856"/>
    <w:rsid w:val="00197698"/>
    <w:rsid w:val="001B54AE"/>
    <w:rsid w:val="001B62AD"/>
    <w:rsid w:val="001C600C"/>
    <w:rsid w:val="001D5D5F"/>
    <w:rsid w:val="001F5087"/>
    <w:rsid w:val="001F5CD2"/>
    <w:rsid w:val="001F7410"/>
    <w:rsid w:val="00207B78"/>
    <w:rsid w:val="00210287"/>
    <w:rsid w:val="002118FA"/>
    <w:rsid w:val="00240BB1"/>
    <w:rsid w:val="00246461"/>
    <w:rsid w:val="00246591"/>
    <w:rsid w:val="002829F9"/>
    <w:rsid w:val="002A040C"/>
    <w:rsid w:val="002A1C4F"/>
    <w:rsid w:val="002C2F73"/>
    <w:rsid w:val="002D1210"/>
    <w:rsid w:val="002E3430"/>
    <w:rsid w:val="002F17FE"/>
    <w:rsid w:val="00304527"/>
    <w:rsid w:val="003153DB"/>
    <w:rsid w:val="00322B11"/>
    <w:rsid w:val="00326B3D"/>
    <w:rsid w:val="00332426"/>
    <w:rsid w:val="003751AC"/>
    <w:rsid w:val="00376F26"/>
    <w:rsid w:val="003A161F"/>
    <w:rsid w:val="003A2C1D"/>
    <w:rsid w:val="003B1F8D"/>
    <w:rsid w:val="003B3F8B"/>
    <w:rsid w:val="003C3799"/>
    <w:rsid w:val="003E6203"/>
    <w:rsid w:val="003E6536"/>
    <w:rsid w:val="004130E0"/>
    <w:rsid w:val="00413830"/>
    <w:rsid w:val="00415C02"/>
    <w:rsid w:val="00421338"/>
    <w:rsid w:val="00446539"/>
    <w:rsid w:val="004550F9"/>
    <w:rsid w:val="0047210E"/>
    <w:rsid w:val="0047584F"/>
    <w:rsid w:val="0048138B"/>
    <w:rsid w:val="004866CB"/>
    <w:rsid w:val="004A4539"/>
    <w:rsid w:val="004B71F0"/>
    <w:rsid w:val="0050491B"/>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1486"/>
    <w:rsid w:val="00666387"/>
    <w:rsid w:val="00667A40"/>
    <w:rsid w:val="00677F58"/>
    <w:rsid w:val="00684C0D"/>
    <w:rsid w:val="006C1354"/>
    <w:rsid w:val="006F5DC4"/>
    <w:rsid w:val="00703342"/>
    <w:rsid w:val="0070344A"/>
    <w:rsid w:val="007140E3"/>
    <w:rsid w:val="00722044"/>
    <w:rsid w:val="007262B5"/>
    <w:rsid w:val="00737C2E"/>
    <w:rsid w:val="007424BC"/>
    <w:rsid w:val="00743789"/>
    <w:rsid w:val="00745F21"/>
    <w:rsid w:val="00750978"/>
    <w:rsid w:val="007560C3"/>
    <w:rsid w:val="007613A9"/>
    <w:rsid w:val="00786DE9"/>
    <w:rsid w:val="0079077E"/>
    <w:rsid w:val="007A528A"/>
    <w:rsid w:val="007C3E22"/>
    <w:rsid w:val="007C68F7"/>
    <w:rsid w:val="007E0C68"/>
    <w:rsid w:val="007F28F9"/>
    <w:rsid w:val="008201A6"/>
    <w:rsid w:val="0082088E"/>
    <w:rsid w:val="00826BD3"/>
    <w:rsid w:val="0084149A"/>
    <w:rsid w:val="0084721C"/>
    <w:rsid w:val="00853001"/>
    <w:rsid w:val="00853BF9"/>
    <w:rsid w:val="00856394"/>
    <w:rsid w:val="00860A6C"/>
    <w:rsid w:val="008715B9"/>
    <w:rsid w:val="008718B8"/>
    <w:rsid w:val="008764EB"/>
    <w:rsid w:val="00876B75"/>
    <w:rsid w:val="00880DBD"/>
    <w:rsid w:val="008851A8"/>
    <w:rsid w:val="00886BC0"/>
    <w:rsid w:val="008A0B2B"/>
    <w:rsid w:val="008A0C92"/>
    <w:rsid w:val="008A5F16"/>
    <w:rsid w:val="008A7675"/>
    <w:rsid w:val="008B5C27"/>
    <w:rsid w:val="008B6F5C"/>
    <w:rsid w:val="008C1A86"/>
    <w:rsid w:val="008F0628"/>
    <w:rsid w:val="009065DD"/>
    <w:rsid w:val="00913711"/>
    <w:rsid w:val="00921770"/>
    <w:rsid w:val="009259C0"/>
    <w:rsid w:val="00937DC1"/>
    <w:rsid w:val="0095665A"/>
    <w:rsid w:val="00970E75"/>
    <w:rsid w:val="00980642"/>
    <w:rsid w:val="00983CD9"/>
    <w:rsid w:val="00990B05"/>
    <w:rsid w:val="009A1DF2"/>
    <w:rsid w:val="009A737D"/>
    <w:rsid w:val="009F025D"/>
    <w:rsid w:val="009F28A6"/>
    <w:rsid w:val="00A04D67"/>
    <w:rsid w:val="00A05A26"/>
    <w:rsid w:val="00A16A2F"/>
    <w:rsid w:val="00A25E09"/>
    <w:rsid w:val="00A3564F"/>
    <w:rsid w:val="00A53C37"/>
    <w:rsid w:val="00A74979"/>
    <w:rsid w:val="00A74F79"/>
    <w:rsid w:val="00A87A6B"/>
    <w:rsid w:val="00A92AFF"/>
    <w:rsid w:val="00AD3153"/>
    <w:rsid w:val="00AD36FE"/>
    <w:rsid w:val="00AD39E9"/>
    <w:rsid w:val="00AD4980"/>
    <w:rsid w:val="00AF24FA"/>
    <w:rsid w:val="00B167BF"/>
    <w:rsid w:val="00B53F51"/>
    <w:rsid w:val="00B74BE8"/>
    <w:rsid w:val="00B87BCB"/>
    <w:rsid w:val="00B9266A"/>
    <w:rsid w:val="00BC4A60"/>
    <w:rsid w:val="00BC7093"/>
    <w:rsid w:val="00BE2A23"/>
    <w:rsid w:val="00BE453C"/>
    <w:rsid w:val="00BE6E4A"/>
    <w:rsid w:val="00C15FDF"/>
    <w:rsid w:val="00C26057"/>
    <w:rsid w:val="00C375E7"/>
    <w:rsid w:val="00C43E9A"/>
    <w:rsid w:val="00C45099"/>
    <w:rsid w:val="00C6428F"/>
    <w:rsid w:val="00C64C17"/>
    <w:rsid w:val="00C723B5"/>
    <w:rsid w:val="00C87AF9"/>
    <w:rsid w:val="00CA302D"/>
    <w:rsid w:val="00CC115C"/>
    <w:rsid w:val="00CE20B1"/>
    <w:rsid w:val="00D33C62"/>
    <w:rsid w:val="00D36A29"/>
    <w:rsid w:val="00D40981"/>
    <w:rsid w:val="00D42C48"/>
    <w:rsid w:val="00D553AF"/>
    <w:rsid w:val="00D64866"/>
    <w:rsid w:val="00DA0702"/>
    <w:rsid w:val="00DB0075"/>
    <w:rsid w:val="00DC1A4B"/>
    <w:rsid w:val="00DC2F69"/>
    <w:rsid w:val="00DC4A88"/>
    <w:rsid w:val="00DC5F39"/>
    <w:rsid w:val="00DD1ABD"/>
    <w:rsid w:val="00DE535A"/>
    <w:rsid w:val="00DF15E9"/>
    <w:rsid w:val="00DF58F6"/>
    <w:rsid w:val="00E15838"/>
    <w:rsid w:val="00E25D27"/>
    <w:rsid w:val="00E44ED7"/>
    <w:rsid w:val="00E5601F"/>
    <w:rsid w:val="00E621B9"/>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642BA"/>
    <w:rsid w:val="00F72190"/>
    <w:rsid w:val="00FA5B3F"/>
    <w:rsid w:val="00FA780A"/>
    <w:rsid w:val="00FB446A"/>
    <w:rsid w:val="00FE0A29"/>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 w:type="character" w:customStyle="1" w:styleId="Heading1Char">
    <w:name w:val="Heading 1 Char"/>
    <w:basedOn w:val="DefaultParagraphFont"/>
    <w:link w:val="Heading1"/>
    <w:uiPriority w:val="9"/>
    <w:rsid w:val="00C6428F"/>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Props1.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4</cp:revision>
  <dcterms:created xsi:type="dcterms:W3CDTF">2023-08-23T07:59:00Z</dcterms:created>
  <dcterms:modified xsi:type="dcterms:W3CDTF">2023-08-23T13:28:00Z</dcterms:modified>
</cp:coreProperties>
</file>