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1F3864"/>
          <w:sz w:val="40"/>
          <w:szCs w:val="40"/>
        </w:rPr>
        <w:t xml:space="preserve">和乘幂（HEXP）信号数据看板</w:t>
      </w:r>
    </w:p>
    <w:p>
      <w:pPr>
        <w:spacing w:before="0" w:after="40"/>
      </w:pPr>
      <w:r>
        <w:rPr>
          <w:color w:val="1F3864"/>
          <w:sz w:val="28"/>
          <w:szCs w:val="28"/>
        </w:rPr>
        <w:t xml:space="preserve">设计方案 · Design Specification</w:t>
      </w:r>
    </w:p>
    <w:p>
      <w:pPr>
        <w:spacing w:before="0" w:after="40"/>
      </w:pPr>
      <w:r>
        <w:rPr>
          <w:color w:val="555555"/>
          <w:sz w:val="22"/>
          <w:szCs w:val="22"/>
        </w:rPr>
        <w:t xml:space="preserve">HCM-V2 信号塔 · 和乘幂独立信号源观测面板</w:t>
      </w:r>
    </w:p>
    <w:p>
      <w:pPr>
        <w:spacing w:before="0" w:after="200"/>
      </w:pPr>
      <w:r>
        <w:rPr>
          <w:color w:val="888888"/>
          <w:sz w:val="20"/>
          <w:szCs w:val="20"/>
        </w:rPr>
        <w:t xml:space="preserve">状态：待审核（审核通过后再动工构建）  |  日期：2026-08-08</w:t>
      </w:r>
    </w:p>
    <w:p>
      <w:pPr>
        <w:pStyle w:val="Heading2"/>
        <w:spacing w:before="0" w:after="80"/>
      </w:pPr>
      <w:r>
        <w:t xml:space="preserve">目录</w:t>
      </w:r>
    </w:p>
    <w:p>
      <w:pPr>
        <w:numPr>
          <w:ilvl w:val="0"/>
          <w:numId w:val="1"/>
        </w:numPr>
        <w:spacing w:after="40"/>
      </w:pPr>
      <w:r>
        <w:t xml:space="preserve">1. 文档目的与范围</w:t>
      </w:r>
    </w:p>
    <w:p>
      <w:pPr>
        <w:numPr>
          <w:ilvl w:val="0"/>
          <w:numId w:val="1"/>
        </w:numPr>
        <w:spacing w:after="40"/>
      </w:pPr>
      <w:r>
        <w:t xml:space="preserve">2. 设计目标（直观 / 协调 / 分类 / 完整）</w:t>
      </w:r>
    </w:p>
    <w:p>
      <w:pPr>
        <w:numPr>
          <w:ilvl w:val="0"/>
          <w:numId w:val="1"/>
        </w:numPr>
        <w:spacing w:after="40"/>
      </w:pPr>
      <w:r>
        <w:t xml:space="preserve">3. 信息架构：七大信息分类</w:t>
      </w:r>
    </w:p>
    <w:p>
      <w:pPr>
        <w:numPr>
          <w:ilvl w:val="0"/>
          <w:numId w:val="1"/>
        </w:numPr>
        <w:spacing w:after="40"/>
      </w:pPr>
      <w:r>
        <w:t xml:space="preserve">4. 各面板详细规范</w:t>
      </w:r>
    </w:p>
    <w:p>
      <w:pPr>
        <w:numPr>
          <w:ilvl w:val="0"/>
          <w:numId w:val="1"/>
        </w:numPr>
        <w:spacing w:after="40"/>
      </w:pPr>
      <w:r>
        <w:t xml:space="preserve">5. 视觉系统</w:t>
      </w:r>
    </w:p>
    <w:p>
      <w:pPr>
        <w:numPr>
          <w:ilvl w:val="0"/>
          <w:numId w:val="1"/>
        </w:numPr>
        <w:spacing w:after="40"/>
      </w:pPr>
      <w:r>
        <w:t xml:space="preserve">6. 数据来源与刷新机制</w:t>
      </w:r>
    </w:p>
    <w:p>
      <w:pPr>
        <w:numPr>
          <w:ilvl w:val="0"/>
          <w:numId w:val="1"/>
        </w:numPr>
        <w:spacing w:after="40"/>
      </w:pPr>
      <w:r>
        <w:t xml:space="preserve">7. 技术构建方案</w:t>
      </w:r>
    </w:p>
    <w:p>
      <w:pPr>
        <w:numPr>
          <w:ilvl w:val="0"/>
          <w:numId w:val="1"/>
        </w:numPr>
        <w:spacing w:after="40"/>
      </w:pPr>
      <w:r>
        <w:t xml:space="preserve">8. 与现有页面 / 信号源的关系</w:t>
      </w:r>
    </w:p>
    <w:p>
      <w:pPr>
        <w:numPr>
          <w:ilvl w:val="0"/>
          <w:numId w:val="1"/>
        </w:numPr>
        <w:spacing w:after="40"/>
      </w:pPr>
      <w:r>
        <w:t xml:space="preserve">9. 待确认问题（请审核）</w:t>
      </w:r>
    </w:p>
    <w:p>
      <w:pPr>
        <w:pStyle w:val="Heading1"/>
        <w:spacing w:before="240" w:after="80"/>
      </w:pPr>
      <w:r>
        <w:t xml:space="preserve">1. 文档目的与范围</w:t>
      </w:r>
    </w:p>
    <w:p>
      <w:pPr>
        <w:spacing w:before="0" w:after="80"/>
      </w:pPr>
      <w:r>
        <w:t xml:space="preserve">本文档为「和乘幂（HEXP）信号数据看板」的设计方案，用于在生产环境直观观测 HEXP 独立信号源的运行状态、决策逻辑与实时信号质量。本看板只读观测，不下达交易指令（下单由引擎既有闸门负责）。</w:t>
      </w:r>
    </w:p>
    <w:p>
      <w:pPr>
        <w:spacing w:before="0" w:after="80"/>
      </w:pPr>
      <w:r>
        <w:t xml:space="preserve">看板数据严格来自 HEXP 引擎已发布的实时快照与配置中心，不新增任何信号计算逻辑，仅做可视化呈现。所有字段均以 hcm-v2/hcm-signal-tower/signal_tower/hexp_engine.py 的发布契约为准。</w:t>
      </w:r>
    </w:p>
    <w:p>
      <w:pPr>
        <w:pStyle w:val="Heading1"/>
        <w:spacing w:before="240" w:after="80"/>
      </w:pPr>
      <w:r>
        <w:t xml:space="preserve">2. 设计目标</w:t>
      </w:r>
    </w:p>
    <w:tbl>
      <w:tblPr>
        <w:tblW w:w="9025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624"/>
        <w:gridCol w:w="7401"/>
      </w:tblGrid>
      <w:tr>
        <w:tc>
          <w:tcPr>
            <w:tcW w:w="1624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目标</w:t>
            </w:r>
          </w:p>
        </w:tc>
        <w:tc>
          <w:tcPr>
            <w:tcW w:w="7401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>
            <w:tcW w:w="1624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直观</w:t>
            </w:r>
          </w:p>
        </w:tc>
        <w:tc>
          <w:tcPr>
            <w:tcW w:w="7401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一眼看清当前信号方向、等级与是否过闸；用颜色与图形代替数字堆砌，交易员 3 秒内可判读。</w:t>
            </w:r>
          </w:p>
        </w:tc>
      </w:tr>
      <w:tr>
        <w:tc>
          <w:tcPr>
            <w:tcW w:w="1624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协调</w:t>
            </w:r>
          </w:p>
        </w:tc>
        <w:tc>
          <w:tcPr>
            <w:tcW w:w="7401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与 HCM 现有 Web 控制台（hcm-web）视觉语言统一：深色交易终端风、统一间距/圆角/字型，不突兀。</w:t>
            </w:r>
          </w:p>
        </w:tc>
      </w:tr>
      <w:tr>
        <w:tc>
          <w:tcPr>
            <w:tcW w:w="1624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信息分类</w:t>
            </w:r>
          </w:p>
        </w:tc>
        <w:tc>
          <w:tcPr>
            <w:tcW w:w="7401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按「决策 → 算法 → 共振 → 评分 → 动量 → 执行 → 历史」七类分组，避免信息噪声混杂。</w:t>
            </w:r>
          </w:p>
        </w:tc>
      </w:tr>
      <w:tr>
        <w:tc>
          <w:tcPr>
            <w:tcW w:w="1624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完整</w:t>
            </w:r>
          </w:p>
        </w:tc>
        <w:tc>
          <w:tcPr>
            <w:tcW w:w="7401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覆盖 HEXP 引擎全部对外字段（HP-Score、k、7 因子、4 周期状态、共振裁决、6 维评分卡、MM、执行预案），无遗漏盲区。</w:t>
            </w:r>
          </w:p>
        </w:tc>
      </w:tr>
    </w:tbl>
    <w:p>
      <w:pPr>
        <w:pStyle w:val="Heading1"/>
        <w:spacing w:before="240" w:after="80"/>
      </w:pPr>
      <w:r>
        <w:t xml:space="preserve">3. 信息架构：七大信息分类</w:t>
      </w:r>
    </w:p>
    <w:p>
      <w:pPr>
        <w:spacing w:before="0" w:after="80"/>
      </w:pPr>
      <w:r>
        <w:t xml:space="preserve">看板采用单页分区栅格，自上而下、由决策到细节组织。布局比例为：顶部核心决策区全宽，下方三列卡片网格。</w:t>
      </w:r>
    </w:p>
    <w:tbl>
      <w:tblPr>
        <w:tblW w:w="9024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722"/>
        <w:gridCol w:w="1624"/>
        <w:gridCol w:w="2346"/>
        <w:gridCol w:w="4332"/>
      </w:tblGrid>
      <w:tr>
        <w:tc>
          <w:tcPr>
            <w:tcW w:w="722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1624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分类</w:t>
            </w:r>
          </w:p>
        </w:tc>
        <w:tc>
          <w:tcPr>
            <w:tcW w:w="2346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位置 / 尺寸</w:t>
            </w:r>
          </w:p>
        </w:tc>
        <w:tc>
          <w:tcPr>
            <w:tcW w:w="4332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承载内容</w:t>
            </w:r>
          </w:p>
        </w:tc>
      </w:tr>
      <w:tr>
        <w:tc>
          <w:tcPr>
            <w:tcW w:w="72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A</w:t>
            </w:r>
          </w:p>
        </w:tc>
        <w:tc>
          <w:tcPr>
            <w:tcW w:w="1624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核心决策区</w:t>
            </w:r>
          </w:p>
        </w:tc>
        <w:tc>
          <w:tcPr>
            <w:tcW w:w="2346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顶部全宽条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信号方向灯、等级徽章、HP-Score 仪表、闸门状态+原因、现价/ATR/主周期</w:t>
            </w:r>
          </w:p>
        </w:tc>
      </w:tr>
      <w:tr>
        <w:tc>
          <w:tcPr>
            <w:tcW w:w="72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B</w:t>
            </w:r>
          </w:p>
        </w:tc>
        <w:tc>
          <w:tcPr>
            <w:tcW w:w="1624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和乘幂核心</w:t>
            </w:r>
          </w:p>
        </w:tc>
        <w:tc>
          <w:tcPr>
            <w:tcW w:w="2346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左列卡片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幂指数 k 与体制区间、方向裁决、7 因子贡献条形图</w:t>
            </w:r>
          </w:p>
        </w:tc>
      </w:tr>
      <w:tr>
        <w:tc>
          <w:tcPr>
            <w:tcW w:w="72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C</w:t>
            </w:r>
          </w:p>
        </w:tc>
        <w:tc>
          <w:tcPr>
            <w:tcW w:w="1624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多周期共振矩阵</w:t>
            </w:r>
          </w:p>
        </w:tc>
        <w:tc>
          <w:tcPr>
            <w:tcW w:w="2346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中列卡片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M5/H1/H4/D1 状态色块 + TrendScore、共振裁决滑杆</w:t>
            </w:r>
          </w:p>
        </w:tc>
      </w:tr>
      <w:tr>
        <w:tc>
          <w:tcPr>
            <w:tcW w:w="72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D</w:t>
            </w:r>
          </w:p>
        </w:tc>
        <w:tc>
          <w:tcPr>
            <w:tcW w:w="1624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6 维评分卡</w:t>
            </w:r>
          </w:p>
        </w:tc>
        <w:tc>
          <w:tcPr>
            <w:tcW w:w="2346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右列卡片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6 维雷达图、加权总分、分级门槛标记</w:t>
            </w:r>
          </w:p>
        </w:tc>
      </w:tr>
      <w:tr>
        <w:tc>
          <w:tcPr>
            <w:tcW w:w="72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E</w:t>
            </w:r>
          </w:p>
        </w:tc>
        <w:tc>
          <w:tcPr>
            <w:tcW w:w="1624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微结构动量 MM</w:t>
            </w:r>
          </w:p>
        </w:tc>
        <w:tc>
          <w:tcPr>
            <w:tcW w:w="2346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左列卡片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M1 动量仪表、加速/衰竭/反转三态预警</w:t>
            </w:r>
          </w:p>
        </w:tc>
      </w:tr>
      <w:tr>
        <w:tc>
          <w:tcPr>
            <w:tcW w:w="72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F</w:t>
            </w:r>
          </w:p>
        </w:tc>
        <w:tc>
          <w:tcPr>
            <w:tcW w:w="1624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执行预案</w:t>
            </w:r>
          </w:p>
        </w:tc>
        <w:tc>
          <w:tcPr>
            <w:tcW w:w="2346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中列卡片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等级→手数、SL/TP、降仓系数、入场模式指示</w:t>
            </w:r>
          </w:p>
        </w:tc>
      </w:tr>
      <w:tr>
        <w:tc>
          <w:tcPr>
            <w:tcW w:w="72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G</w:t>
            </w:r>
          </w:p>
        </w:tc>
        <w:tc>
          <w:tcPr>
            <w:tcW w:w="1624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信号日志</w:t>
            </w:r>
          </w:p>
        </w:tc>
        <w:tc>
          <w:tcPr>
            <w:tcW w:w="2346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底部全宽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滚动时间线：每次决策的字段快照</w:t>
            </w:r>
          </w:p>
        </w:tc>
      </w:tr>
    </w:tbl>
    <w:p>
      <w:pPr>
        <w:pStyle w:val="Heading1"/>
        <w:spacing w:before="240" w:after="80"/>
      </w:pPr>
      <w:r>
        <w:t xml:space="preserve">4. 各面板详细规范</w:t>
      </w:r>
    </w:p>
    <w:p>
      <w:pPr>
        <w:pStyle w:val="Heading2"/>
        <w:spacing w:before="0" w:after="80"/>
      </w:pPr>
      <w:r>
        <w:t xml:space="preserve">A. 核心决策区（最醒目）</w:t>
      </w:r>
    </w:p>
    <w:tbl>
      <w:tblPr>
        <w:tblW w:w="9024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985"/>
        <w:gridCol w:w="2707"/>
        <w:gridCol w:w="4332"/>
      </w:tblGrid>
      <w:tr>
        <w:tc>
          <w:tcPr>
            <w:tcW w:w="1985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元素</w:t>
            </w:r>
          </w:p>
        </w:tc>
        <w:tc>
          <w:tcPr>
            <w:tcW w:w="2707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可视化</w:t>
            </w:r>
          </w:p>
        </w:tc>
        <w:tc>
          <w:tcPr>
            <w:tcW w:w="4332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数据字段 / 来源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信号方向灯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大号圆形指示灯：BUY=红 / SELL=绿 / NO_TRADE=灰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direction</w:t>
            </w:r>
          </w:p>
        </w:tc>
      </w:tr>
      <w:tr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信号等级</w:t>
            </w:r>
          </w:p>
        </w:tc>
        <w:tc>
          <w:tcPr>
            <w:tcW w:w="270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徽章 S/A/B/C/RED（色阶）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grade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HP-Score 仪表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0–100 半圆仪表 + 数值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hp_score</w:t>
            </w:r>
          </w:p>
        </w:tc>
      </w:tr>
      <w:tr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闸门状态</w:t>
            </w:r>
          </w:p>
        </w:tc>
        <w:tc>
          <w:tcPr>
            <w:tcW w:w="270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✓ 放行 / ✗ 拦截 双态 + 拦截原因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passed + reason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行情底栏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现价、ATR、主执行周期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close / atr / primary_period</w:t>
            </w:r>
          </w:p>
        </w:tc>
      </w:tr>
    </w:tbl>
    <w:p>
      <w:pPr>
        <w:pStyle w:val="Heading2"/>
        <w:spacing w:before="0" w:after="80"/>
      </w:pPr>
      <w:r>
        <w:t xml:space="preserve">B. 和乘幂核心（HP-Score 算法可视化）</w:t>
      </w:r>
    </w:p>
    <w:p>
      <w:pPr>
        <w:spacing w:before="0" w:after="80"/>
      </w:pPr>
      <w:r>
        <w:t xml:space="preserve">直观展示「和乘幂」数学框架：广义均值幂指数 k 随市况自适应，7 个归一化因子按权重参与求和。</w:t>
      </w:r>
    </w:p>
    <w:tbl>
      <w:tblPr>
        <w:tblW w:w="9024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985"/>
        <w:gridCol w:w="2707"/>
        <w:gridCol w:w="4332"/>
      </w:tblGrid>
      <w:tr>
        <w:tc>
          <w:tcPr>
            <w:tcW w:w="1985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元素</w:t>
            </w:r>
          </w:p>
        </w:tc>
        <w:tc>
          <w:tcPr>
            <w:tcW w:w="2707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可视化</w:t>
            </w:r>
          </w:p>
        </w:tc>
        <w:tc>
          <w:tcPr>
            <w:tcW w:w="4332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数据字段 / 来源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幂指数 k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数值 + 体制区间指示（趋势 1.8–2.5 / 转换 1.0 / 震荡 0.5–0.8）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k</w:t>
            </w:r>
          </w:p>
        </w:tc>
      </w:tr>
      <w:tr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方向裁决 dir_sum</w:t>
            </w:r>
          </w:p>
        </w:tc>
        <w:tc>
          <w:tcPr>
            <w:tcW w:w="270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横滑块 -1…0…+1，红绿双色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factor_scores 加权求和（前端算）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7 因子贡献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横向条形图：adx/er/ma/bbw/hurst/rsi/mm，归一 -1…1，正=红 负=绿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factor_scores</w:t>
            </w:r>
          </w:p>
        </w:tc>
      </w:tr>
      <w:tr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共振后强度</w:t>
            </w:r>
          </w:p>
        </w:tc>
        <w:tc>
          <w:tcPr>
            <w:tcW w:w="270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标注 hp_100 已含共振加成/惩罚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hp_score</w:t>
            </w:r>
          </w:p>
        </w:tc>
      </w:tr>
    </w:tbl>
    <w:p>
      <w:pPr>
        <w:pStyle w:val="Heading2"/>
        <w:spacing w:before="0" w:after="80"/>
      </w:pPr>
      <w:r>
        <w:t xml:space="preserve">C. 多周期共振矩阵</w:t>
      </w:r>
    </w:p>
    <w:tbl>
      <w:tblPr>
        <w:tblW w:w="9024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985"/>
        <w:gridCol w:w="2707"/>
        <w:gridCol w:w="4332"/>
      </w:tblGrid>
      <w:tr>
        <w:tc>
          <w:tcPr>
            <w:tcW w:w="1985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元素</w:t>
            </w:r>
          </w:p>
        </w:tc>
        <w:tc>
          <w:tcPr>
            <w:tcW w:w="2707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可视化</w:t>
            </w:r>
          </w:p>
        </w:tc>
        <w:tc>
          <w:tcPr>
            <w:tcW w:w="4332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数据字段 / 来源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周期状态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4 色块 M5/H1/H4/D1：TREND_UP=红 / TREND_DOWN=绿 / RANGE=灰 / TRANSITION=琥珀；主周期 M5 描边高亮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period_states</w:t>
            </w:r>
          </w:p>
        </w:tc>
      </w:tr>
      <w:tr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TrendScore</w:t>
            </w:r>
          </w:p>
        </w:tc>
        <w:tc>
          <w:tcPr>
            <w:tcW w:w="270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每周期 0–100 进度条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trend_scores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共振裁决 verdict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横滑块 -1…0…+1，长/短阈值刻度线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resonance_verdict</w:t>
            </w:r>
          </w:p>
        </w:tc>
      </w:tr>
    </w:tbl>
    <w:p>
      <w:pPr>
        <w:pStyle w:val="Heading2"/>
        <w:spacing w:before="0" w:after="80"/>
      </w:pPr>
      <w:r>
        <w:t xml:space="preserve">D. 6 维评分卡（闸门核心）</w:t>
      </w:r>
    </w:p>
    <w:tbl>
      <w:tblPr>
        <w:tblW w:w="9024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985"/>
        <w:gridCol w:w="2707"/>
        <w:gridCol w:w="4332"/>
      </w:tblGrid>
      <w:tr>
        <w:tc>
          <w:tcPr>
            <w:tcW w:w="1985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元素</w:t>
            </w:r>
          </w:p>
        </w:tc>
        <w:tc>
          <w:tcPr>
            <w:tcW w:w="2707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可视化</w:t>
            </w:r>
          </w:p>
        </w:tc>
        <w:tc>
          <w:tcPr>
            <w:tcW w:w="4332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数据字段 / 来源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六维雷达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resonance/state/entry/position/vol/session 雷达图（各 0–100）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scorecard</w:t>
            </w:r>
          </w:p>
        </w:tc>
      </w:tr>
      <w:tr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加权总分</w:t>
            </w:r>
          </w:p>
        </w:tc>
        <w:tc>
          <w:tcPr>
            <w:tcW w:w="270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大号数字 0–100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scorecard_total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分级门槛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横向刻度标注 pass/b/a/s_hp/hp_floor，标出当前总分档位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hexp.scorecard.* + scorecard_total</w:t>
            </w:r>
          </w:p>
        </w:tc>
      </w:tr>
    </w:tbl>
    <w:p>
      <w:pPr>
        <w:pStyle w:val="Heading2"/>
        <w:spacing w:before="0" w:after="80"/>
      </w:pPr>
      <w:r>
        <w:t xml:space="preserve">E. 微结构动量 MM（M1 前置预警）</w:t>
      </w:r>
    </w:p>
    <w:tbl>
      <w:tblPr>
        <w:tblW w:w="9024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985"/>
        <w:gridCol w:w="2707"/>
        <w:gridCol w:w="4332"/>
      </w:tblGrid>
      <w:tr>
        <w:tc>
          <w:tcPr>
            <w:tcW w:w="1985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元素</w:t>
            </w:r>
          </w:p>
        </w:tc>
        <w:tc>
          <w:tcPr>
            <w:tcW w:w="2707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可视化</w:t>
            </w:r>
          </w:p>
        </w:tc>
        <w:tc>
          <w:tcPr>
            <w:tcW w:w="4332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数据字段 / 来源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M1 动量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仪表 -1…0…+1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mm</w:t>
            </w:r>
          </w:p>
        </w:tc>
      </w:tr>
      <w:tr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三态预警</w:t>
            </w:r>
          </w:p>
        </w:tc>
        <w:tc>
          <w:tcPr>
            <w:tcW w:w="270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加速 / 衰竭 / 反转 指示（先于主周期转向）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mm + 阈值前端推断</w:t>
            </w:r>
          </w:p>
        </w:tc>
      </w:tr>
    </w:tbl>
    <w:p>
      <w:pPr>
        <w:pStyle w:val="Heading2"/>
        <w:spacing w:before="0" w:after="80"/>
      </w:pPr>
      <w:r>
        <w:t xml:space="preserve">F. 执行预案（若放行时的动作预览）</w:t>
      </w:r>
    </w:p>
    <w:tbl>
      <w:tblPr>
        <w:tblW w:w="9024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985"/>
        <w:gridCol w:w="2707"/>
        <w:gridCol w:w="4332"/>
      </w:tblGrid>
      <w:tr>
        <w:tc>
          <w:tcPr>
            <w:tcW w:w="1985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元素</w:t>
            </w:r>
          </w:p>
        </w:tc>
        <w:tc>
          <w:tcPr>
            <w:tcW w:w="2707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可视化</w:t>
            </w:r>
          </w:p>
        </w:tc>
        <w:tc>
          <w:tcPr>
            <w:tcW w:w="4332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数据字段 / 来源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等级→手数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映射表 S/A/B/C 各 lot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hexp.exec.grade_lot_* + lot_mult</w:t>
            </w:r>
          </w:p>
        </w:tc>
      </w:tr>
      <w:tr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止损/目标</w:t>
            </w:r>
          </w:p>
        </w:tc>
        <w:tc>
          <w:tcPr>
            <w:tcW w:w="270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SL=ATR 倍数、RR 目标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hexp.exec.sl_atr_mult / rrr_min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降仓系数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transition 降仓倍率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hexp.exec.transition_lot_mult</w:t>
            </w:r>
          </w:p>
        </w:tc>
      </w:tr>
      <w:tr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入场模式</w:t>
            </w:r>
          </w:p>
        </w:tc>
        <w:tc>
          <w:tcPr>
            <w:tcW w:w="270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回踩(A) / 突破(B) 指示（引擎未显式输出，见 Q4）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待定</w:t>
            </w:r>
          </w:p>
        </w:tc>
      </w:tr>
    </w:tbl>
    <w:p>
      <w:pPr>
        <w:pStyle w:val="Heading2"/>
        <w:spacing w:before="0" w:after="80"/>
      </w:pPr>
      <w:r>
        <w:t xml:space="preserve">G. 信号日志（时间线）</w:t>
      </w:r>
    </w:p>
    <w:p>
      <w:pPr>
        <w:spacing w:before="0" w:after="80"/>
      </w:pPr>
      <w:r>
        <w:t xml:space="preserve">底部全宽滚动列表，逐条记录每次决策快照，用于回看信号质量、与 co_source 做 shadow 对比。字段：时间戳、方向、等级、HP、k、verdict、总分、闸门、原因。</w:t>
      </w:r>
    </w:p>
    <w:tbl>
      <w:tblPr>
        <w:tblW w:w="9024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985"/>
        <w:gridCol w:w="2707"/>
        <w:gridCol w:w="4332"/>
      </w:tblGrid>
      <w:tr>
        <w:tc>
          <w:tcPr>
            <w:tcW w:w="1985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元素</w:t>
            </w:r>
          </w:p>
        </w:tc>
        <w:tc>
          <w:tcPr>
            <w:tcW w:w="2707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可视化</w:t>
            </w:r>
          </w:p>
        </w:tc>
        <w:tc>
          <w:tcPr>
            <w:tcW w:w="4332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数据字段 / 来源</w:t>
            </w:r>
          </w:p>
        </w:tc>
      </w:tr>
      <w:tr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日志流</w:t>
            </w:r>
          </w:p>
        </w:tc>
        <w:tc>
          <w:tcPr>
            <w:tcW w:w="270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表格/时间线，可滚动，最多保留 N 条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见 §6 数据来源（日志方案）</w:t>
            </w:r>
          </w:p>
        </w:tc>
      </w:tr>
      <w:tr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筛选</w:t>
            </w:r>
          </w:p>
        </w:tc>
        <w:tc>
          <w:tcPr>
            <w:tcW w:w="270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按 方向 / 等级 / 是否过闸 过滤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前端</w:t>
            </w:r>
          </w:p>
        </w:tc>
      </w:tr>
    </w:tbl>
    <w:p>
      <w:pPr>
        <w:pStyle w:val="Heading1"/>
        <w:spacing w:before="240" w:after="80"/>
      </w:pPr>
      <w:r>
        <w:t xml:space="preserve">5. 视觉系统</w:t>
      </w:r>
    </w:p>
    <w:p>
      <w:pPr>
        <w:pStyle w:val="Heading2"/>
        <w:spacing w:before="0" w:after="80"/>
      </w:pPr>
      <w:r>
        <w:t xml:space="preserve">5.1 主题</w:t>
      </w:r>
    </w:p>
    <w:p>
      <w:pPr>
        <w:spacing w:before="0" w:after="80"/>
      </w:pPr>
      <w:r>
        <w:t xml:space="preserve">推荐深色交易终端风格（与行情软件一致，长时间盯盘不刺眼），并与 hcm-web 现有主题协调。如现有控制台为浅色，则看板跟随浅色（待确认 Q3）。</w:t>
      </w:r>
    </w:p>
    <w:p>
      <w:pPr>
        <w:pStyle w:val="Heading2"/>
        <w:spacing w:before="0" w:after="80"/>
      </w:pPr>
      <w:r>
        <w:t xml:space="preserve">5.2 配色语义（遵循中国习惯：涨=红 跌=绿）</w:t>
      </w:r>
    </w:p>
    <w:tbl>
      <w:tblPr>
        <w:tblW w:w="9025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805"/>
        <w:gridCol w:w="1985"/>
        <w:gridCol w:w="5235"/>
      </w:tblGrid>
      <w:tr>
        <w:tc>
          <w:tcPr>
            <w:tcW w:w="1805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语义</w:t>
            </w:r>
          </w:p>
        </w:tc>
        <w:tc>
          <w:tcPr>
            <w:tcW w:w="1985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颜色</w:t>
            </w:r>
          </w:p>
        </w:tc>
        <w:tc>
          <w:tcPr>
            <w:tcW w:w="5235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应用</w:t>
            </w:r>
          </w:p>
        </w:tc>
      </w:tr>
      <w:tr>
        <w:tc>
          <w:tcPr>
            <w:tcW w:w="180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涨 / BUY / 正因子</w:t>
            </w:r>
          </w:p>
        </w:tc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红 #E04848</w:t>
            </w:r>
          </w:p>
        </w:tc>
        <w:tc>
          <w:tcPr>
            <w:tcW w:w="523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方向灯 BUY、因子正向条、TREND_UP</w:t>
            </w:r>
          </w:p>
        </w:tc>
      </w:tr>
      <w:tr>
        <w:tc>
          <w:tcPr>
            <w:tcW w:w="180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跌 / SELL / 负因子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绿 #2BBF6A</w:t>
            </w:r>
          </w:p>
        </w:tc>
        <w:tc>
          <w:tcPr>
            <w:tcW w:w="523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方向灯 SELL、因子负向条、TREND_DOWN</w:t>
            </w:r>
          </w:p>
        </w:tc>
      </w:tr>
      <w:tr>
        <w:tc>
          <w:tcPr>
            <w:tcW w:w="180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中性 / NO_TRADE</w:t>
            </w:r>
          </w:p>
        </w:tc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灰 #6B7280</w:t>
            </w:r>
          </w:p>
        </w:tc>
        <w:tc>
          <w:tcPr>
            <w:tcW w:w="523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无信号、RANGE 状态</w:t>
            </w:r>
          </w:p>
        </w:tc>
      </w:tr>
      <w:tr>
        <w:tc>
          <w:tcPr>
            <w:tcW w:w="180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转换预警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琥珀 #F5A623</w:t>
            </w:r>
          </w:p>
        </w:tc>
        <w:tc>
          <w:tcPr>
            <w:tcW w:w="523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TRANSITION 状态、阈值预警</w:t>
            </w:r>
          </w:p>
        </w:tc>
      </w:tr>
      <w:tr>
        <w:tc>
          <w:tcPr>
            <w:tcW w:w="180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等级 S/A/B/C</w:t>
            </w:r>
          </w:p>
        </w:tc>
        <w:tc>
          <w:tcPr>
            <w:tcW w:w="198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金/橙/黄/蓝</w:t>
            </w:r>
          </w:p>
        </w:tc>
        <w:tc>
          <w:tcPr>
            <w:tcW w:w="5235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等级徽章色阶（由强到弱）</w:t>
            </w:r>
          </w:p>
        </w:tc>
      </w:tr>
      <w:tr>
        <w:tc>
          <w:tcPr>
            <w:tcW w:w="180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RED 级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灰红 #9AA0A6</w:t>
            </w:r>
          </w:p>
        </w:tc>
        <w:tc>
          <w:tcPr>
            <w:tcW w:w="5235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未过闸等级</w:t>
            </w:r>
          </w:p>
        </w:tc>
      </w:tr>
    </w:tbl>
    <w:p>
      <w:pPr>
        <w:pStyle w:val="Heading2"/>
        <w:spacing w:before="0" w:after="80"/>
      </w:pPr>
      <w:r>
        <w:t xml:space="preserve">5.3 字型与栅格</w:t>
      </w:r>
    </w:p>
    <w:p>
      <w:pPr>
        <w:numPr>
          <w:ilvl w:val="0"/>
          <w:numId w:val="1"/>
        </w:numPr>
        <w:spacing w:after="40"/>
      </w:pPr>
      <w:r>
        <w:t xml:space="preserve">数字统一等宽（tabular-nums），保证刷新时位数对齐不跳动。</w:t>
      </w:r>
    </w:p>
    <w:p>
      <w:pPr>
        <w:numPr>
          <w:ilvl w:val="0"/>
          <w:numId w:val="1"/>
        </w:numPr>
        <w:spacing w:after="40"/>
      </w:pPr>
      <w:r>
        <w:t xml:space="preserve">卡片圆角统一 8px，分组间距统一 16px，栅格 12 列响应式。</w:t>
      </w:r>
    </w:p>
    <w:p>
      <w:pPr>
        <w:numPr>
          <w:ilvl w:val="0"/>
          <w:numId w:val="1"/>
        </w:numPr>
        <w:spacing w:after="40"/>
      </w:pPr>
      <w:r>
        <w:t xml:space="preserve">标题/分组层级清晰：区标题 16px 粗体、卡片标题 14px、数值 20–32px。</w:t>
      </w:r>
    </w:p>
    <w:p>
      <w:pPr>
        <w:pStyle w:val="Heading1"/>
        <w:spacing w:before="240" w:after="80"/>
      </w:pPr>
      <w:r>
        <w:t xml:space="preserve">6. 数据来源与刷新机制</w:t>
      </w:r>
    </w:p>
    <w:tbl>
      <w:tblPr>
        <w:tblW w:w="9025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2166"/>
        <w:gridCol w:w="2527"/>
        <w:gridCol w:w="4332"/>
      </w:tblGrid>
      <w:tr>
        <w:tc>
          <w:tcPr>
            <w:tcW w:w="2166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数据</w:t>
            </w:r>
          </w:p>
        </w:tc>
        <w:tc>
          <w:tcPr>
            <w:tcW w:w="2527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来源</w:t>
            </w:r>
          </w:p>
        </w:tc>
        <w:tc>
          <w:tcPr>
            <w:tcW w:w="4332" w:type="dxa"/>
            <w:shd w:val="clear" w:color="auto" w:fill="1F3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刷新</w:t>
            </w:r>
          </w:p>
        </w:tc>
      </w:tr>
      <w:tr>
        <w:tc>
          <w:tcPr>
            <w:tcW w:w="2166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实时信号快照</w:t>
            </w:r>
          </w:p>
        </w:tc>
        <w:tc>
          <w:tcPr>
            <w:tcW w:w="252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GET /api/v1/hexp/signal/{symbol}（读 Redis hcm:live:hexp:{symbol}，TTL 15s）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轮询 3–5s</w:t>
            </w:r>
          </w:p>
        </w:tc>
      </w:tr>
      <w:tr>
        <w:tc>
          <w:tcPr>
            <w:tcW w:w="2166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阈值/配置参考</w:t>
            </w:r>
          </w:p>
        </w:tc>
        <w:tc>
          <w:tcPr>
            <w:tcW w:w="2527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GET /api/v1/hexp/config（配置中心）</w:t>
            </w:r>
          </w:p>
        </w:tc>
        <w:tc>
          <w:tcPr>
            <w:tcW w:w="4332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进入页面时 + 配置变更时</w:t>
            </w:r>
          </w:p>
        </w:tc>
      </w:tr>
      <w:tr>
        <w:tc>
          <w:tcPr>
            <w:tcW w:w="2166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信号日志</w:t>
            </w:r>
          </w:p>
        </w:tc>
        <w:tc>
          <w:tcPr>
            <w:tcW w:w="2527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方案A：引擎新增 capped list hcm:live:hexp:log:{symbol}；方案B：前端轮询环形缓冲（无后端改动）</w:t>
            </w:r>
          </w:p>
        </w:tc>
        <w:tc>
          <w:tcPr>
            <w:tcW w:w="4332" w:type="dxa"/>
            <w:shd w:val="clear" w:color="auto" w:fill="F2F5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00000"/>
              </w:rPr>
              <w:t xml:space="preserve">见 Q2</w:t>
            </w:r>
          </w:p>
        </w:tc>
      </w:tr>
    </w:tbl>
    <w:p>
      <w:pPr>
        <w:spacing w:before="0" w:after="80"/>
      </w:pPr>
      <w:r>
        <w:t xml:space="preserve">注：实时端点与配置端点均已存在，看板无需新增后端即可运行（方案B）。日志持久化（方案A）需少量后端改动，列为可选。</w:t>
      </w:r>
    </w:p>
    <w:p>
      <w:pPr>
        <w:pStyle w:val="Heading1"/>
        <w:spacing w:before="240" w:after="80"/>
      </w:pPr>
      <w:r>
        <w:t xml:space="preserve">7. 技术构建方案</w:t>
      </w:r>
    </w:p>
    <w:p>
      <w:pPr>
        <w:numPr>
          <w:ilvl w:val="0"/>
          <w:numId w:val="2"/>
        </w:numPr>
        <w:spacing w:after="40"/>
      </w:pPr>
      <w:r>
        <w:t xml:space="preserve">新增前端页面：frontend/src/pages/hexp/HexpDashboard.tsx。</w:t>
      </w:r>
    </w:p>
    <w:p>
      <w:pPr>
        <w:numPr>
          <w:ilvl w:val="0"/>
          <w:numId w:val="2"/>
        </w:numPr>
        <w:spacing w:after="40"/>
      </w:pPr>
      <w:r>
        <w:t xml:space="preserve">路由：新增 /hexp/dashboard（或并入信号塔「和乘幂」Tab 下，见 Q1）。</w:t>
      </w:r>
    </w:p>
    <w:p>
      <w:pPr>
        <w:numPr>
          <w:ilvl w:val="0"/>
          <w:numId w:val="2"/>
        </w:numPr>
        <w:spacing w:after="40"/>
      </w:pPr>
      <w:r>
        <w:t xml:space="preserve">数据流：封装 useHexpLive(symbol) 轮询 hook，统一注入各面板。</w:t>
      </w:r>
    </w:p>
    <w:p>
      <w:pPr>
        <w:numPr>
          <w:ilvl w:val="0"/>
          <w:numId w:val="2"/>
        </w:numPr>
        <w:spacing w:after="40"/>
      </w:pPr>
      <w:r>
        <w:t xml:space="preserve">图表：沿用现有前端图表组件；雷达图/仪表若无现成组件则用轻量 SVG 自绘（与栈一致，不引入重依赖）。</w:t>
      </w:r>
    </w:p>
    <w:p>
      <w:pPr>
        <w:numPr>
          <w:ilvl w:val="0"/>
          <w:numId w:val="2"/>
        </w:numPr>
        <w:spacing w:after="40"/>
      </w:pPr>
      <w:r>
        <w:t xml:space="preserve">后端：默认零改动；日志持久化（方案A）另议。</w:t>
      </w:r>
    </w:p>
    <w:p>
      <w:pPr>
        <w:pStyle w:val="Heading1"/>
        <w:spacing w:before="240" w:after="80"/>
      </w:pPr>
      <w:r>
        <w:t xml:space="preserve">8. 与现有页面 / 信号源的关系</w:t>
      </w:r>
    </w:p>
    <w:p>
      <w:pPr>
        <w:numPr>
          <w:ilvl w:val="0"/>
          <w:numId w:val="1"/>
        </w:numPr>
        <w:spacing w:after="40"/>
      </w:pPr>
      <w:r>
        <w:t xml:space="preserve">与「和乘幂配置页（HexpConfig）」并列：配置页管参数，看板管观测，二者同属信号塔和乘幂模块。</w:t>
      </w:r>
    </w:p>
    <w:p>
      <w:pPr>
        <w:numPr>
          <w:ilvl w:val="0"/>
          <w:numId w:val="1"/>
        </w:numPr>
        <w:spacing w:after="40"/>
      </w:pPr>
      <w:r>
        <w:t xml:space="preserve">与 co_source 关系：当前 active_model 互斥（手动/双源/和乘幂三选一）。看板只显示当前激活源（hexp）的数据；并行对比需另建 shadow（见 Q5）。</w:t>
      </w:r>
    </w:p>
    <w:p>
      <w:pPr>
        <w:numPr>
          <w:ilvl w:val="0"/>
          <w:numId w:val="1"/>
        </w:numPr>
        <w:spacing w:after="40"/>
      </w:pPr>
      <w:r>
        <w:t xml:space="preserve">不动 scheduler / hexp_engine 计算逻辑，纯前端可视化。</w:t>
      </w:r>
    </w:p>
    <w:p>
      <w:pPr>
        <w:pStyle w:val="Heading1"/>
        <w:spacing w:before="240" w:after="80"/>
      </w:pPr>
      <w:r>
        <w:t xml:space="preserve">9. 待确认问题（请审核）</w:t>
      </w:r>
    </w:p>
    <w:p>
      <w:pPr>
        <w:numPr>
          <w:ilvl w:val="0"/>
          <w:numId w:val="2"/>
        </w:numPr>
        <w:spacing w:after="40"/>
      </w:pPr>
      <w:r>
        <w:t xml:space="preserve">看板入口：独立页面 /hexp/dashboard，还是并入信号塔「和乘幂」Tab 下？</w:t>
      </w:r>
    </w:p>
    <w:p>
      <w:pPr>
        <w:numPr>
          <w:ilvl w:val="0"/>
          <w:numId w:val="2"/>
        </w:numPr>
        <w:spacing w:after="40"/>
      </w:pPr>
      <w:r>
        <w:t xml:space="preserve">信号日志：前端环形缓冲（v1，零后端改动）还是 后端落库持久化（方案A）？</w:t>
      </w:r>
    </w:p>
    <w:p>
      <w:pPr>
        <w:numPr>
          <w:ilvl w:val="0"/>
          <w:numId w:val="2"/>
        </w:numPr>
        <w:spacing w:after="40"/>
      </w:pPr>
      <w:r>
        <w:t xml:space="preserve">主题：深色交易终端（推荐）还是 跟随 hcm-web 现有浅色主题？</w:t>
      </w:r>
    </w:p>
    <w:p>
      <w:pPr>
        <w:numPr>
          <w:ilvl w:val="0"/>
          <w:numId w:val="2"/>
        </w:numPr>
        <w:spacing w:after="40"/>
      </w:pPr>
      <w:r>
        <w:t xml:space="preserve">入场模式（回踩A/突破B）：引擎当前未显式输出该字段，看板是否做「模式推断」展示，或后端补字段？</w:t>
      </w:r>
    </w:p>
    <w:p>
      <w:pPr>
        <w:numPr>
          <w:ilvl w:val="0"/>
          <w:numId w:val="2"/>
        </w:numPr>
        <w:spacing w:after="40"/>
      </w:pPr>
      <w:r>
        <w:t xml:space="preserve">是否需在看板叠加 co_source 实时对比（并行 shadow），为「和双源并行」提供观测基础？</w:t>
      </w:r>
    </w:p>
    <w:p>
      <w:pPr>
        <w:numPr>
          <w:ilvl w:val="0"/>
          <w:numId w:val="2"/>
        </w:numPr>
        <w:spacing w:after="40"/>
      </w:pPr>
      <w:r>
        <w:t xml:space="preserve">图表库：沿用现有前端组件，还是允许引入新图表库（如 Recharts）？</w:t>
      </w:r>
    </w:p>
    <w:p>
      <w:pPr>
        <w:spacing w:before="200" w:after="80"/>
      </w:pPr>
      <w:r>
        <w:rPr>
          <w:color w:val="888888"/>
          <w:sz w:val="20"/>
          <w:szCs w:val="20"/>
        </w:rPr>
        <w:t xml:space="preserve">— 方案待审核，审核通过后方可进入构建阶段 —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spacing w:before="240" w:after="120"/>
    </w:pPr>
    <w:rPr>
      <w:b/>
      <w:sz w:val="30"/>
      <w:szCs w:val="30"/>
      <w:color w:val="1F3864"/>
    </w:rPr>
  </w:style>
  <w:style w:type="paragraph" w:styleId="Heading2">
    <w:name w:val="heading 2"/>
    <w:basedOn w:val="Normal"/>
    <w:pPr>
      <w:spacing w:before="160" w:after="80"/>
    </w:pPr>
    <w:rPr>
      <w:b/>
      <w:sz w:val="25"/>
      <w:szCs w:val="25"/>
      <w:color w:val="2E549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