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FE3E2">
      <w:pPr>
        <w:spacing w:before="2400"/>
      </w:pPr>
    </w:p>
    <w:p w14:paraId="7E223C91">
      <w:pPr>
        <w:spacing w:after="120"/>
        <w:jc w:val="center"/>
      </w:pPr>
      <w:r>
        <w:rPr>
          <w:rFonts w:ascii="Arial" w:hAnsi="Arial" w:eastAsia="Arial" w:cs="Arial"/>
          <w:b/>
          <w:bCs/>
          <w:color w:val="1A5276"/>
          <w:sz w:val="52"/>
          <w:szCs w:val="52"/>
        </w:rPr>
        <w:t>和乘幂信号策略开发文档</w:t>
      </w:r>
    </w:p>
    <w:p w14:paraId="7DC104CD">
      <w:pPr>
        <w:spacing w:after="12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Harmonic Power-Mean Signal Strategy — M5 Quantitative Trading</w:t>
      </w:r>
    </w:p>
    <w:p w14:paraId="15D3FFBC">
      <w:pPr>
        <w:spacing w:after="360"/>
        <w:jc w:val="center"/>
      </w:pPr>
      <w:r>
        <w:rPr>
          <w:rFonts w:ascii="Arial" w:hAnsi="Arial" w:eastAsia="Arial" w:cs="Arial"/>
          <w:color w:val="B7950B"/>
          <w:sz w:val="22"/>
          <w:szCs w:val="22"/>
        </w:rPr>
        <w:t>主周期: M5  ·  核心算法: 和乘幂广义均值  ·  精确买卖点</w:t>
      </w:r>
    </w:p>
    <w:p w14:paraId="2DCFFF59">
      <w:pPr>
        <w:pBdr>
          <w:top w:val="single" w:color="1A5276" w:sz="2" w:space="8"/>
        </w:pBdr>
        <w:spacing w:before="120" w:after="200"/>
      </w:pPr>
    </w:p>
    <w:p w14:paraId="5BF71B03">
      <w:pPr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2026-08-08  |  标的: XAUUSD  |  纯分析设计文档</w:t>
      </w:r>
    </w:p>
    <w:p w14:paraId="6C007791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7C46AE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目  录</w:t>
      </w:r>
    </w:p>
    <w:sdt>
      <w:sdtPr>
        <w:alias w:val="Table of Contents"/>
        <w:id w:val="147460207"/>
      </w:sdtPr>
      <w:sdtContent>
        <w:p w14:paraId="03CDAB0C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BBC1E03">
          <w:r>
            <w:fldChar w:fldCharType="end"/>
          </w:r>
        </w:p>
      </w:sdtContent>
    </w:sdt>
    <w:p w14:paraId="3F7425E1">
      <w:r>
        <w:br w:type="page"/>
      </w:r>
    </w:p>
    <w:p w14:paraId="66F669D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第一章  设计哲学</w:t>
      </w:r>
    </w:p>
    <w:p w14:paraId="26A8E0E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1.1  为什么叫‘和乘幂’？</w:t>
      </w:r>
    </w:p>
    <w:p w14:paraId="169E16EA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‘和’指的是信号的加法融合（多周期、多因子的加权和）；‘乘幂’指的是信号的幂函数调整（通过幂指数 k 改变信号的凸性）。两者结合形成一个统一的数学框架：广义均值（Power Mean）。</w:t>
      </w:r>
    </w:p>
    <w:p w14:paraId="75DBBC96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这个框架的核心优势是：通过一个参数 k ，就可以在‘追求共识’和‘追随强者’之间无缝切换——不同的市场环境需要不同的融合策略，而不需要不同的代码逻辑。</w:t>
      </w:r>
    </w:p>
    <w:p w14:paraId="33560503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k = 1.0: 加权平均（平衡中性，给予所有因子相等语音）
k &gt; 1.0: 凸增强（强者更强，信号中的最强因子主导）
k → +∞: 取最大值（只信最强因子，其他忽略）
k &lt; 1.0: 凹收敛（要求共识，单个强因子被拑制）
k → 0: 取几何平均（严格共识，任一因子为零则总分为零）</w:t>
      </w:r>
    </w:p>
    <w:p w14:paraId="1DDABEB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1.2  为什么主周期是 M5？</w:t>
      </w:r>
    </w:p>
    <w:p w14:paraId="7E4296BD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量化交易的本质是高频采样 + 精确执行。M5 是黄金市场中‘时间精度’与‘噪声可控性’的最优平衡点：</w:t>
      </w:r>
    </w:p>
    <w:p w14:paraId="3F381C5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M1：噪声过高，点差吃掉盈余，适合计量微结构但不适合主执行</w:t>
      </w:r>
    </w:p>
    <w:p w14:paraId="3951295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M5：每 5 分钟一根，足够快捷捕捉趋势起点，又不至于被噪声淹没。一天 288 根，信号密度合理</w:t>
      </w:r>
    </w:p>
    <w:p w14:paraId="496BCAC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M15+：太慢，对于‘精确买卖点’目标而言精度不足</w:t>
      </w:r>
    </w:p>
    <w:p w14:paraId="1BAAF909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对应到整合方案的 5 周期体系：M5 是‘入场层’（文档原定为 M15，但量化交易主周期应为 M5），上层 H1/H4/D1 保持不变。M30 可选作为过渡层。</w:t>
      </w:r>
    </w:p>
    <w:p w14:paraId="5CDE668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1.3  与现有系统的关系</w:t>
      </w:r>
    </w:p>
    <w:p w14:paraId="371A1CAA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本策略是在〈信号系统整合策略方案〉基础上的进一步优化。主要变化：</w:t>
      </w:r>
    </w:p>
    <w:p w14:paraId="25C7DE3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主执行周期从 M15 调整为 M5（适配量化交易）</w:t>
      </w:r>
    </w:p>
    <w:p w14:paraId="4CC9446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新增一个信号源：微结构动量幂律信号（Microstructure Momentum Power-Law Signal）</w:t>
      </w:r>
    </w:p>
    <w:p w14:paraId="4EC4B3E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核心评分从‘加权和’升级为‘和乘幂广义均值’</w:t>
      </w:r>
    </w:p>
    <w:p w14:paraId="0A5A30A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保留整合方案的迟滞状态机、共振矩阵、6维评分卡、双模式入场、动态仓位</w:t>
      </w:r>
    </w:p>
    <w:p w14:paraId="245065DE">
      <w:r>
        <w:br w:type="page"/>
      </w:r>
    </w:p>
    <w:p w14:paraId="1CF3A52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第二章  和乘幂核心算法</w:t>
      </w:r>
    </w:p>
    <w:p w14:paraId="7D752E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2.1  广义均值评分公式</w:t>
      </w:r>
    </w:p>
    <w:p w14:paraId="04B00EDB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给定 N 个因子的方向性评分 f_i ∈ [-1, +1]，每个因子的权重 w_i ≥ 0，满足 Σw_i = 1，以及幂指数 k &gt; 0：</w:t>
      </w:r>
    </w:p>
    <w:p w14:paraId="19339879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和乘幂评分（Harmonic Power-Mean Score, HP-Score）:
  HP-Score = (Σ_i w_i × |f_i|^k)^(1/k) × sign(Σ_i w_i × f_i)
其中:
  Σ_i w_i × |f_i|^k → 幂加权和（强度）
  (…)^(1/k) → 幂开方（归一化）
  sign(Σ_i w_i × f_i) → 加权和的符号（方向）</w:t>
      </w:r>
    </w:p>
    <w:p w14:paraId="64E04BBF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方向和强度分离：方向由简单加权和决定（‘和’），强度由幂加权和再开方决定（‘乘幂’）。这两者独立，互不干扰。</w:t>
      </w:r>
    </w:p>
    <w:p w14:paraId="6EA9894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2.2  幂指数 k 的自适应机制</w:t>
      </w:r>
    </w:p>
    <w:p w14:paraId="1853DC7B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这是‘和乘幂’的灵魂——幂指数 k 不是固定的，而是根据市场状态动态调整：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28C03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B4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市场状态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4A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 值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70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行为特征</w:t>
            </w:r>
          </w:p>
        </w:tc>
      </w:tr>
      <w:tr w14:paraId="4D5A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426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强趋势 (TREND)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1C3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k = 1.8 ~ 2.5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5A8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凸增强，最强因子主导，跟随趋势不犹豫</w:t>
            </w:r>
          </w:p>
        </w:tc>
      </w:tr>
      <w:tr w14:paraId="1B73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00D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震荡 (RANGE)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210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k = 0.5 ~ 0.8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B9F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凹收敛，要求多因子共识，拑制单一因子假突破</w:t>
            </w:r>
          </w:p>
        </w:tc>
      </w:tr>
      <w:tr w14:paraId="19DEC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48AC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转换 (TRANSITION)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1306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k = 1.0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7FF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平衡中性，不偏向任何单一因子</w:t>
            </w:r>
          </w:p>
        </w:tc>
      </w:tr>
      <w:tr w14:paraId="0432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E4B0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趋势衰竭 (TREND_FADE)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941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k = 2.0 ~ 3.0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486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强凸增强，只信号最强因子（动量衰竭时唯一保留的信号）</w:t>
            </w:r>
          </w:p>
        </w:tc>
      </w:tr>
    </w:tbl>
    <w:p w14:paraId="19AE8DAE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k 的动态调整公式:
  k = k_base × (1 + α × (ADX_norm - 0.5) + β × (BBW_pct - 50)/100)
其中:
  k_base = 1.5 (中性基准)
  ADX_norm = ADX/50 ∈ [0,1] (趋势强度归一化)
  BBW_pct = 布林带宽分位数 ∈ [0,100]
  α = 0.8 (ADX影响权重) | β = 0.4 (BBW影响权重)
  结果范围: k ∈ [0.5, 3.0]
逻辑: 趋势强(高ADX)+波动扩张(高BBW) → k↑→凸增强
      趋势弱(低ADX)+波动收缩(低BBW) → k↓→凹收敛</w:t>
      </w:r>
    </w:p>
    <w:p w14:paraId="7615D1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2.3  为什么这样设计能提升胜率？</w:t>
      </w:r>
    </w:p>
    <w:p w14:paraId="76B398B6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传统加权和的核心缺陷是：一个很强的信号可以被几个弱信号拉平。例如，强趋势中 ADX很高但 RSI 超买，加权和会被 RSI 拉低，导致错过趋势。</w:t>
      </w:r>
    </w:p>
    <w:p w14:paraId="15C45370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和乘幂解决了这个问题：在强趋势中 k&gt;1 使强因子（ADX/ER）的影响力指数级增大，而弱因子（RSI超买）的影响被友制。这意味着‘趋势中不会被超买超卖喊停’——这是 co_source 中 RSI过热拑制（×0.3/0.5）的更优解。</w:t>
      </w:r>
    </w:p>
    <w:p w14:paraId="64EFDBB4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反过来，在震荡市中 k&lt;1 使任何单个强因子的假突破被拑制，只有多个因子共识时才产生高分——这是 co_source 中 RANGE闸门的更优解。</w:t>
      </w:r>
    </w:p>
    <w:p w14:paraId="1F13AA72">
      <w:r>
        <w:br w:type="page"/>
      </w:r>
    </w:p>
    <w:p w14:paraId="2AB0A0B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第三章  系统架构</w:t>
      </w:r>
    </w:p>
    <w:p w14:paraId="1595E58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3.1  整体架构</w:t>
      </w:r>
    </w:p>
    <w:p w14:paraId="3EC981A5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系统分为 7 层，每层有明确的职责边界。M5 主周期是信号生产的‘心脏’，上层周期提供方向约束，新信号源提供预警增强。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2700"/>
        <w:gridCol w:w="5554"/>
      </w:tblGrid>
      <w:tr w14:paraId="7100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32D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F7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4F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核心计算</w:t>
            </w:r>
          </w:p>
        </w:tc>
      </w:tr>
      <w:tr w14:paraId="4CAC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023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L0 状态层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F48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5周期独立迟滞状态机（M5/H1/H4/D1/M30可选）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CF5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进入 60 / 退出 40 / 确认根数 confirm_bars</w:t>
            </w:r>
          </w:p>
        </w:tc>
      </w:tr>
      <w:tr w14:paraId="79808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1F6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L1 因子层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F11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6核心因子 + 3辅助因子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9F7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ADX(14)/ER(20)/EMA(20,50,100)/BBW(20,2)/Hurst(32)/RSI(14)</w:t>
            </w:r>
          </w:p>
        </w:tc>
      </w:tr>
      <w:tr w14:paraId="2DC7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A68CE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L2 评分层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2D5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和乘幂评分 HP-Score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8FD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(Σw_i×|f_i|^k)^(1/k)×sign(Σw_i×f_i)</w:t>
            </w:r>
          </w:p>
        </w:tc>
      </w:tr>
      <w:tr w14:paraId="68E0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1BC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L3 共振层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AC8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多周期共振矩阵 + 新信号源融合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E33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D1×0.25+H4×0.35+H1×0.25 + 微结构动量幂律</w:t>
            </w:r>
          </w:p>
        </w:tc>
      </w:tr>
      <w:tr w14:paraId="50B0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399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L4 门控层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671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自适应门槛 + 信号质量门 + 风控门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FF0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TrendScore迟滞 + F1/F3 + 点差/熔断/时段</w:t>
            </w:r>
          </w:p>
        </w:tc>
      </w:tr>
      <w:tr w14:paraId="0410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32C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L5 执行层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BC0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双模式入场 + 动态仓位 + 跟踪止损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AF0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回踩/突破 + 1%风险模型 + 吊灯/时间止损</w:t>
            </w:r>
          </w:p>
        </w:tc>
      </w:tr>
      <w:tr w14:paraId="2436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BEAF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L6 AI层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0EE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LightGBM 信号过滤（预留接口）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A0B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p&lt;0.50过滤 | p≥0.70升级</w:t>
            </w:r>
          </w:p>
        </w:tc>
      </w:tr>
    </w:tbl>
    <w:p w14:paraId="3DB9F48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3.2  周期架构（M5 主导）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1939"/>
        <w:gridCol w:w="1940"/>
        <w:gridCol w:w="1940"/>
        <w:gridCol w:w="1959"/>
      </w:tblGrid>
      <w:tr w14:paraId="02E9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34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DF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D1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38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H4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A0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H1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8ED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M5</w:t>
            </w:r>
          </w:p>
        </w:tc>
      </w:tr>
      <w:tr w14:paraId="19E2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6CAC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角色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140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宏观层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4B5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方向层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F6A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执行层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6F9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入场层</w:t>
            </w:r>
          </w:p>
        </w:tc>
      </w:tr>
      <w:tr w14:paraId="1F39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FC05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状态机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7B3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迟滞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5A8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迟滞（主状态）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06A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迟滞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4B0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轻量版（无迟滞，只看方向）</w:t>
            </w:r>
          </w:p>
        </w:tc>
      </w:tr>
      <w:tr w14:paraId="0F8EA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454C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权重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913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0.25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AA4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0.35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46D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0.25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976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不参与共振</w:t>
            </w:r>
          </w:p>
        </w:tc>
      </w:tr>
      <w:tr w14:paraId="62FC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F510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作用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8C3B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禁止逆势重仓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C1A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主趋势判定、关键支撑阻力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D3F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状态确认、趋势开启/结束识别</w:t>
            </w:r>
          </w:p>
        </w:tc>
        <w:tc>
          <w:tcPr>
            <w:tcW w:w="19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102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精确入场点、止损放置、震荡策略主执行</w:t>
            </w:r>
          </w:p>
        </w:tc>
      </w:tr>
    </w:tbl>
    <w:p w14:paraId="7C67399D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铁律（沿用文档）：下周期信号必须服从上周期状态。H4 多头趋势中，M5 的做空信号只允许是震荡回调的减仓/对冲信号，不可开趋势空单。</w:t>
      </w:r>
    </w:p>
    <w:p w14:paraId="2137CBFB">
      <w:r>
        <w:br w:type="page"/>
      </w:r>
    </w:p>
    <w:p w14:paraId="07EA82C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第四章  因子层设计</w:t>
      </w:r>
    </w:p>
    <w:p w14:paraId="1930942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4.1  6 核心因子（方向性）</w:t>
      </w:r>
    </w:p>
    <w:p w14:paraId="1DC5267A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每个因子输出方向性评分 f ∈ [-1, +1]，正为多头，负为空头，绝对值表示强度：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1"/>
        <w:gridCol w:w="4040"/>
        <w:gridCol w:w="1769"/>
        <w:gridCol w:w="1750"/>
      </w:tblGrid>
      <w:tr w14:paraId="4A83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58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因子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89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计算公式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EE96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E8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权重基准</w:t>
            </w:r>
          </w:p>
        </w:tc>
      </w:tr>
      <w:tr w14:paraId="66D7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DD8F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ADX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E1C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+DI&gt;-DI→f=+adx_norm；反之 f=-adx_norm
adx_norm=clamp((ADX-15)/(35-15)*100,0,100)/100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0AB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[-1,+1]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394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0.25</w:t>
            </w:r>
          </w:p>
        </w:tc>
      </w:tr>
      <w:tr w14:paraId="62BA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D15A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C71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ER(20)=|C-C20|/Σ|ΔC|
er_norm=clamp((ER-0.10)/(0.40-0.10)*100,0,100)/100
方向由价格变化方向决定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7FF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[-1,+1]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4E5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0.25</w:t>
            </w:r>
          </w:p>
        </w:tc>
      </w:tr>
      <w:tr w14:paraId="6336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1CCE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9CD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EMA20&gt;50&gt;100→多头(+50)
EMA20&lt;50&lt;100→空头(-50)
EMA20回归斜率±40
f_ma=clamp(50+alignment+slope,0,100)/100-1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645F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[-1,+1]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531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0.20</w:t>
            </w:r>
          </w:p>
        </w:tc>
      </w:tr>
      <w:tr w14:paraId="7DCF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99F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BBW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CCC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BBW_pct=当前布林带宽在过去120根中的分位数
bbw_norm=BBW_pct/100
方向由价格突破方向决定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A54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[-1,+1]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521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0.15</w:t>
            </w:r>
          </w:p>
        </w:tc>
      </w:tr>
      <w:tr w14:paraId="7A83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54D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Hurst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CA9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R/S法: τ∈{2,4,8,16,32}，log(Var)~log(τ)斜率≈2H
hurst_norm=clamp((H-0.40)/(0.60-0.40)*100,0,100)/100
H&gt;0.5→趋势持续(+)，H&lt;0.5→均值回归(-)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C17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[-1,+1]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1A3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0.10</w:t>
            </w:r>
          </w:p>
        </w:tc>
      </w:tr>
      <w:tr w14:paraId="40B9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704B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RSI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C4E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RSI(14)，趋势模式: RSI&lt;30→1.0, RSI&gt;70→-1.0
震荡模式: RSI&lt;25→1.0, RSI&gt;75→-1.0
用于超买超卖辅助检验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458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[-1,+1]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EFC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0.05</w:t>
            </w:r>
          </w:p>
        </w:tc>
      </w:tr>
    </w:tbl>
    <w:p w14:paraId="0044F88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4.2  体制感知权重方案</w:t>
      </w:r>
    </w:p>
    <w:p w14:paraId="45AD22D2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不同市场状态下，各因子的权重不同。这是 co_source 的核心优势，保留并优化：</w:t>
      </w:r>
    </w:p>
    <w:p w14:paraId="1C1492F0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TREND体制(趋势市): ADX:0.30 ER:0.25 MA:0.22 BBW:0.13 Hurst:0.10
RANGE体制(震荡市): ADX:0.10 ER:0.15 MA:0.10 BBW:0.30 Hurst:0.15 RSI:0.20
TRANSITION体制(转换中): 所有权重平均化，k=1.0
TREND_FADE体制(趋势衰竭): ADX:0.35 ER:0.20 MA:0.20 BBW:0.10 Hurst:0.15
连续混合(沿用 co_source): 沿 ADX/BBW 双维度平滑过渡，消除权重切换跳变</w:t>
      </w:r>
    </w:p>
    <w:p w14:paraId="231ACF0A">
      <w:r>
        <w:br w:type="page"/>
      </w:r>
    </w:p>
    <w:p w14:paraId="1ACEA7D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第五章  新信号源：微结构动量幂律信号</w:t>
      </w:r>
    </w:p>
    <w:p w14:paraId="6554040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5.1  为什么需要新信号源？</w:t>
      </w:r>
    </w:p>
    <w:p w14:paraId="650C3482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现有系统（co_source + 文档设计）的信号都是基于 K线收盘确认的，存在‘延迟确认’问题：等 K线收盘时，最优价格已经过去。量化交易需要更快的预警信号。</w:t>
      </w:r>
    </w:p>
    <w:p w14:paraId="00A6FBE8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微结构动量幂律信号利用 M1 或更细粒度的数据，通过价格加速度和动量的幂律衰减来提前捕捉趋势变化。这不是替代现有信号，而是作为‘前置预警’与‘入场时机确认’的增强器。</w:t>
      </w:r>
    </w:p>
    <w:p w14:paraId="48EF995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5.2  核心原理</w:t>
      </w:r>
    </w:p>
    <w:p w14:paraId="6A8354C8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幂律衰减（Power-Law Decay）是金融市场的基本统计规律：最近的价格变动对当前状态的影响远大于历史价格，且影响力按时间的幂函数衰减。传统的移动平均线性均衡对待所有时间点，而幂律加权能更准确地反映市场的‘记忆’。</w:t>
      </w:r>
    </w:p>
    <w:p w14:paraId="7BDBCA4F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幂律动量加权公式:
  微结构动量 MM(t) = Σ_{i=0}^{N-1} w_i × r(t-i)
  其中:
    r(t-i) = log(P(t-i)/P(t-i-1))  → 对数收益
    w_i = (i+1)^(-α)  → 幂律权重，α控制衰减速度
    α = 0.5 (默认) → 较慢衰减，更平滑
    α = 1.0 → 中等衰减，平衡
    α = 2.0 → 快速衰减，敏捷
    N = 20 (回看窗口，M1 为单位)</w:t>
      </w:r>
    </w:p>
    <w:p w14:paraId="6453745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5.3  三个信号类型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41E2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E7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信号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44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0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318E4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52D6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动量加速信号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387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MM 连续 3 根 M1 单调增大且超过阈值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122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趋势开启的前置预警，比 ADX 快 2-5 根 M5 K线</w:t>
            </w:r>
          </w:p>
        </w:tc>
      </w:tr>
      <w:tr w14:paraId="0056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110F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动量衰竭信号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C4D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MM 从高位快速下降超过阈值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8C0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趋势结束的前置预警，触发减仓提示</w:t>
            </w:r>
          </w:p>
        </w:tc>
      </w:tr>
      <w:tr w14:paraId="1361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264A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动量反转信号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CCD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MM 从负转正（或反之）且跨过零轴速度超过阈值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C10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M5 级别的精确入场时机确认</w:t>
            </w:r>
          </w:p>
        </w:tc>
      </w:tr>
    </w:tbl>
    <w:p w14:paraId="13E388F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5.4  与和乘幂的融合</w:t>
      </w:r>
    </w:p>
    <w:p w14:paraId="686A1BAE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微结构动量信号不直接下单，而是作为和乘幂评分的一个特殊因子参与计算，但权重与其他因子不同——它是‘时机优化器’：</w:t>
      </w:r>
    </w:p>
    <w:p w14:paraId="62CCCC45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微结构动量作为第 7 因子:
  f_mm = MM(t) / |MM_max| ∈ [-1, +1]
  权重: 0.15 (趋势市中主导时机)，0.10 (震荡市中辅助确认)
  特殊规则: 当 |f_mm| &gt; 0.7 且其他因子中有一个也超过 0.5 时
    → 触发‘共振加速’，将总评分的 k 值临时提升 +0.3
    → 这意味着微结构动量和宏观因子共振时，信号更凸</w:t>
      </w:r>
    </w:p>
    <w:p w14:paraId="7A908A60">
      <w:r>
        <w:br w:type="page"/>
      </w:r>
    </w:p>
    <w:p w14:paraId="51801F1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第六章  信号合成与评分</w:t>
      </w:r>
    </w:p>
    <w:p w14:paraId="7D8AEC5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6.1  和乘幂合成算法完整流程</w:t>
      </w:r>
    </w:p>
    <w:p w14:paraId="1D222FB7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输入: 7个因子的方向性评分 f = [f_adx, f_er, f_ma, f_bbw, f_hurst, f_rsi, f_mm]
步骤 1: 加权和方向裁定
  dir_sum = Σ w_i × f_i
  若 |dir_sum| &lt; 0.01 且 max(|f_i|) &lt; 0.20 → NO_TRADE (信号太弱)
  若 dir_sum &gt; 0 → 方向 = BUY
  若 dir_sum &lt; 0 → 方向 = SELL
步骤 2: 幂加权和强度计算
  每个因子取绝对值 |f_i|
  加权幂和 = Σ w_i × |f_i|^k
  HP-Score_strength = (加权幂和)^(1/k) ∈ [0, 1]
步骤 3: 合成最终评分
  HP-Score = HP-Score_strength × sign(dir_sum)
  转换为百分制: hp_100 = HP-Score_strength × 100
步骤 4: 体制感知权重调整
  根据当前体制(TREND/RANGE/TRANSITION/FADE)选择 w_i 和 k
步骤 5: 多周期共振校准
  verdict = D1×0.25 + H4×0.35 + H1×0.25
  若 verdict 与 hp 方向矛盾且强度高 → 警告
  若 verdict 与 hp 方向一致 → hp × (1 + |verdict| × 0.1) → 共振加成
步骤 6: 微结构动量共振加速
  若 |f_mm| &gt; 0.7 且 max(|f_others|) &gt; 0.5 → k += 0.3, 重算 hp</w:t>
      </w:r>
    </w:p>
    <w:p w14:paraId="31C2D80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6.2  与评分卡的结合</w:t>
      </w:r>
    </w:p>
    <w:p w14:paraId="2A77172F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HP-Score 是‘趋势强度评分’，告诉你市场有没有在趋势中。但是否应该下单，还需要第二个维度：评分卡。</w:t>
      </w:r>
    </w:p>
    <w:p w14:paraId="3A777529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信号等级判定:
  评分卡总分 = 25×共振分 + 20×状态分 + 20×入场分 + 15×位置分 + 10×波动分 + 10×时段分
  其中共振分 = |verdict| × 100 (多周期一致度)
  状态分 = hp_100 (和乘幂强度)
  入场分 = 根据当前的入场技术条件评分(是否在回踩位/K线形态/RSI状态)
  位置分 = 距支撑阻力距离评分
  波动分 = ATR分位评分(30-70最佳)
  时段分 = 伦敦/纽约重叠盘=10, 亚盘=5, 数据前=0
  等级划分:
  评分卡总分 ≥ 75 且 hp_100 ≥ 60 → S级
  总分 ≥ 75 或 (hp_100 ≥ 60 且 总分 ≥ 60) → A级
  总分 ≥ 60 → B级
  总分 ≥ 45 → C级
  总分 &lt; 45 或 hp_100 &lt; 30 → 红灯(禁止开仓)</w:t>
      </w:r>
    </w:p>
    <w:p w14:paraId="679702A3">
      <w:r>
        <w:br w:type="page"/>
      </w:r>
    </w:p>
    <w:p w14:paraId="1F138C9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第七章  状态机与多周期共振</w:t>
      </w:r>
    </w:p>
    <w:p w14:paraId="0F59247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7.1  迟滞状态机（M5 主导）</w:t>
      </w:r>
    </w:p>
    <w:p w14:paraId="5C313F07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与整合方案不同的是，M5 现在是主执行周期，所以 M5 也需要自己的状态机——但是轻量版，不带迟滞，只判方向：</w:t>
      </w:r>
    </w:p>
    <w:p w14:paraId="44130F5D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M5 轻量状态(只判方向，不防抖):
  仅用 MA排列 + DI方向判断:
    EMA20&gt;EMA50 且 +DI&gt;-DI → BULLISH
    EMA20&lt;EMA50 且 +DI&lt;-DI → BEARISH
    其他 → NEUTRAL
H1 迟滞状态(主状态):
  进入趋势: TrendScore≥60 + 确认 confirm_bars + 突破事件 + ADX≥22
  退出趋势: TrendScore&lt;40 或 ADX&lt;20且连降 或 结构破坏
  转换中: 不满足进入也不满足退出
H4 迟滞状态(方向层):
  同上，但用更宽的进入阈值 65(更保守)
D1 轻量状态(宏观层):
  仅判方向，不防抖</w:t>
      </w:r>
    </w:p>
    <w:p w14:paraId="2F77100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7.2  多周期共振规则（M5 为主）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19B6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CF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周期组合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44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策略权限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9E6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仓位</w:t>
            </w:r>
          </w:p>
        </w:tc>
      </w:tr>
      <w:tr w14:paraId="147D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F9C20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H4趋势 + H1趋势 + M5同向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CA4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趋势策略全开，可用突破入场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5E8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满仓计划</w:t>
            </w:r>
          </w:p>
        </w:tc>
      </w:tr>
      <w:tr w14:paraId="34CB0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76F3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H4趋势 + H1趋势 + M5震荡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0E2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等待 M5 回踩确认再入场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DE7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标准仓位</w:t>
            </w:r>
          </w:p>
        </w:tc>
      </w:tr>
      <w:tr w14:paraId="3F3B0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DD5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H4趋势 + H1震荡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4D9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只许顺势回踩入场(不突破追单)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AAF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半仓试单</w:t>
            </w:r>
          </w:p>
        </w:tc>
      </w:tr>
      <w:tr w14:paraId="5C74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0C7B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H4震荡 + H1震荡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007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震荡策略全开(均值回归)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264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标准仓位</w:t>
            </w:r>
          </w:p>
        </w:tc>
      </w:tr>
      <w:tr w14:paraId="1455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EFE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H4震荡 + H1趋势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F1B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B级试单(可能是突破起点)，禁止加仓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907B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半仓</w:t>
            </w:r>
          </w:p>
        </w:tc>
      </w:tr>
      <w:tr w14:paraId="0BA61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B4A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任一周期 TRANSITION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469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降一级仓位，禁止加仓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A51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半仓/观望</w:t>
            </w:r>
          </w:p>
        </w:tc>
      </w:tr>
      <w:tr w14:paraId="39FF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D39E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D1逆向且 H4/H1 非趋势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B8E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禁止趋势单，只允许震荡策略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D3C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半仓</w:t>
            </w:r>
          </w:p>
        </w:tc>
      </w:tr>
    </w:tbl>
    <w:p w14:paraId="13BA7979">
      <w:r>
        <w:br w:type="page"/>
      </w:r>
    </w:p>
    <w:p w14:paraId="7278CCA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第八章  执行层（M5 精确买卖点）</w:t>
      </w:r>
    </w:p>
    <w:p w14:paraId="1FCD246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8.1  趋势入场模式（双模式）</w:t>
      </w:r>
    </w:p>
    <w:p w14:paraId="6562364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8.1.1  模式 A：回踩入场（主模式，占70%）</w:t>
      </w:r>
    </w:p>
    <w:p w14:paraId="27C73600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前提: H4趋势确认，H1趋势确认，当前处于趋势回调中
触发条件(M5，全部满足):
  ① 价格回踩至 EMA20(H1) ± 0.3×ATR(H1)区域
      或回踩至最近上涨的 0.382-0.5 斐波那契区
  ② M5 出现反转确认K线:锤子线/看涨吞没/早晨之星
      且该K线收盘回到 EMA20 上方
  ③ M5 RSI(14) 从 &lt;40 区域拐头向上
  ④ 回踩K线平均振幅 &lt; 推进K线平均振幅 × 0.8
      (回调无力 = 趋势健康)
  ⑤ 微结构动量 MM 从负转正或加速增长
入场: 确认K线收盘价
止损: 回踩低点下方 1.0×ATR(H1) 或 0.618回撤位下方，取更紧者
止盈: TP1=前高(50%) + TP2=1.618扩展位 + TP3吊灯跟踪</w:t>
      </w:r>
    </w:p>
    <w:p w14:paraId="217E08A6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8.1.2  模式 B：突破入场（敏捷模式，占30%）</w:t>
      </w:r>
    </w:p>
    <w:p w14:paraId="54B8827B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触发条件(H1确认 + M5精确触发):
  ① BreakoutQ ≥ 70 (H1级别突破质量分)
  ② M5 收盘突破 Donchian(20)上轨
  ③ M5 突破根实体/全根振幅 &gt; 0.6 (拒绝长上影假突破)
  ④ M5 突破根振幅 &gt; 1.3×ATR(M5)
  ⑤ M5 突破根内无 &gt; 0.5×ATR 的反向回撤
  ⑥ 微结构动量 MM 加速上升
入场分批:
  第一批 50%: 突破根市价入场
  第二批 50%: 等回踩到突破位+0.2×ATR限价补入
Q&lt;70时不追，挂回踩单：Q&lt;40时判假突破，放弃</w:t>
      </w:r>
    </w:p>
    <w:p w14:paraId="69498C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8.2  震荡策略（M5 主执行）</w:t>
      </w:r>
    </w:p>
    <w:p w14:paraId="346898E9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前提: RANGE状态确认，区间[S,R]有效，区间高度∈[2×ATR,6×ATR]
做多(区间下沿):
  触发(M5):
  ① 价格触及布林下轨 或 S+0.3×ATR 缓冲带
  ② RSI(14,M5) &lt; 30
  ③ 反转K线(锤子/吞没)，收盘回到缓冲带内
  ④ 微结构动量 MM 从负转正
  ⑤ 当前无 2 小时内红色事件
入场分批: 触带40% + 反转确认 60%
止损: S 下方 1.2×ATR(M5)
止盈: TP1=MA20中轨(50%) + TP2=R-0.3×ATR(50%)
要求 R:R ≥ 1.5</w:t>
      </w:r>
    </w:p>
    <w:p w14:paraId="58C1575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8.3  动态仓位与加仓</w:t>
      </w:r>
    </w:p>
    <w:p w14:paraId="09D226AF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单笔风险 = 账户净值 × 1% (S级 1.5%)
仓位手数 = 单笔风险/(SL距离×合约价值)
波动调整: ATR分位&gt;80%时仓位×0.5
微结构调整: |f_mm|&gt;0.8 且动量加速时仓位×1.2
金字塔加仓(仅 S/A级 + 浮盈):
  +1R后 M5回踩确认→加 50%初始仓
  +2R后再回踩确认→加 25%
  每次加仓后全部止损上移至最近 swing low下方0.5×ATR
  总仓位风险敞口≤ 账户 2%</w:t>
      </w:r>
    </w:p>
    <w:p w14:paraId="0D5C88F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8.4  出场体系</w:t>
      </w:r>
    </w:p>
    <w:p w14:paraId="72DD628D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优先级(先到先执行):
① 硬止损: 入场价 - 1×ATR(H1) (永不后移)
② 吊灯跟踪: 浮盈&gt;1.5R后 Chandelier=最高收盘-3×ATR(H1)
③ 衰竭信号(ADX见顶回落+DI收敛+RSI背离): 止盈 50%
④ 结构破坏(swing low破位或收盘程0.618斐波): 全部离场
⑤ V型反转(单根反向振幅&gt;2.5×ATR且收反向三分之一区): 市价离场
⑥ 时间止损: 入场 20根 H1 后浮盈&lt;0.5R → 离场
⑦ 微结构衰竭: MM从高位快速下降超过阈值 → 止盈 50%</w:t>
      </w:r>
    </w:p>
    <w:p w14:paraId="0DF76B49">
      <w:r>
        <w:br w:type="page"/>
      </w:r>
    </w:p>
    <w:p w14:paraId="06CFD19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第九章  门控层</w:t>
      </w:r>
    </w:p>
    <w:p w14:paraId="12CCCD7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9.1  三类门控结构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6362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81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门控类别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15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0F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设计理念</w:t>
            </w:r>
          </w:p>
        </w:tc>
      </w:tr>
      <w:tr w14:paraId="0C8A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A24B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信号质量门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A0C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F1 MACD背离×0.20、F3事件窗口×0.25、点差&gt;0.35美元不交易、V型反转市价离场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5BD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信号等级低于门槛时直接拒绝，而非降分后再判断</w:t>
            </w:r>
          </w:p>
        </w:tc>
      </w:tr>
      <w:tr w14:paraId="7918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BC56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自适应门槛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1B5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TrendScore进入/退出阈值（60/40），with_trend豁免降至 30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FE8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迟滞设计确保状态稳定，避免边界抖动</w:t>
            </w:r>
          </w:p>
        </w:tc>
      </w:tr>
      <w:tr w14:paraId="0F22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830A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风控门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92C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日亏&gt;3%熔断、周亏&gt;6%停机、连续5笔止损强制冷却24h、点差&gt;0.35不交易、亚盘仓位减半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A2CF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保护资金安全是第一优先级</w:t>
            </w:r>
          </w:p>
        </w:tc>
      </w:tr>
    </w:tbl>
    <w:p w14:paraId="1A6CDDE2">
      <w:r>
        <w:br w:type="page"/>
      </w:r>
    </w:p>
    <w:p w14:paraId="4647F032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第十章  AI 辅助层</w:t>
      </w:r>
    </w:p>
    <w:p w14:paraId="0CE519F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10.1  LightGBM 信号质量评分器</w:t>
      </w:r>
    </w:p>
    <w:p w14:paraId="22988068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预留接口，待历史信号数据充分后接入。不直接产生信号，只做质量过滤：</w:t>
      </w:r>
    </w:p>
    <w:p w14:paraId="771E980A">
      <w:pPr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rFonts w:ascii="Consolas" w:hAnsi="Consolas" w:eastAsia="Consolas" w:cs="Consolas"/>
          <w:color w:val="6C3483"/>
          <w:sz w:val="17"/>
          <w:szCs w:val="17"/>
        </w:rPr>
        <w:t>标签: 入场后 12根 M5内先触+1.5R=1，先触-1R=0
特征(~25个):
  - 和乘幂全部原始值: hp_score, hp_strength, dir_sum, k
  - 全部因子原始值: adx, +di, -di, er, bbw, bbw_pct, hurst, rsi, mm
  - 多周期: H1/H4/D1的 TrendScore与方向
  - 入场微观: 距EMA20距离(ATR)、确认K线实体占比、回踩深度
  - 环境: 时段 one-hot、ATR分位、点差、距下一红色事件分钟数
使用方式:
  p &lt; 0.50 → 过滤信号(不下单)
  p ∈ [0.50,0.60) → 降一级(C→红灯, B→C)
  p ∈ [0.60,0.70) → 保持原级
  p ≥ 0.70 → 升一级(B→A, A→S)
纪律红线: AI永远只有否决权和降级/升级权，没有独立开仓权</w:t>
      </w:r>
      <w:r>
        <w:rPr>
          <w:rFonts w:hint="eastAsia" w:ascii="Consolas" w:hAnsi="Consolas" w:eastAsia="宋体" w:cs="Consolas"/>
          <w:color w:val="6C3483"/>
          <w:sz w:val="17"/>
          <w:szCs w:val="17"/>
          <w:lang w:eastAsia="zh-CN"/>
        </w:rPr>
        <w:t>。</w:t>
      </w:r>
    </w:p>
    <w:p w14:paraId="07749E84">
      <w:pPr>
        <w:numPr>
          <w:ilvl w:val="0"/>
          <w:numId w:val="2"/>
        </w:numPr>
        <w:rPr>
          <w:rFonts w:hint="eastAsia" w:ascii="Consolas" w:hAnsi="Consolas" w:eastAsia="Consolas" w:cs="Consolas"/>
          <w:color w:val="6C3483"/>
          <w:sz w:val="17"/>
          <w:szCs w:val="17"/>
        </w:rPr>
      </w:pPr>
      <w:r>
        <w:rPr>
          <w:rFonts w:hint="eastAsia" w:ascii="Consolas" w:hAnsi="Consolas" w:eastAsia="Consolas" w:cs="Consolas"/>
          <w:color w:val="6C3483"/>
          <w:sz w:val="17"/>
          <w:szCs w:val="17"/>
        </w:rPr>
        <w:t>DeepSeek仅作为后台异步刷新数据源，不是实时决策依赖</w:t>
      </w:r>
      <w:r>
        <w:rPr>
          <w:rFonts w:hint="eastAsia" w:ascii="Consolas" w:hAnsi="Consolas" w:eastAsia="Consolas" w:cs="Consolas"/>
          <w:color w:val="6C3483"/>
          <w:sz w:val="17"/>
          <w:szCs w:val="17"/>
          <w:lang w:eastAsia="zh-CN"/>
        </w:rPr>
        <w:t>、</w:t>
      </w:r>
      <w:r>
        <w:rPr>
          <w:rFonts w:hint="eastAsia" w:ascii="Consolas" w:hAnsi="Consolas" w:eastAsia="Consolas" w:cs="Consolas"/>
          <w:color w:val="6C3483"/>
          <w:sz w:val="17"/>
          <w:szCs w:val="17"/>
        </w:rPr>
        <w:t>DeepSeek调用失败、超时、限流，系统自动降级，纯和乘幂运行。</w:t>
      </w:r>
    </w:p>
    <w:p w14:paraId="76803D1E">
      <w:pPr>
        <w:numPr>
          <w:ilvl w:val="0"/>
          <w:numId w:val="0"/>
        </w:numPr>
        <w:rPr>
          <w:rFonts w:ascii="Consolas" w:hAnsi="Consolas" w:eastAsia="Consolas" w:cs="Consolas"/>
          <w:color w:val="6C3483"/>
          <w:sz w:val="17"/>
          <w:szCs w:val="17"/>
        </w:rPr>
      </w:pPr>
    </w:p>
    <w:p w14:paraId="7798DBBC">
      <w:pPr>
        <w:rPr>
          <w:rFonts w:ascii="Arial" w:hAnsi="Arial" w:eastAsia="等线" w:cs="Arial"/>
          <w:b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 固定输入特征</w:t>
      </w:r>
    </w:p>
    <w:p w14:paraId="1F696510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hp_value、hp_abs、方向、k 值、行情模式</w:t>
      </w:r>
    </w:p>
    <w:p w14:paraId="3B886AD4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因子冲突数量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（</w:t>
      </w:r>
      <w:r>
        <w:rPr>
          <w:rFonts w:ascii="Consolas" w:hAnsi="Consolas" w:eastAsia="Consolas" w:cs="Consolas"/>
          <w:color w:val="6C3483"/>
          <w:sz w:val="17"/>
          <w:szCs w:val="17"/>
        </w:rPr>
        <w:t>adx, +di, -di, er, bbw, bbw_pct, hurst, rsi, mm
</w:t>
      </w:r>
      <w:r>
        <w:rPr>
          <w:rFonts w:hint="eastAsia" w:ascii="Consolas" w:hAnsi="Consolas" w:eastAsia="宋体" w:cs="Consolas"/>
          <w:color w:val="6C3483"/>
          <w:sz w:val="17"/>
          <w:szCs w:val="17"/>
          <w:lang w:eastAsia="zh-CN"/>
        </w:rPr>
        <w:t>）</w:t>
      </w:r>
    </w:p>
    <w:p w14:paraId="554FC263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状态强度、入场时机、价格位置、时段质量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ascii="Arial" w:hAnsi="Arial" w:eastAsia="等线" w:cs="Arial"/>
          <w:sz w:val="18"/>
          <w:szCs w:val="18"/>
        </w:rPr>
        <w:t>波动适配、多周期共振、六维总分</w:t>
      </w:r>
    </w:p>
    <w:p w14:paraId="1FA174C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sz w:val="18"/>
          <w:szCs w:val="18"/>
        </w:rPr>
        <w:t>ATR、M1-MM 微观动量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ascii="Arial" w:hAnsi="Arial" w:eastAsia="等线" w:cs="Arial"/>
          <w:sz w:val="18"/>
          <w:szCs w:val="18"/>
        </w:rPr>
        <w:t>相对高低点距离</w:t>
      </w:r>
    </w:p>
    <w:p w14:paraId="7F9744D4">
      <w:pPr>
        <w:rPr>
          <w:rFonts w:hint="eastAsia" w:ascii="Arial" w:hAnsi="Arial" w:eastAsia="等线" w:cs="Arial"/>
          <w:b/>
          <w:sz w:val="18"/>
          <w:szCs w:val="18"/>
          <w:lang w:val="en-US" w:eastAsia="zh-CN"/>
        </w:rPr>
      </w:pPr>
      <w:r>
        <w:rPr>
          <w:rFonts w:ascii="Arial" w:hAnsi="Arial" w:eastAsia="等线" w:cs="Arial"/>
          <w:b/>
          <w:sz w:val="18"/>
          <w:szCs w:val="18"/>
        </w:rPr>
        <w:t>AI 固定输出 3 参数（系统全部依赖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)</w:t>
      </w:r>
    </w:p>
    <w:p w14:paraId="0180DBAB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b/>
          <w:bCs/>
          <w:sz w:val="18"/>
          <w:szCs w:val="18"/>
        </w:rPr>
      </w:pPr>
      <w:r>
        <w:rPr>
          <w:rFonts w:ascii="Arial" w:hAnsi="Arial" w:eastAsia="等线" w:cs="Arial"/>
          <w:b/>
          <w:bCs/>
          <w:sz w:val="18"/>
          <w:szCs w:val="18"/>
        </w:rPr>
        <w:t>信号真假概率（开仓过滤）</w:t>
      </w:r>
    </w:p>
    <w:p w14:paraId="50A4EDF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ai_sl_coeff 自适应止损系数</w:t>
      </w:r>
      <w:r>
        <w:rPr>
          <w:rFonts w:ascii="Arial" w:hAnsi="Arial" w:eastAsia="等线" w:cs="Arial"/>
          <w:sz w:val="18"/>
          <w:szCs w:val="18"/>
        </w:rPr>
        <w:t>：0.8～1.5ATR 动态最优止损</w:t>
      </w:r>
    </w:p>
    <w:p w14:paraId="5CB521E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continuity_score 延续分 0–100</w:t>
      </w:r>
      <w:r>
        <w:rPr>
          <w:rFonts w:ascii="Arial" w:hAnsi="Arial" w:eastAsia="等线" w:cs="Arial"/>
          <w:sz w:val="18"/>
          <w:szCs w:val="18"/>
        </w:rPr>
        <w:t>：持仓动态调仓依据</w:t>
      </w:r>
    </w:p>
    <w:p w14:paraId="62979882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18"/>
          <w:szCs w:val="18"/>
        </w:rPr>
      </w:pPr>
    </w:p>
    <w:p w14:paraId="658B8C64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 xml:space="preserve"> + AI 动态权重耦合公式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,</w:t>
      </w:r>
      <w:r>
        <w:rPr>
          <w:rFonts w:ascii="Arial" w:hAnsi="Arial" w:eastAsia="等线" w:cs="Arial"/>
          <w:b/>
          <w:bCs/>
          <w:sz w:val="18"/>
          <w:szCs w:val="18"/>
        </w:rPr>
        <w:t>根据市场模式自动切换权重</w:t>
      </w:r>
    </w:p>
    <w:p w14:paraId="1A4E897D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S_hp（H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exp</w:t>
      </w:r>
      <w:r>
        <w:rPr>
          <w:rFonts w:ascii="Arial" w:hAnsi="Arial" w:eastAsia="等线" w:cs="Arial"/>
          <w:b/>
          <w:sz w:val="18"/>
          <w:szCs w:val="18"/>
        </w:rPr>
        <w:t xml:space="preserve"> 结构强度分 0–100）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;</w:t>
      </w:r>
      <w:r>
        <w:rPr>
          <w:rFonts w:ascii="Arial" w:hAnsi="Arial" w:eastAsia="等线" w:cs="Arial"/>
          <w:sz w:val="18"/>
          <w:szCs w:val="18"/>
        </w:rPr>
        <w:t>归一化 |HP|，代表行情结构成型度</w:t>
      </w:r>
    </w:p>
    <w:p w14:paraId="2F5A517A">
      <w:pPr>
        <w:numPr>
          <w:ilvl w:val="0"/>
          <w:numId w:val="0"/>
        </w:numPr>
        <w:spacing w:before="120" w:after="120" w:line="288" w:lineRule="auto"/>
        <w:ind w:firstLine="500" w:firstLineChars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C_ai（AI 置信度 0–100）</w:t>
      </w:r>
      <w:r>
        <w:rPr>
          <w:rFonts w:ascii="Arial" w:hAnsi="Arial" w:eastAsia="等线" w:cs="Arial"/>
          <w:sz w:val="18"/>
          <w:szCs w:val="18"/>
        </w:rPr>
        <w:t>代表当前形态真实胜率、假突破概率</w:t>
      </w:r>
    </w:p>
    <w:p w14:paraId="3292C6F2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趋势模式 k&gt;1.2</w:t>
      </w:r>
      <w:r>
        <w:rPr>
          <w:rFonts w:ascii="Arial" w:hAnsi="Arial" w:eastAsia="等线" w:cs="Arial"/>
          <w:sz w:val="18"/>
          <w:szCs w:val="18"/>
        </w:rPr>
        <w:t>（信结构）</w:t>
      </w:r>
      <w:r>
        <w:rPr>
          <w:rFonts w:ascii="Consolas" w:hAnsi="Consolas" w:eastAsia="Consolas" w:cs="Consolas"/>
          <w:sz w:val="18"/>
          <w:szCs w:val="18"/>
          <w:shd w:val="clear" w:fill="EFF0F1"/>
        </w:rPr>
        <w:t>总分 = 0.7*S_hp + 0.3*C_ai</w:t>
      </w:r>
    </w:p>
    <w:p w14:paraId="5E8B06D1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中性模式 0.&lt;k≤1.2</w:t>
      </w:r>
      <w:r>
        <w:rPr>
          <w:rFonts w:ascii="Arial" w:hAnsi="Arial" w:eastAsia="等线" w:cs="Arial"/>
          <w:sz w:val="18"/>
          <w:szCs w:val="18"/>
        </w:rPr>
        <w:t>（均衡）</w:t>
      </w:r>
      <w:r>
        <w:rPr>
          <w:rFonts w:ascii="Consolas" w:hAnsi="Consolas" w:eastAsia="Consolas" w:cs="Consolas"/>
          <w:sz w:val="18"/>
          <w:szCs w:val="18"/>
          <w:shd w:val="clear" w:fill="EFF0F1"/>
        </w:rPr>
        <w:t>总分 = 0.6*S_hp + 0.4*C_ai</w:t>
      </w:r>
    </w:p>
    <w:p w14:paraId="0AB06816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震荡模式 k≤0.5</w:t>
      </w:r>
      <w:r>
        <w:rPr>
          <w:rFonts w:ascii="Arial" w:hAnsi="Arial" w:eastAsia="等线" w:cs="Arial"/>
          <w:sz w:val="18"/>
          <w:szCs w:val="18"/>
        </w:rPr>
        <w:t>（强 AI 过滤）</w:t>
      </w:r>
      <w:r>
        <w:rPr>
          <w:rFonts w:ascii="Consolas" w:hAnsi="Consolas" w:eastAsia="Consolas" w:cs="Consolas"/>
          <w:sz w:val="18"/>
          <w:szCs w:val="18"/>
          <w:shd w:val="clear" w:fill="EFF0F1"/>
        </w:rPr>
        <w:t>总分 = 0.5*S_hp + 0.5*C_ai</w:t>
      </w:r>
    </w:p>
    <w:p w14:paraId="3A43597B">
      <w:pPr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18"/>
          <w:szCs w:val="18"/>
        </w:rPr>
        <w:t>综合总分开仓规则</w:t>
      </w:r>
      <w:r>
        <w:rPr>
          <w:rFonts w:hint="eastAsia" w:ascii="Arial" w:hAnsi="Arial" w:eastAsia="等线" w:cs="Arial"/>
          <w:b/>
          <w:sz w:val="18"/>
          <w:szCs w:val="18"/>
          <w:lang w:val="en-US" w:eastAsia="zh-CN"/>
        </w:rPr>
        <w:t>: 总分&gt;85,基础手数*1.5、&gt;70基础手数*1、&gt;60基础手数*0.5、60&lt;不发信号</w:t>
      </w:r>
    </w:p>
    <w:p w14:paraId="5844332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18"/>
          <w:szCs w:val="18"/>
        </w:rPr>
      </w:pPr>
      <w:bookmarkStart w:id="1" w:name="_GoBack"/>
      <w:bookmarkEnd w:id="1"/>
      <w:bookmarkStart w:id="0" w:name="heading_21"/>
    </w:p>
    <w:p w14:paraId="081BD5AF">
      <w:pPr>
        <w:spacing w:before="300" w:after="120" w:line="288" w:lineRule="auto"/>
        <w:ind w:left="0"/>
        <w:jc w:val="left"/>
        <w:outlineLvl w:val="2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持仓动态调仓 → 单独使用 AI 延续分 continuity_score</w:t>
      </w:r>
      <w:bookmarkEnd w:id="0"/>
    </w:p>
    <w:p w14:paraId="628FA2C2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S≥70 强延续</w:t>
      </w:r>
      <w:r>
        <w:rPr>
          <w:rFonts w:ascii="Arial" w:hAnsi="Arial" w:eastAsia="等线" w:cs="Arial"/>
          <w:sz w:val="18"/>
          <w:szCs w:val="18"/>
        </w:rPr>
        <w:t>：放宽止盈、追踪止损、允许加仓复核</w:t>
      </w:r>
    </w:p>
    <w:p w14:paraId="61FC4E4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50–69 中性</w:t>
      </w:r>
      <w:r>
        <w:rPr>
          <w:rFonts w:ascii="Arial" w:hAnsi="Arial" w:eastAsia="等线" w:cs="Arial"/>
          <w:sz w:val="18"/>
          <w:szCs w:val="18"/>
        </w:rPr>
        <w:t>：不动、不加仓、不调止盈</w:t>
      </w:r>
    </w:p>
    <w:p w14:paraId="771ACCEF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18"/>
          <w:szCs w:val="18"/>
        </w:rPr>
      </w:pPr>
      <w:r>
        <w:rPr>
          <w:rFonts w:ascii="Arial" w:hAnsi="Arial" w:eastAsia="等线" w:cs="Arial"/>
          <w:b/>
          <w:sz w:val="18"/>
          <w:szCs w:val="18"/>
        </w:rPr>
        <w:t>＜50 弱延续</w:t>
      </w:r>
      <w:r>
        <w:rPr>
          <w:rFonts w:ascii="Arial" w:hAnsi="Arial" w:eastAsia="等线" w:cs="Arial"/>
          <w:sz w:val="18"/>
          <w:szCs w:val="18"/>
        </w:rPr>
        <w:t>：收紧止损、压缩止盈、锁定利润</w:t>
      </w:r>
    </w:p>
    <w:p w14:paraId="469A3AAB"/>
    <w:p w14:paraId="01C1B94A"/>
    <w:p w14:paraId="62711189"/>
    <w:p w14:paraId="1E086DF8"/>
    <w:p w14:paraId="22280F9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第十一章  配置与参数</w:t>
      </w:r>
    </w:p>
    <w:p w14:paraId="5F906C8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11.1  配置命名空间</w:t>
      </w:r>
    </w:p>
    <w:p w14:paraId="6F6193BE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统一使用 hexp.* 命名空间，与现有 co.*/scoring.*/igrated.* 互不干扰。所有参数通过前端 UI保存，PG+Redis双写，引擎热重载。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3"/>
        <w:gridCol w:w="2830"/>
        <w:gridCol w:w="3667"/>
      </w:tblGrid>
      <w:tr w14:paraId="76BD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E4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FA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91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E76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088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hexp.enabled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1E80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false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CE4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和乘幂引擎总开关</w:t>
            </w:r>
          </w:p>
        </w:tc>
      </w:tr>
      <w:tr w14:paraId="47EC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1866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hexp.periods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0365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M5,H1,H4,D1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E7A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参与融合的周期列表</w:t>
            </w:r>
          </w:p>
        </w:tc>
      </w:tr>
      <w:tr w14:paraId="7DE0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674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hexp.k.base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EA8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1.5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431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和乘幂幂指数基准值</w:t>
            </w:r>
          </w:p>
        </w:tc>
      </w:tr>
      <w:tr w14:paraId="2A0E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F6F2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hexp.k.range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706B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0.5,3.0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2EA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幂指数范围</w:t>
            </w:r>
          </w:p>
        </w:tc>
      </w:tr>
      <w:tr w14:paraId="2E2F5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CF2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hexp.k.alpha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730A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0.8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2CA4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ADX影响权重</w:t>
            </w:r>
          </w:p>
        </w:tc>
      </w:tr>
      <w:tr w14:paraId="05BC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12D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hexp.k.beta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0608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0.4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2A3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BBW影响权重</w:t>
            </w:r>
          </w:p>
        </w:tc>
      </w:tr>
      <w:tr w14:paraId="0B91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4B85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hexp.factor.*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9EF5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25/25/20/15/10/5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D9C9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6因子基础权重</w:t>
            </w:r>
          </w:p>
        </w:tc>
      </w:tr>
      <w:tr w14:paraId="20A7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F25A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hexp.state.enter/exit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599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60/40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5A9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状态机进入/退出阈值</w:t>
            </w:r>
          </w:p>
        </w:tc>
      </w:tr>
      <w:tr w14:paraId="06EF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936A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hexp.mtf.*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545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D1=0.25,H4=0.35,H1=0.25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DB2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共振方向权重</w:t>
            </w:r>
          </w:p>
        </w:tc>
      </w:tr>
      <w:tr w14:paraId="0794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1DDC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hexp.mm.*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BE9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alpha=0.5,n=20,weight=0.15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619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微结构动量参数</w:t>
            </w:r>
          </w:p>
        </w:tc>
      </w:tr>
      <w:tr w14:paraId="0647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A7F6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hexp.scorecard.*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BE0B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25/20/20/15/10/10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18A5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6维评分卡权重</w:t>
            </w:r>
          </w:p>
        </w:tc>
      </w:tr>
      <w:tr w14:paraId="1219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BB7E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hexp.exec.*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9370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sl=2.0,rr=1.5,lot=1.0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ED4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执行乘数</w:t>
            </w:r>
          </w:p>
        </w:tc>
      </w:tr>
      <w:tr w14:paraId="74ED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3644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hexp.ai.enabled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885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false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C7C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LightGBM开关(待数据)</w:t>
            </w:r>
          </w:p>
        </w:tc>
      </w:tr>
    </w:tbl>
    <w:p w14:paraId="6943D74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11.2  与现有系统的并行运行</w:t>
      </w:r>
    </w:p>
    <w:p w14:paraId="74B10A48">
      <w:pPr>
        <w:spacing w:after="120"/>
      </w:pPr>
      <w:r>
        <w:rPr>
          <w:rFonts w:ascii="Arial" w:hAnsi="Arial" w:eastAsia="Arial" w:cs="Arial"/>
          <w:color w:val="333333"/>
          <w:sz w:val="21"/>
          <w:szCs w:val="21"/>
        </w:rPr>
        <w:t>和乘幂引擎与 co_source 并行运行，通过 signal.active_model 切换。在纸面交易阶段，两个系统同时运行，和乘幂只记录信号不下单，与 co_source 进行‘shadow 对比’。验证通过后切换主引擎。</w:t>
      </w:r>
    </w:p>
    <w:p w14:paraId="78A3AA57">
      <w:r>
        <w:br w:type="page"/>
      </w:r>
    </w:p>
    <w:p w14:paraId="5109C54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第十二章  实时数据流</w:t>
      </w:r>
    </w:p>
    <w:p w14:paraId="5B026AD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12.1  信号生产管线</w:t>
      </w:r>
    </w:p>
    <w:p w14:paraId="13178624">
      <w:pPr>
        <w:pBdr>
          <w:left w:val="single" w:color="8E44AD" w:sz="6" w:space="8"/>
        </w:pBdr>
        <w:spacing w:before="40" w:after="40"/>
        <w:ind w:left="360"/>
      </w:pPr>
      <w:r>
        <w:rPr>
          <w:rFonts w:ascii="Consolas" w:hAnsi="Consolas" w:eastAsia="Consolas" w:cs="Consolas"/>
          <w:color w:val="6C3483"/>
          <w:sz w:val="17"/>
          <w:szCs w:val="17"/>
        </w:rPr>
        <w:t>0. 市场熔断检查: 日亏&gt;3%→停机 | 连亏5笔→冷却
1. 获取多周期 K线: PG hcm_market.klines + Redis live bar
   每周期独立计算指标
2. M1 微结构数据处理:
   计算幂律加权动量 MM(t)
   产出动量加速/衰竭/反转信号
3. 每周期状态机运行:
   M5(轻量方向) → H1(迟滞主状态) → H4(迟滞方向层) → D1(轻量方向)
4. 和乘幂评分:
   加权和方向裁定 + 幂加权和强度计算 + 体制权重调整 + 共振校准 + 微结构加速
   → HP-Score + hp_100
5. 多周期共振裁决:
   verdict = D1×0.25 + H4×0.35 + H1×0.25
   状态组合规则→策略权限和仓位约束
6. 评分卡打分:
   6维评分卡→S/A/B/C/红灯等级
7. 门控检查:
   信号质量门 + 自适应门槛 + 风控门
8. [可选] LightGBM过滤:
   p&lt;0.50→过滤 | p 0.50-0.60→降级 | p≥0.70→升级
9. 执行决策:
   选择入场模式(回踩/突破) | 计算动态仓位 | 设置SL/TP
10. 发布信号:
   Redis Stream + PostgreSQL双写</w:t>
      </w:r>
    </w:p>
    <w:p w14:paraId="486CA90E">
      <w:r>
        <w:br w:type="page"/>
      </w:r>
    </w:p>
    <w:p w14:paraId="6DBE436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第十三章  实施路线图</w:t>
      </w:r>
    </w:p>
    <w:p w14:paraId="31C81D0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13.1  分阶段实施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4960"/>
      </w:tblGrid>
      <w:tr w14:paraId="395E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AD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3A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64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内容与验收标准</w:t>
            </w:r>
          </w:p>
        </w:tc>
      </w:tr>
      <w:tr w14:paraId="0812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2838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P0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668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多周期地基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ACA0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多周期 K线读取 + 每周期独立计算指标 + 共振矩阵验证。验收: 5周期状态与人工复盘吻合率≥80%</w:t>
            </w:r>
          </w:p>
        </w:tc>
      </w:tr>
      <w:tr w14:paraId="5F69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4E1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A82B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和乘幂核心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F362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HP-Score算法实现 + 体制权重方案 + k自适应。验收: 与传统加权和对比，趋势捕捉提前 1-3根K线</w:t>
            </w:r>
          </w:p>
        </w:tc>
      </w:tr>
      <w:tr w14:paraId="3803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4492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F350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状态机+新信号源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67C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迟滞状态机 + 微结构动量幂律信号。验收: 状态标注与人工复盘吻合率≥80%，MM信号预警提前 2-5 根M5</w:t>
            </w:r>
          </w:p>
        </w:tc>
      </w:tr>
      <w:tr w14:paraId="1264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50B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740D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执行层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F5F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回踩/突破双模式 + 动态仓位 + 跟踪止损。验收: 回测趋势胜率≥38%、盈亏比≥2.0</w:t>
            </w:r>
          </w:p>
        </w:tc>
      </w:tr>
      <w:tr w14:paraId="2382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CBEE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10C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评分卡+AI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896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6维评分卡 + LightGBM信号过滤。验收: AI过滤后样本外期望提升≥15%</w:t>
            </w:r>
          </w:p>
        </w:tc>
      </w:tr>
    </w:tbl>
    <w:p w14:paraId="12F295B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13.2  与现有系统的迁移路径</w:t>
      </w:r>
    </w:p>
    <w:p w14:paraId="522667C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第一步: 并行运行（和乘幂只记录不下单，co_source继续生产）</w:t>
      </w:r>
    </w:p>
    <w:p w14:paraId="1181531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第二步: shadow 对比（每天生成对比报告：和乘幂 vs co_source的信号差异）</w:t>
      </w:r>
    </w:p>
    <w:p w14:paraId="2C8E2BC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第三步: 小仓实盘（和乘幂以 0.01 手起步，co_source继续生产主信号）</w:t>
      </w:r>
    </w:p>
    <w:p w14:paraId="5222B4D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第四步: 逐步加仓（和乘幂负责主信号，co_source退出或保留作为备份）</w:t>
      </w:r>
    </w:p>
    <w:p w14:paraId="78074428">
      <w:r>
        <w:br w:type="page"/>
      </w:r>
    </w:p>
    <w:p w14:paraId="6EE18F1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附录</w:t>
      </w:r>
    </w:p>
    <w:p w14:paraId="46E94D9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A. 与整合方案的对比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606D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11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6BD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整合方案（前一版本）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02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和乘幂（本文档）</w:t>
            </w:r>
          </w:p>
        </w:tc>
      </w:tr>
      <w:tr w14:paraId="24AC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E46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主周期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A2CE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M15(传统)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4817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M5(量化优化)</w:t>
            </w:r>
          </w:p>
        </w:tc>
      </w:tr>
      <w:tr w14:paraId="6EA0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C02F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评分算法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CC4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加权和(体制权重)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437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和乘幂广义均值(幂指数自适应)</w:t>
            </w:r>
          </w:p>
        </w:tc>
      </w:tr>
      <w:tr w14:paraId="5E55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2E79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新信号源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9F2A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无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A001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微结构动量幂律信号</w:t>
            </w:r>
          </w:p>
        </w:tc>
      </w:tr>
      <w:tr w14:paraId="02F1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0F91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状态机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9E08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5周期迟滞状态机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0FF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M5轻量+H1/H4迟滞+D1轻量(差异化)</w:t>
            </w:r>
          </w:p>
        </w:tc>
      </w:tr>
      <w:tr w14:paraId="388D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3957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微结构数据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136C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不使用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3B86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M1数据驱动动量加速/衰竭/反转</w:t>
            </w:r>
          </w:p>
        </w:tc>
      </w:tr>
      <w:tr w14:paraId="2403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D0B8"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入场精度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6563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M15回踩确认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638D">
            <w:r>
              <w:rPr>
                <w:rFonts w:ascii="Arial" w:hAnsi="Arial" w:eastAsia="Arial" w:cs="Arial"/>
                <w:b w:val="0"/>
                <w:bCs w:val="0"/>
                <w:color w:val="333333"/>
                <w:sz w:val="19"/>
                <w:szCs w:val="19"/>
              </w:rPr>
              <w:t>M5确认 + 微结构MM时机优化</w:t>
            </w:r>
          </w:p>
        </w:tc>
      </w:tr>
    </w:tbl>
    <w:p w14:paraId="1712155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A5276"/>
          <w:sz w:val="28"/>
          <w:szCs w:val="28"/>
        </w:rPr>
        <w:t>B. 本文档限制</w:t>
      </w:r>
    </w:p>
    <w:p w14:paraId="4CF68AB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纯分析设计文档，未改动任何系统代码或配置</w:t>
      </w:r>
    </w:p>
    <w:p w14:paraId="4B68BB3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所有参数值为设计初始建议值，需通过回测验证后确定最优值</w:t>
      </w:r>
    </w:p>
    <w:p w14:paraId="47B9A9F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微结构动量信号需要 M1 级别数据支持，当前需要确认数据可用性</w:t>
      </w:r>
    </w:p>
    <w:p w14:paraId="2D0A9CB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和乘幂幂指数 k 的自适应参数（α/β/k_base）需要回测优化</w:t>
      </w:r>
    </w:p>
    <w:p w14:paraId="111BA0A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color w:val="333333"/>
          <w:sz w:val="20"/>
          <w:szCs w:val="20"/>
        </w:rPr>
        <w:t>LightGBM 需要充分的历史信号数据（≥3年，1500+笔）才能训练出可用模型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D649B3EE"/>
    <w:multiLevelType w:val="singleLevel"/>
    <w:tmpl w:val="D649B3E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F986805C"/>
    <w:multiLevelType w:val="singleLevel"/>
    <w:tmpl w:val="F986805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5"/>
    <w:lvlOverride w:ilvl="0">
      <w:startOverride w:val="1"/>
    </w:lvlOverride>
  </w:num>
  <w:num w:numId="2">
    <w:abstractNumId w:val="2"/>
  </w:num>
  <w:num w:numId="3">
    <w:abstractNumId w:val="9"/>
  </w:num>
  <w:num w:numId="4">
    <w:abstractNumId w:val="13"/>
  </w:num>
  <w:num w:numId="5">
    <w:abstractNumId w:val="6"/>
  </w:num>
  <w:num w:numId="6">
    <w:abstractNumId w:val="10"/>
  </w:num>
  <w:num w:numId="7">
    <w:abstractNumId w:val="4"/>
  </w:num>
  <w:num w:numId="8">
    <w:abstractNumId w:val="8"/>
  </w:num>
  <w:num w:numId="9">
    <w:abstractNumId w:val="3"/>
  </w:num>
  <w:num w:numId="10">
    <w:abstractNumId w:val="1"/>
  </w:num>
  <w:num w:numId="11">
    <w:abstractNumId w:val="11"/>
  </w:num>
  <w:num w:numId="12">
    <w:abstractNumId w:val="14"/>
  </w:num>
  <w:num w:numId="13">
    <w:abstractNumId w:val="12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831E63"/>
    <w:rsid w:val="236B5400"/>
    <w:rsid w:val="282D521E"/>
    <w:rsid w:val="31524E91"/>
    <w:rsid w:val="4A2802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A527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2C3E5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1890</Words>
  <Characters>2665</Characters>
  <TotalTime>169</TotalTime>
  <ScaleCrop>false</ScaleCrop>
  <LinksUpToDate>false</LinksUpToDate>
  <CharactersWithSpaces>2963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2026-08-08T03:19:00Z</dcterms:created>
  <dc:creator>Un-named</dc:creator>
  <cp:lastModifiedBy>倪品</cp:lastModifiedBy>
  <dcterms:modified xsi:type="dcterms:W3CDTF">2026-08-14T09:11:14Z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eyJoZGlkIjoiOTFkN2Y2ZWM0YmM3ZjNkMjkxN2U1OGJmNzExZGE1MTQiLCJ1c2VySWQiOiI3MTUzNDU3OTkifQ==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00624CEE91CB4DADB3B5E36E2B03F97F_12</vt:lpwstr>
  </property>
</Properties>
</file>