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53EF6" w14:textId="77777777" w:rsidR="00005973" w:rsidRDefault="00000000">
      <w:pPr>
        <w:pStyle w:val="Title"/>
        <w:jc w:val="center"/>
      </w:pPr>
      <w:r>
        <w:t>Benefits &amp; Risks of Microservice Architecture</w:t>
      </w:r>
    </w:p>
    <w:p w14:paraId="16FD497F" w14:textId="77777777" w:rsidR="00005973" w:rsidRDefault="00000000">
      <w:pPr>
        <w:jc w:val="center"/>
      </w:pPr>
      <w:r>
        <w:t>University ERP · Advanced Software Engineering · UCSC</w:t>
      </w:r>
    </w:p>
    <w:p w14:paraId="0DF956CB" w14:textId="77777777" w:rsidR="00005973" w:rsidRDefault="00005973"/>
    <w:p w14:paraId="3183726E" w14:textId="77777777" w:rsidR="00005973" w:rsidRDefault="00000000">
      <w:pPr>
        <w:pStyle w:val="Heading1"/>
      </w:pPr>
      <w:r>
        <w:t>1. Introduction</w:t>
      </w:r>
    </w:p>
    <w:p w14:paraId="1AC9A0C8" w14:textId="77777777" w:rsidR="00005973" w:rsidRDefault="00000000">
      <w:r>
        <w:t>This document evaluates the decision to adopt a microservice architecture for the University ERP system. The system replaces a hypothetical legacy monolith that handled student records, course management, examination, results, transcripts, authentication, notifications, and reporting as a single deployable unit. The analysis covers both the expected benefits and the known risks, together with mitigations applied in this design.</w:t>
      </w:r>
    </w:p>
    <w:p w14:paraId="4429E2AF" w14:textId="77777777" w:rsidR="00005973" w:rsidRDefault="00000000">
      <w:pPr>
        <w:pStyle w:val="Heading1"/>
      </w:pPr>
      <w:r>
        <w:t>2. Benefits</w:t>
      </w:r>
    </w:p>
    <w:p w14:paraId="15EA3F19" w14:textId="77777777" w:rsidR="00005973" w:rsidRDefault="00000000">
      <w:pPr>
        <w:pStyle w:val="Heading2"/>
      </w:pPr>
      <w:r>
        <w:t>2.1  Independent Deployability</w:t>
      </w:r>
    </w:p>
    <w:p w14:paraId="56836EA8" w14:textId="77777777" w:rsidR="00005973" w:rsidRDefault="00000000">
      <w:r>
        <w:t>Each of the eight services (Auth, Student, Course, Exam, Result, Transcript, Notification, Reporting) can be built, tested, and deployed independently. A bug fix in the Notification Service does not require redeploying the Student or Exam services. This reduces deployment risk and downtime, which is critical during peak periods such as examination registration.</w:t>
      </w:r>
    </w:p>
    <w:p w14:paraId="0B39154D" w14:textId="77777777" w:rsidR="00005973" w:rsidRDefault="00000000">
      <w:pPr>
        <w:pStyle w:val="Heading2"/>
      </w:pPr>
      <w:r>
        <w:t>2.2  Fault Isolation</w:t>
      </w:r>
    </w:p>
    <w:p w14:paraId="27F2DE86" w14:textId="77777777" w:rsidR="00005973" w:rsidRDefault="00000000">
      <w:r>
        <w:t>A failure in one service does not cascade to the entire system. If the Reporting Service crashes, students can still register for exams and view results. In a monolith, a single unhandled exception in a reporting query could bring the entire application down. The Exam Service handles Student Service unavailability gracefully by returning HTTP 502, rather than propagating the failure silently.</w:t>
      </w:r>
    </w:p>
    <w:p w14:paraId="2B4F9352" w14:textId="77777777" w:rsidR="00005973" w:rsidRDefault="00000000">
      <w:pPr>
        <w:pStyle w:val="Heading2"/>
      </w:pPr>
      <w:r>
        <w:t>2.3  Independent Scalability</w:t>
      </w:r>
    </w:p>
    <w:p w14:paraId="26D3860F" w14:textId="77777777" w:rsidR="00005973" w:rsidRDefault="00000000">
      <w:r>
        <w:t>Services can be scaled horizontally based on their individual load profiles. During examination season, the Exam Service and Student Service receive high traffic; they can be scaled to multiple instances while the Reporting Service (low traffic) remains at one instance. This is more cost-effective than scaling an entire monolith.</w:t>
      </w:r>
    </w:p>
    <w:p w14:paraId="1BCABC0D" w14:textId="77777777" w:rsidR="00005973" w:rsidRDefault="00000000">
      <w:pPr>
        <w:pStyle w:val="Heading2"/>
      </w:pPr>
      <w:r>
        <w:t>2.4  Technology Flexibility</w:t>
      </w:r>
    </w:p>
    <w:p w14:paraId="4B9D06F4" w14:textId="77777777" w:rsidR="00005973" w:rsidRDefault="00000000">
      <w:r>
        <w:t xml:space="preserve">Each service can adopt the library or tooling best suited to its domain without affecting other services. The Transcript Service uses pdfkit for PDF generation; the Notification </w:t>
      </w:r>
      <w:r>
        <w:lastRenderedPageBreak/>
        <w:t>Service uses kafkajs for event consumption. In a monolith, every team must agree on a single dependency version across the entire codebase.</w:t>
      </w:r>
    </w:p>
    <w:p w14:paraId="62209C60" w14:textId="77777777" w:rsidR="00005973" w:rsidRDefault="00000000">
      <w:pPr>
        <w:pStyle w:val="Heading2"/>
      </w:pPr>
      <w:r>
        <w:t>2.5  Smaller, Focused Codebases</w:t>
      </w:r>
    </w:p>
    <w:p w14:paraId="181BF1A2" w14:textId="77777777" w:rsidR="00005973" w:rsidRDefault="00000000">
      <w:r>
        <w:t>Each service has a single business responsibility, making it easier to understand, test, and maintain. A developer joining the Exam team only needs to understand Exam and Entry models, three routes, and one external HTTP call — not the entire university system.</w:t>
      </w:r>
    </w:p>
    <w:p w14:paraId="031196C4" w14:textId="77777777" w:rsidR="00005973" w:rsidRDefault="00000000">
      <w:pPr>
        <w:pStyle w:val="Heading2"/>
      </w:pPr>
      <w:r>
        <w:t>2.6  Async Decoupling via Kafka</w:t>
      </w:r>
    </w:p>
    <w:p w14:paraId="54D1988C" w14:textId="77777777" w:rsidR="00005973" w:rsidRDefault="00000000">
      <w:r>
        <w:t>By publishing events (student.created, exam.registered, result.published) to a Kafka topic, the producing service is decoupled from its consumers. The Student Service does not need to know that a Notification Service exists — it simply emits an event. Adding a new consumer (e.g., an analytics service) requires no changes to existing services.</w:t>
      </w:r>
    </w:p>
    <w:p w14:paraId="07D6074F" w14:textId="77777777" w:rsidR="00005973" w:rsidRDefault="00000000">
      <w:pPr>
        <w:pStyle w:val="Heading2"/>
      </w:pPr>
      <w:r>
        <w:t>2.7  Alignment with Team Structure</w:t>
      </w:r>
    </w:p>
    <w:p w14:paraId="38E32104" w14:textId="77777777" w:rsidR="00005973" w:rsidRDefault="00000000">
      <w:r>
        <w:t>Microservices allow future teams to own individual services end-to-end (Conway's Law). A student records team can own the Student Service; an assessments team can own Exam and Result services. This reduces coordination overhead across teams.</w:t>
      </w:r>
    </w:p>
    <w:p w14:paraId="7C765C95" w14:textId="77777777" w:rsidR="00005973" w:rsidRDefault="00000000">
      <w:pPr>
        <w:pStyle w:val="Heading1"/>
      </w:pPr>
      <w:r>
        <w:t>3. Risks and Mitigations</w:t>
      </w:r>
    </w:p>
    <w:p w14:paraId="63CAC0EE" w14:textId="77777777" w:rsidR="00005973" w:rsidRDefault="00000000">
      <w:pPr>
        <w:pStyle w:val="Heading2"/>
      </w:pPr>
      <w:r>
        <w:t>3.1  Distributed System Complexity</w:t>
      </w:r>
    </w:p>
    <w:p w14:paraId="74584D97" w14:textId="77777777" w:rsidR="00005973" w:rsidRDefault="00000000">
      <w:r>
        <w:rPr>
          <w:b/>
        </w:rPr>
        <w:t>Risk: Microservices introduce network calls between services, making the system harder to reason about than a single in-process call. Failures can now be partial — a service may receive a response timeout rather than a clean error.</w:t>
      </w:r>
    </w:p>
    <w:p w14:paraId="7AA57F9B" w14:textId="77777777" w:rsidR="00005973" w:rsidRDefault="00000000">
      <w:r>
        <w:rPr>
          <w:b/>
        </w:rPr>
        <w:t>Mitigation: Strict HTTP status code contracts are defined in API Endpoint Design. The Exam Service wraps its Student Service call in a try/catch and maps errors to 502 Bad Gateway, giving callers a consistent error surface. All services expose a /health endpoint to support monitoring.</w:t>
      </w:r>
    </w:p>
    <w:p w14:paraId="3A1D50EC" w14:textId="77777777" w:rsidR="00005973" w:rsidRDefault="00000000">
      <w:pPr>
        <w:pStyle w:val="Heading2"/>
      </w:pPr>
      <w:r>
        <w:t>3.2  Data Consistency (No Distributed Transactions)</w:t>
      </w:r>
    </w:p>
    <w:p w14:paraId="11B65211" w14:textId="77777777" w:rsidR="00005973" w:rsidRDefault="00000000">
      <w:r>
        <w:rPr>
          <w:b/>
        </w:rPr>
        <w:t>Risk: With one database per service, a business operation that spans multiple services (e.g., enrolling a student in an exam and updating their record simultaneously) cannot use a traditional ACID transaction across both databases.</w:t>
      </w:r>
    </w:p>
    <w:p w14:paraId="1A7711F9" w14:textId="77777777" w:rsidR="00005973" w:rsidRDefault="00000000">
      <w:r>
        <w:rPr>
          <w:b/>
        </w:rPr>
        <w:t>Mitigation: The system uses eventual consistency via Kafka events for cross-service state changes. Synchronous REST calls are used only for read-verify operations (e.g., checking a student exists before creating an entry). Write operations that require consistency across services are modelled as sagas rather than distributed transactions.</w:t>
      </w:r>
    </w:p>
    <w:p w14:paraId="64F92EFC" w14:textId="77777777" w:rsidR="00005973" w:rsidRDefault="00000000">
      <w:pPr>
        <w:pStyle w:val="Heading2"/>
      </w:pPr>
      <w:r>
        <w:lastRenderedPageBreak/>
        <w:t>3.3  Increased Infrastructure Overhead</w:t>
      </w:r>
    </w:p>
    <w:p w14:paraId="468C55DC" w14:textId="77777777" w:rsidR="00005973" w:rsidRDefault="00000000">
      <w:r>
        <w:rPr>
          <w:b/>
        </w:rPr>
        <w:t>Risk: Running eight services, eight MongoDB databases, NGINX, and Kafka/Kafka locally and in production is significantly more complex than deploying a single application binary.</w:t>
      </w:r>
    </w:p>
    <w:p w14:paraId="10C6AA5F" w14:textId="77777777" w:rsidR="00005973" w:rsidRDefault="00000000">
      <w:r>
        <w:rPr>
          <w:b/>
        </w:rPr>
        <w:t>Mitigation: Docker and docker-compose provide one-command startup for local development. Each service is containerised with a minimal node:20-alpine image. For the prototype, only Student and Exam services are active, reducing local resource usage substantially.</w:t>
      </w:r>
    </w:p>
    <w:p w14:paraId="3082C2FF" w14:textId="77777777" w:rsidR="00005973" w:rsidRDefault="00000000">
      <w:pPr>
        <w:pStyle w:val="Heading2"/>
      </w:pPr>
      <w:r>
        <w:t>3.4  Inter-Service Latency</w:t>
      </w:r>
    </w:p>
    <w:p w14:paraId="237F8B3A" w14:textId="77777777" w:rsidR="00005973" w:rsidRDefault="00000000">
      <w:r>
        <w:rPr>
          <w:b/>
        </w:rPr>
        <w:t>Risk: A synchronous REST call from Exam Service to Student Service adds network round-trip latency to every exam enrolment request. In a monolith, this would be an in-memory function call.</w:t>
      </w:r>
    </w:p>
    <w:p w14:paraId="6F0CFAB2" w14:textId="77777777" w:rsidR="00005973" w:rsidRDefault="00000000">
      <w:r>
        <w:rPr>
          <w:b/>
        </w:rPr>
        <w:t>Mitigation: Both services run on the same Docker bridge network (erp-network), minimising latency to sub-millisecond for local and same-host deployments. Async Kafka events are used for operations that do not require an immediate response, avoiding synchronous chaining.</w:t>
      </w:r>
    </w:p>
    <w:p w14:paraId="5FFA7B91" w14:textId="77777777" w:rsidR="00005973" w:rsidRDefault="00000000">
      <w:pPr>
        <w:pStyle w:val="Heading2"/>
      </w:pPr>
      <w:r>
        <w:t>3.5  Harder to Debug and Trace</w:t>
      </w:r>
    </w:p>
    <w:p w14:paraId="27636216" w14:textId="77777777" w:rsidR="00005973" w:rsidRDefault="00000000">
      <w:r>
        <w:rPr>
          <w:b/>
        </w:rPr>
        <w:t>Risk: A single user request may touch multiple services. Tracing a failure across service logs without correlation IDs is time-consuming.</w:t>
      </w:r>
    </w:p>
    <w:p w14:paraId="2AB6BBDD" w14:textId="77777777" w:rsidR="00005973" w:rsidRDefault="00000000">
      <w:r>
        <w:rPr>
          <w:b/>
        </w:rPr>
        <w:t>Mitigation: Each service logs the incoming request method and path. A correlation ID header (X-Request-Id) is propagated from NGINX through downstream service calls. For the prototype scope, structured console logging is used; production would adopt a centralised log aggregator (e.g., Loki or ELK).</w:t>
      </w:r>
    </w:p>
    <w:p w14:paraId="3F51C6E8" w14:textId="77777777" w:rsidR="00005973" w:rsidRDefault="00000000">
      <w:pPr>
        <w:pStyle w:val="Heading2"/>
      </w:pPr>
      <w:r>
        <w:t>3.6  Security Surface Area</w:t>
      </w:r>
    </w:p>
    <w:p w14:paraId="3F487FE8" w14:textId="77777777" w:rsidR="00005973" w:rsidRDefault="00000000">
      <w:r>
        <w:rPr>
          <w:b/>
        </w:rPr>
        <w:t>Risk: Eight separately deployed services each expose HTTP endpoints, increasing the attack surface compared to a monolith with a single entry point.</w:t>
      </w:r>
    </w:p>
    <w:p w14:paraId="5B5FC803" w14:textId="77777777" w:rsidR="00005973" w:rsidRDefault="00000000">
      <w:pPr>
        <w:rPr>
          <w:b/>
        </w:rPr>
      </w:pPr>
      <w:r>
        <w:rPr>
          <w:b/>
        </w:rPr>
        <w:t>Mitigation: NGINX is the sole external entry point; service ports are not exposed to the public network in production (only NGINX port 80/443 is exposed). JWT tokens are validated independently by each service's own middleware using a shared secret, ensuring requests are authenticated even on internal network calls.</w:t>
      </w:r>
    </w:p>
    <w:p w14:paraId="46C2FCFF" w14:textId="77777777" w:rsidR="00170DDB" w:rsidRDefault="00170DDB">
      <w:pPr>
        <w:rPr>
          <w:b/>
        </w:rPr>
      </w:pPr>
    </w:p>
    <w:p w14:paraId="17CB2A85" w14:textId="77777777" w:rsidR="00170DDB" w:rsidRDefault="00170DDB">
      <w:pPr>
        <w:rPr>
          <w:b/>
        </w:rPr>
      </w:pPr>
    </w:p>
    <w:p w14:paraId="54BEA2E3" w14:textId="77777777" w:rsidR="00170DDB" w:rsidRDefault="00170DDB"/>
    <w:p w14:paraId="0489080A" w14:textId="77777777" w:rsidR="00005973" w:rsidRDefault="00000000">
      <w:pPr>
        <w:pStyle w:val="Heading1"/>
      </w:pPr>
      <w:r>
        <w:lastRenderedPageBreak/>
        <w:t>4. Summary</w:t>
      </w:r>
    </w:p>
    <w:p w14:paraId="18061F28" w14:textId="77777777" w:rsidR="00005973" w:rsidRDefault="00000000">
      <w:r>
        <w:t>The table below provides a concise risk-benefit summary for stakeholder review.</w:t>
      </w:r>
    </w:p>
    <w:tbl>
      <w:tblPr>
        <w:tblStyle w:val="TableGrid"/>
        <w:tblW w:w="0" w:type="auto"/>
        <w:tblLook w:val="04A0" w:firstRow="1" w:lastRow="0" w:firstColumn="1" w:lastColumn="0" w:noHBand="0" w:noVBand="1"/>
      </w:tblPr>
      <w:tblGrid>
        <w:gridCol w:w="2880"/>
        <w:gridCol w:w="2880"/>
        <w:gridCol w:w="2880"/>
      </w:tblGrid>
      <w:tr w:rsidR="00005973" w14:paraId="29A6227C" w14:textId="77777777">
        <w:tc>
          <w:tcPr>
            <w:tcW w:w="2880" w:type="dxa"/>
          </w:tcPr>
          <w:p w14:paraId="3DE60BDC" w14:textId="77777777" w:rsidR="00005973" w:rsidRDefault="00000000">
            <w:pPr>
              <w:jc w:val="center"/>
            </w:pPr>
            <w:r>
              <w:rPr>
                <w:b/>
              </w:rPr>
              <w:t>Dimension</w:t>
            </w:r>
          </w:p>
        </w:tc>
        <w:tc>
          <w:tcPr>
            <w:tcW w:w="2880" w:type="dxa"/>
          </w:tcPr>
          <w:p w14:paraId="3D61D7F4" w14:textId="77777777" w:rsidR="00005973" w:rsidRDefault="00000000">
            <w:pPr>
              <w:jc w:val="center"/>
            </w:pPr>
            <w:r>
              <w:rPr>
                <w:b/>
              </w:rPr>
              <w:t>Assessment</w:t>
            </w:r>
          </w:p>
        </w:tc>
        <w:tc>
          <w:tcPr>
            <w:tcW w:w="2880" w:type="dxa"/>
          </w:tcPr>
          <w:p w14:paraId="6DA68E18" w14:textId="77777777" w:rsidR="00005973" w:rsidRDefault="00000000">
            <w:pPr>
              <w:jc w:val="center"/>
            </w:pPr>
            <w:r>
              <w:rPr>
                <w:b/>
              </w:rPr>
              <w:t>Net Verdict</w:t>
            </w:r>
          </w:p>
        </w:tc>
      </w:tr>
      <w:tr w:rsidR="00005973" w14:paraId="28623A52" w14:textId="77777777">
        <w:tc>
          <w:tcPr>
            <w:tcW w:w="2880" w:type="dxa"/>
          </w:tcPr>
          <w:p w14:paraId="6585BAF3" w14:textId="77777777" w:rsidR="00005973" w:rsidRDefault="00000000">
            <w:r>
              <w:t>Deployability</w:t>
            </w:r>
          </w:p>
        </w:tc>
        <w:tc>
          <w:tcPr>
            <w:tcW w:w="2880" w:type="dxa"/>
          </w:tcPr>
          <w:p w14:paraId="5661D631" w14:textId="77777777" w:rsidR="00005973" w:rsidRDefault="00000000">
            <w:r>
              <w:t>Independent per service</w:t>
            </w:r>
          </w:p>
        </w:tc>
        <w:tc>
          <w:tcPr>
            <w:tcW w:w="2880" w:type="dxa"/>
          </w:tcPr>
          <w:p w14:paraId="0262EE72" w14:textId="77777777" w:rsidR="00005973" w:rsidRDefault="00000000">
            <w:r>
              <w:t>Benefit</w:t>
            </w:r>
          </w:p>
        </w:tc>
      </w:tr>
      <w:tr w:rsidR="00005973" w14:paraId="78750DC3" w14:textId="77777777">
        <w:tc>
          <w:tcPr>
            <w:tcW w:w="2880" w:type="dxa"/>
          </w:tcPr>
          <w:p w14:paraId="5B642A64" w14:textId="77777777" w:rsidR="00005973" w:rsidRDefault="00000000">
            <w:r>
              <w:t>Fault tolerance</w:t>
            </w:r>
          </w:p>
        </w:tc>
        <w:tc>
          <w:tcPr>
            <w:tcW w:w="2880" w:type="dxa"/>
          </w:tcPr>
          <w:p w14:paraId="2CBB1D90" w14:textId="77777777" w:rsidR="00005973" w:rsidRDefault="00000000">
            <w:r>
              <w:t>Isolated failures; graceful degradation</w:t>
            </w:r>
          </w:p>
        </w:tc>
        <w:tc>
          <w:tcPr>
            <w:tcW w:w="2880" w:type="dxa"/>
          </w:tcPr>
          <w:p w14:paraId="2169F1FC" w14:textId="77777777" w:rsidR="00005973" w:rsidRDefault="00000000">
            <w:r>
              <w:t>Benefit</w:t>
            </w:r>
          </w:p>
        </w:tc>
      </w:tr>
      <w:tr w:rsidR="00005973" w14:paraId="7DE85FB6" w14:textId="77777777">
        <w:tc>
          <w:tcPr>
            <w:tcW w:w="2880" w:type="dxa"/>
          </w:tcPr>
          <w:p w14:paraId="3D9DDB0A" w14:textId="77777777" w:rsidR="00005973" w:rsidRDefault="00000000">
            <w:r>
              <w:t>Scalability</w:t>
            </w:r>
          </w:p>
        </w:tc>
        <w:tc>
          <w:tcPr>
            <w:tcW w:w="2880" w:type="dxa"/>
          </w:tcPr>
          <w:p w14:paraId="6BE8E95E" w14:textId="77777777" w:rsidR="00005973" w:rsidRDefault="00000000">
            <w:r>
              <w:t>Per-service horizontal scaling</w:t>
            </w:r>
          </w:p>
        </w:tc>
        <w:tc>
          <w:tcPr>
            <w:tcW w:w="2880" w:type="dxa"/>
          </w:tcPr>
          <w:p w14:paraId="614DBA13" w14:textId="77777777" w:rsidR="00005973" w:rsidRDefault="00000000">
            <w:r>
              <w:t>Benefit</w:t>
            </w:r>
          </w:p>
        </w:tc>
      </w:tr>
      <w:tr w:rsidR="00005973" w14:paraId="5418906F" w14:textId="77777777">
        <w:tc>
          <w:tcPr>
            <w:tcW w:w="2880" w:type="dxa"/>
          </w:tcPr>
          <w:p w14:paraId="56ACD023" w14:textId="77777777" w:rsidR="00005973" w:rsidRDefault="00000000">
            <w:r>
              <w:t>Consistency</w:t>
            </w:r>
          </w:p>
        </w:tc>
        <w:tc>
          <w:tcPr>
            <w:tcW w:w="2880" w:type="dxa"/>
          </w:tcPr>
          <w:p w14:paraId="3EB9B4D8" w14:textId="77777777" w:rsidR="00005973" w:rsidRDefault="00000000">
            <w:r>
              <w:t>Eventual (Kafka); requires saga pattern</w:t>
            </w:r>
          </w:p>
        </w:tc>
        <w:tc>
          <w:tcPr>
            <w:tcW w:w="2880" w:type="dxa"/>
          </w:tcPr>
          <w:p w14:paraId="755B8C0C" w14:textId="77777777" w:rsidR="00005973" w:rsidRDefault="00000000">
            <w:r>
              <w:t>Risk — mitigated</w:t>
            </w:r>
          </w:p>
        </w:tc>
      </w:tr>
      <w:tr w:rsidR="00005973" w14:paraId="3B4547B9" w14:textId="77777777">
        <w:tc>
          <w:tcPr>
            <w:tcW w:w="2880" w:type="dxa"/>
          </w:tcPr>
          <w:p w14:paraId="4D69D7B4" w14:textId="77777777" w:rsidR="00005973" w:rsidRDefault="00000000">
            <w:r>
              <w:t>Infrastructure</w:t>
            </w:r>
          </w:p>
        </w:tc>
        <w:tc>
          <w:tcPr>
            <w:tcW w:w="2880" w:type="dxa"/>
          </w:tcPr>
          <w:p w14:paraId="7084E503" w14:textId="77777777" w:rsidR="00005973" w:rsidRDefault="00000000">
            <w:r>
              <w:t>Higher complexity; managed via Docker</w:t>
            </w:r>
          </w:p>
        </w:tc>
        <w:tc>
          <w:tcPr>
            <w:tcW w:w="2880" w:type="dxa"/>
          </w:tcPr>
          <w:p w14:paraId="35528F03" w14:textId="77777777" w:rsidR="00005973" w:rsidRDefault="00000000">
            <w:r>
              <w:t>Risk — mitigated</w:t>
            </w:r>
          </w:p>
        </w:tc>
      </w:tr>
      <w:tr w:rsidR="00005973" w14:paraId="56B0A03F" w14:textId="77777777">
        <w:tc>
          <w:tcPr>
            <w:tcW w:w="2880" w:type="dxa"/>
          </w:tcPr>
          <w:p w14:paraId="6BDD51AE" w14:textId="77777777" w:rsidR="00005973" w:rsidRDefault="00000000">
            <w:r>
              <w:t>Latency</w:t>
            </w:r>
          </w:p>
        </w:tc>
        <w:tc>
          <w:tcPr>
            <w:tcW w:w="2880" w:type="dxa"/>
          </w:tcPr>
          <w:p w14:paraId="2493795F" w14:textId="77777777" w:rsidR="00005973" w:rsidRDefault="00000000">
            <w:r>
              <w:t>Network hops; minimised by co-location</w:t>
            </w:r>
          </w:p>
        </w:tc>
        <w:tc>
          <w:tcPr>
            <w:tcW w:w="2880" w:type="dxa"/>
          </w:tcPr>
          <w:p w14:paraId="48A40069" w14:textId="77777777" w:rsidR="00005973" w:rsidRDefault="00000000">
            <w:r>
              <w:t>Risk — mitigated</w:t>
            </w:r>
          </w:p>
        </w:tc>
      </w:tr>
      <w:tr w:rsidR="00005973" w14:paraId="5C6A66FC" w14:textId="77777777">
        <w:tc>
          <w:tcPr>
            <w:tcW w:w="2880" w:type="dxa"/>
          </w:tcPr>
          <w:p w14:paraId="51008480" w14:textId="77777777" w:rsidR="00005973" w:rsidRDefault="00000000">
            <w:r>
              <w:t>Observability</w:t>
            </w:r>
          </w:p>
        </w:tc>
        <w:tc>
          <w:tcPr>
            <w:tcW w:w="2880" w:type="dxa"/>
          </w:tcPr>
          <w:p w14:paraId="1BE806C2" w14:textId="77777777" w:rsidR="00005973" w:rsidRDefault="00000000">
            <w:r>
              <w:t>Harder tracing; correlation IDs applied</w:t>
            </w:r>
          </w:p>
        </w:tc>
        <w:tc>
          <w:tcPr>
            <w:tcW w:w="2880" w:type="dxa"/>
          </w:tcPr>
          <w:p w14:paraId="2F57F54D" w14:textId="77777777" w:rsidR="00005973" w:rsidRDefault="00000000">
            <w:r>
              <w:t>Risk — mitigated</w:t>
            </w:r>
          </w:p>
        </w:tc>
      </w:tr>
      <w:tr w:rsidR="00005973" w14:paraId="23FE71F4" w14:textId="77777777">
        <w:tc>
          <w:tcPr>
            <w:tcW w:w="2880" w:type="dxa"/>
          </w:tcPr>
          <w:p w14:paraId="78FDAD7B" w14:textId="77777777" w:rsidR="00005973" w:rsidRDefault="00000000">
            <w:r>
              <w:t>Security</w:t>
            </w:r>
          </w:p>
        </w:tc>
        <w:tc>
          <w:tcPr>
            <w:tcW w:w="2880" w:type="dxa"/>
          </w:tcPr>
          <w:p w14:paraId="36F54304" w14:textId="77777777" w:rsidR="00005973" w:rsidRDefault="00000000">
            <w:r>
              <w:t>Larger surface; NGINX gateway + per-service JWT</w:t>
            </w:r>
          </w:p>
        </w:tc>
        <w:tc>
          <w:tcPr>
            <w:tcW w:w="2880" w:type="dxa"/>
          </w:tcPr>
          <w:p w14:paraId="7A18C9B1" w14:textId="77777777" w:rsidR="00005973" w:rsidRDefault="00000000">
            <w:r>
              <w:t>Risk — mitigated</w:t>
            </w:r>
          </w:p>
        </w:tc>
      </w:tr>
      <w:tr w:rsidR="00005973" w14:paraId="68449955" w14:textId="77777777">
        <w:tc>
          <w:tcPr>
            <w:tcW w:w="2880" w:type="dxa"/>
          </w:tcPr>
          <w:p w14:paraId="736671C8" w14:textId="77777777" w:rsidR="00005973" w:rsidRDefault="00000000">
            <w:r>
              <w:t>Codebase clarity</w:t>
            </w:r>
          </w:p>
        </w:tc>
        <w:tc>
          <w:tcPr>
            <w:tcW w:w="2880" w:type="dxa"/>
          </w:tcPr>
          <w:p w14:paraId="3C28052F" w14:textId="77777777" w:rsidR="00005973" w:rsidRDefault="00000000">
            <w:r>
              <w:t>Smaller, focused services</w:t>
            </w:r>
          </w:p>
        </w:tc>
        <w:tc>
          <w:tcPr>
            <w:tcW w:w="2880" w:type="dxa"/>
          </w:tcPr>
          <w:p w14:paraId="665BBBE8" w14:textId="77777777" w:rsidR="00005973" w:rsidRDefault="00000000">
            <w:r>
              <w:t>Benefit</w:t>
            </w:r>
          </w:p>
        </w:tc>
      </w:tr>
      <w:tr w:rsidR="00005973" w14:paraId="28DC1F3B" w14:textId="77777777">
        <w:tc>
          <w:tcPr>
            <w:tcW w:w="2880" w:type="dxa"/>
          </w:tcPr>
          <w:p w14:paraId="2ABB3ADB" w14:textId="77777777" w:rsidR="00005973" w:rsidRDefault="00000000">
            <w:r>
              <w:t>Team autonomy</w:t>
            </w:r>
          </w:p>
        </w:tc>
        <w:tc>
          <w:tcPr>
            <w:tcW w:w="2880" w:type="dxa"/>
          </w:tcPr>
          <w:p w14:paraId="6BCDA964" w14:textId="77777777" w:rsidR="00005973" w:rsidRDefault="00000000">
            <w:r>
              <w:t>Service ownership possible</w:t>
            </w:r>
          </w:p>
        </w:tc>
        <w:tc>
          <w:tcPr>
            <w:tcW w:w="2880" w:type="dxa"/>
          </w:tcPr>
          <w:p w14:paraId="4BE84642" w14:textId="77777777" w:rsidR="00005973" w:rsidRDefault="00000000">
            <w:r>
              <w:t>Benefit</w:t>
            </w:r>
          </w:p>
        </w:tc>
      </w:tr>
    </w:tbl>
    <w:p w14:paraId="1FA6D854" w14:textId="77777777" w:rsidR="00005973" w:rsidRDefault="00005973"/>
    <w:p w14:paraId="5EC5C357" w14:textId="77777777" w:rsidR="00005973" w:rsidRDefault="00000000">
      <w:r>
        <w:rPr>
          <w:i/>
        </w:rPr>
        <w:t>Overall verdict: The benefits of microservice architecture outweigh the risks for a university ERP system with clearly distinct business domains. The risks are well-understood and have established mitigation patterns (eventual consistency, Docker orchestration, JWT-per-service). The architecture is appropriate for this system.</w:t>
      </w:r>
    </w:p>
    <w:sectPr w:rsidR="000059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Iskoola Pota">
    <w:panose1 w:val="020B0502040204020203"/>
    <w:charset w:val="4D"/>
    <w:family w:val="swiss"/>
    <w:notTrueType/>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71060">
    <w:abstractNumId w:val="8"/>
  </w:num>
  <w:num w:numId="2" w16cid:durableId="745299546">
    <w:abstractNumId w:val="6"/>
  </w:num>
  <w:num w:numId="3" w16cid:durableId="1443840279">
    <w:abstractNumId w:val="5"/>
  </w:num>
  <w:num w:numId="4" w16cid:durableId="952514828">
    <w:abstractNumId w:val="4"/>
  </w:num>
  <w:num w:numId="5" w16cid:durableId="1518274275">
    <w:abstractNumId w:val="7"/>
  </w:num>
  <w:num w:numId="6" w16cid:durableId="504327688">
    <w:abstractNumId w:val="3"/>
  </w:num>
  <w:num w:numId="7" w16cid:durableId="371543612">
    <w:abstractNumId w:val="2"/>
  </w:num>
  <w:num w:numId="8" w16cid:durableId="1458797353">
    <w:abstractNumId w:val="1"/>
  </w:num>
  <w:num w:numId="9" w16cid:durableId="105134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73"/>
    <w:rsid w:val="00034616"/>
    <w:rsid w:val="0006063C"/>
    <w:rsid w:val="0015074B"/>
    <w:rsid w:val="00170DDB"/>
    <w:rsid w:val="0029639D"/>
    <w:rsid w:val="00326F90"/>
    <w:rsid w:val="00983F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405B6"/>
  <w14:defaultImageDpi w14:val="300"/>
  <w15:docId w15:val="{B8A78C46-0AAA-3245-B76D-D44C1FD6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1024</Words>
  <Characters>6219</Characters>
  <Application>Microsoft Office Word</Application>
  <DocSecurity>0</DocSecurity>
  <Lines>144</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Karunatilleke</cp:lastModifiedBy>
  <cp:revision>2</cp:revision>
  <dcterms:created xsi:type="dcterms:W3CDTF">2013-12-23T23:15:00Z</dcterms:created>
  <dcterms:modified xsi:type="dcterms:W3CDTF">2026-07-11T11:39:00Z</dcterms:modified>
  <cp:category/>
</cp:coreProperties>
</file>