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Entrepreneurship Cell (E-Cell), IIT Dholakpur</w:t>
        <w:br/>
        <w:t>Standard Operating Procedure (SOP)</w:t>
      </w:r>
    </w:p>
    <w:p>
      <w:pPr>
        <w:jc w:val="center"/>
      </w:pPr>
      <w:r>
        <w:t>Version 1.2</w:t>
        <w:br/>
        <w:t>Effective Date: July 2026</w:t>
        <w:br/>
        <w:t>Document Owner: Executive Committee</w:t>
      </w:r>
    </w:p>
    <w:p>
      <w:pPr>
        <w:pStyle w:val="Heading2"/>
      </w:pPr>
      <w:r>
        <w:t>1. Purpose</w:t>
      </w:r>
    </w:p>
    <w:p>
      <w:r>
        <w:t>To establish standardized procedures for the Entrepreneurship Cell (E-Cell), IIT Dholakpur in planning entrepreneurship activities, startup support programs, workshops, competitions, and industry interactions while ensuring accountability and smooth execution.</w:t>
      </w:r>
    </w:p>
    <w:p>
      <w:pPr>
        <w:pStyle w:val="Heading2"/>
      </w:pPr>
      <w:r>
        <w:t>2. Scope</w:t>
      </w:r>
    </w:p>
    <w:p>
      <w:r>
        <w:t>This SOP applies to all Executive Committee members, vertical heads, coordinators, volunteers, faculty advisors, startup mentors, and external partners associated with E-Cell initiatives.</w:t>
      </w:r>
    </w:p>
    <w:p>
      <w:pPr>
        <w:pStyle w:val="Heading2"/>
      </w:pPr>
      <w:r>
        <w:t>3. Organizational Structure</w:t>
      </w:r>
    </w:p>
    <w:p>
      <w:r>
        <w:t>The committee consists of the President, Vice President, General Secretary, Finance Head, Events Head, Corporate Relations Head, Marketing Head, Design Lead, Technical Lead, and Operations Team. Vertical heads submit weekly updates to the General Secretary every Sunday before 8:00 PM.</w:t>
      </w:r>
    </w:p>
    <w:p>
      <w:pPr>
        <w:pStyle w:val="Heading2"/>
      </w:pPr>
      <w:r>
        <w:t>4. Event Lifecycle</w:t>
      </w:r>
    </w:p>
    <w:p>
      <w:r>
        <w:t>Every event begins with a concept note, budget estimate, expected outcomes, risk assessment, and timeline. Approval from the President and Faculty Advisor is mandatory before sponsor outreach or public announcements.</w:t>
      </w:r>
    </w:p>
    <w:p>
      <w:pPr>
        <w:pStyle w:val="Heading2"/>
      </w:pPr>
      <w:r>
        <w:t>5. Sponsorship Process</w:t>
      </w:r>
    </w:p>
    <w:p>
      <w:r>
        <w:t>The Corporate Relations team prepares sponsorship decks, maintains a company outreach tracker, and records all discussions. No sponsorship commitment may be accepted without written confirmation and Finance Head approval.</w:t>
      </w:r>
    </w:p>
    <w:p>
      <w:pPr>
        <w:pStyle w:val="Heading2"/>
      </w:pPr>
      <w:r>
        <w:t>6. Financial Controls</w:t>
      </w:r>
    </w:p>
    <w:p>
      <w:r>
        <w:t>Expense requests above ₹5,000 require dual approval from the President and Finance Head. Bills must be submitted within three working days after the event. A monthly financial summary is presented during the Executive Committee meeting.</w:t>
      </w:r>
    </w:p>
    <w:p>
      <w:pPr>
        <w:pStyle w:val="Heading2"/>
      </w:pPr>
      <w:r>
        <w:t>7. Communication Protocol</w:t>
      </w:r>
    </w:p>
    <w:p>
      <w:r>
        <w:t>Official communication is conducted through institute email and approved messaging groups. Meeting minutes are circulated within 24 hours. Sensitive sponsor information shall remain confidential.</w:t>
      </w:r>
    </w:p>
    <w:p>
      <w:pPr>
        <w:pStyle w:val="Heading2"/>
      </w:pPr>
      <w:r>
        <w:t>8. Event Day SOP</w:t>
      </w:r>
    </w:p>
    <w:p>
      <w:r>
        <w:t>Operations Team reports two hours before commencement. Registration desks open one hour prior to the event. Technical checks, audiovisual testing, speaker hospitality, photography, and emergency contacts are verified using a readiness checklist.</w:t>
      </w:r>
    </w:p>
    <w:p>
      <w:pPr>
        <w:pStyle w:val="Heading2"/>
      </w:pPr>
      <w:r>
        <w:t>9. Post-Event Review</w:t>
      </w:r>
    </w:p>
    <w:p>
      <w:r>
        <w:t>Feedback forms, attendance reports, sponsor acknowledgements, expenditure statements, photographs, and social media analytics are compiled within five working days. A retrospective meeting identifies improvements for future editions.</w:t>
      </w:r>
    </w:p>
    <w:p>
      <w:pPr>
        <w:pStyle w:val="Heading2"/>
      </w:pPr>
      <w:r>
        <w:t>10. Code of Conduct</w:t>
      </w:r>
    </w:p>
    <w:p>
      <w:r>
        <w:t>Members shall maintain professionalism, avoid conflicts of interest, respect institute policies, and represent the organization responsibly during interactions with startups, investors, faculty, and industry representatives.</w:t>
      </w:r>
    </w:p>
    <w:p>
      <w:pPr>
        <w:pStyle w:val="Heading2"/>
      </w:pPr>
      <w:r>
        <w:t>Annexure A – Weekly Meeting Agenda</w:t>
      </w:r>
    </w:p>
    <w:p>
      <w:r>
        <w:t>• Review pending action items</w:t>
        <w:br/>
        <w:t>• Budget updates</w:t>
        <w:br/>
        <w:t>• Sponsorship status</w:t>
        <w:br/>
        <w:t>• Upcoming event milestones</w:t>
        <w:br/>
        <w:t>• Volunteer allocation</w:t>
        <w:br/>
        <w:t>• Risks and mitigation</w:t>
        <w:br/>
        <w:t>• Open discussion</w:t>
      </w:r>
    </w:p>
    <w:p>
      <w:pPr>
        <w:pStyle w:val="Heading2"/>
      </w:pPr>
      <w:r>
        <w:t>Annexure B – Event Readiness Checklist</w:t>
      </w:r>
    </w:p>
    <w:p>
      <w:pPr>
        <w:pStyle w:val="ListBullet"/>
      </w:pPr>
      <w:r>
        <w:t>Venue booking confirmed</w:t>
      </w:r>
    </w:p>
    <w:p>
      <w:pPr>
        <w:pStyle w:val="ListBullet"/>
      </w:pPr>
      <w:r>
        <w:t>Permissions obtained</w:t>
      </w:r>
    </w:p>
    <w:p>
      <w:pPr>
        <w:pStyle w:val="ListBullet"/>
      </w:pPr>
      <w:r>
        <w:t>Speaker confirmation received</w:t>
      </w:r>
    </w:p>
    <w:p>
      <w:pPr>
        <w:pStyle w:val="ListBullet"/>
      </w:pPr>
      <w:r>
        <w:t>Registration portal tested</w:t>
      </w:r>
    </w:p>
    <w:p>
      <w:pPr>
        <w:pStyle w:val="ListBullet"/>
      </w:pPr>
      <w:r>
        <w:t>Certificates prepared</w:t>
      </w:r>
    </w:p>
    <w:p>
      <w:pPr>
        <w:pStyle w:val="ListBullet"/>
      </w:pPr>
      <w:r>
        <w:t>Emergency contacts available</w:t>
      </w:r>
    </w:p>
    <w:p>
      <w:pPr>
        <w:pStyle w:val="ListBullet"/>
      </w:pPr>
      <w:r>
        <w:t>Photography team assigned</w:t>
      </w:r>
    </w:p>
    <w:p>
      <w:pPr>
        <w:pStyle w:val="ListBullet"/>
      </w:pPr>
      <w:r>
        <w:t>Feedback form ready</w:t>
      </w:r>
    </w:p>
    <w:p>
      <w:pPr>
        <w:pStyle w:val="ListBullet"/>
      </w:pPr>
      <w:r>
        <w:t>Expense register prepared</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Changes</w:t>
            </w:r>
          </w:p>
        </w:tc>
        <w:tc>
          <w:tcPr>
            <w:tcW w:type="dxa" w:w="2160"/>
          </w:tcPr>
          <w:p>
            <w:r>
              <w:t>Approved By</w:t>
            </w:r>
          </w:p>
        </w:tc>
      </w:tr>
      <w:tr>
        <w:tc>
          <w:tcPr>
            <w:tcW w:type="dxa" w:w="2160"/>
          </w:tcPr>
          <w:p>
            <w:r>
              <w:t>1.2</w:t>
            </w:r>
          </w:p>
        </w:tc>
        <w:tc>
          <w:tcPr>
            <w:tcW w:type="dxa" w:w="2160"/>
          </w:tcPr>
          <w:p>
            <w:r>
              <w:t>July 2026</w:t>
            </w:r>
          </w:p>
        </w:tc>
        <w:tc>
          <w:tcPr>
            <w:tcW w:type="dxa" w:w="2160"/>
          </w:tcPr>
          <w:p>
            <w:r>
              <w:t>Initial committee SOP</w:t>
            </w:r>
          </w:p>
        </w:tc>
        <w:tc>
          <w:tcPr>
            <w:tcW w:type="dxa" w:w="2160"/>
          </w:tcPr>
          <w:p>
            <w:r>
              <w:t>Faculty Advisor</w:t>
            </w:r>
          </w:p>
        </w:tc>
      </w:tr>
    </w:tbl>
    <w:p>
      <w:r>
        <w:br/>
        <w:t>This document is intended as a realistic sample SOP for a fictional student organization named 'Entrepreneurship Cell (E-Cell), IIT Dholakpur'.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