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Agile Delivery Plan: Payment Verification &amp; Reconciliation Automation</w:t>
      </w:r>
    </w:p>
    <w:p>
      <w:pPr>
        <w:pStyle w:val="Subtitle"/>
        <w:rPr/>
      </w:pPr>
      <w:r>
        <w:rPr/>
        <w:t>Timeline, Team, Initial Requirements, and Cost Estimate – 500 Transactions/Day Scenario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0"/>
            <w:rPr>
              <w:rFonts w:ascii="Calibri" w:hAnsi="Calibri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Table of Contents</w:t>
          </w:r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817_1308863097">
            <w:r>
              <w:rPr>
                <w:webHidden/>
                <w:rStyle w:val="IndexLink"/>
              </w:rPr>
              <w:t>1. Summary of Approach</w:t>
              <w:tab/>
              <w:t>1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19_1308863097">
            <w:r>
              <w:rPr>
                <w:webHidden/>
                <w:rStyle w:val="IndexLink"/>
              </w:rPr>
              <w:t>2. Key Assumptions (To Be Validated With Stakeholders)</w:t>
              <w:tab/>
              <w:t>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21_1308863097">
            <w:r>
              <w:rPr>
                <w:webHidden/>
                <w:rStyle w:val="IndexLink"/>
              </w:rPr>
              <w:t>3. Initial Requirements / Sprint 0 (Definition of Ready)</w:t>
              <w:tab/>
              <w:t>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23_1308863097">
            <w:r>
              <w:rPr>
                <w:webHidden/>
                <w:rStyle w:val="IndexLink"/>
              </w:rPr>
              <w:t>4. Team &amp; RACI Structure</w:t>
              <w:tab/>
              <w:t>3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25_1308863097">
            <w:r>
              <w:rPr>
                <w:webHidden/>
                <w:rStyle w:val="IndexLink"/>
              </w:rPr>
              <w:t>5. Product Backlog (Epic Level)</w:t>
              <w:tab/>
              <w:t>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27_1308863097">
            <w:r>
              <w:rPr>
                <w:webHidden/>
                <w:rStyle w:val="IndexLink"/>
              </w:rPr>
              <w:t>6. Sprint Plan &amp; Timeline</w:t>
              <w:tab/>
              <w:t>5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29_1308863097">
            <w:r>
              <w:rPr>
                <w:webHidden/>
                <w:rStyle w:val="IndexLink"/>
              </w:rPr>
              <w:t>7. Ceremony Cadence</w:t>
              <w:tab/>
              <w:t>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31_1308863097">
            <w:r>
              <w:rPr>
                <w:webHidden/>
                <w:rStyle w:val="IndexLink"/>
              </w:rPr>
              <w:t>8. Definition of Done (Example, to Be Re-Agreed in Sprint 0)</w:t>
              <w:tab/>
              <w:t>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33_1308863097">
            <w:r>
              <w:rPr>
                <w:webHidden/>
                <w:rStyle w:val="IndexLink"/>
              </w:rPr>
              <w:t>9. Phase 2 &amp; Phase 3 Roadmap (High Level)</w:t>
              <w:tab/>
              <w:t>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35_1308863097">
            <w:r>
              <w:rPr>
                <w:webHidden/>
                <w:rStyle w:val="IndexLink"/>
              </w:rPr>
              <w:t>10. Risks to the Timeline</w:t>
              <w:tab/>
              <w:t>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37_1308863097">
            <w:r>
              <w:rPr>
                <w:webHidden/>
                <w:rStyle w:val="IndexLink"/>
              </w:rPr>
              <w:t>11. Cost Estimate – 500 Transactions/Day Scenario</w:t>
              <w:tab/>
              <w:t>8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39_1308863097">
            <w:r>
              <w:rPr>
                <w:webHidden/>
                <w:rStyle w:val="IndexLink"/>
              </w:rPr>
              <w:t>Appendix – Additional Assumptions &amp; Clarifying Questions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FirstParagraph"/>
        <w:rPr/>
      </w:pPr>
      <w:r>
        <w:rPr>
          <w:b/>
          <w:bCs/>
        </w:rPr>
        <w:t>Version:</w:t>
      </w:r>
      <w:r>
        <w:rPr/>
        <w:t xml:space="preserve"> 1.0 (Delivery planning draft, a companion to the earlier Technical Design Document) </w:t>
      </w:r>
      <w:r>
        <w:rPr>
          <w:b/>
          <w:bCs/>
        </w:rPr>
        <w:t>Methodology:</w:t>
      </w:r>
      <w:r>
        <w:rPr/>
        <w:t xml:space="preserve"> Scrum, 2-week sprints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__RefHeading___Toc2817_1308863097"/>
      <w:bookmarkStart w:id="1" w:name="summary-of-approach"/>
      <w:bookmarkEnd w:id="0"/>
      <w:r>
        <w:rPr/>
        <w:t>1. Summary of Approach</w:t>
      </w:r>
    </w:p>
    <w:p>
      <w:pPr>
        <w:pStyle w:val="FirstParagraph"/>
        <w:rPr/>
      </w:pPr>
      <w:r>
        <w:rPr/>
        <w:t xml:space="preserve">This project is executed using </w:t>
      </w:r>
      <w:r>
        <w:rPr>
          <w:b/>
          <w:bCs/>
        </w:rPr>
        <w:t>Scrum</w:t>
      </w:r>
      <w:r>
        <w:rPr/>
        <w:t xml:space="preserve"> (2-week sprints) because its scope touches many interdependent components (OCR, folder automation, matching engine, security) that require a </w:t>
      </w:r>
      <w:r>
        <w:rPr>
          <w:b/>
          <w:bCs/>
        </w:rPr>
        <w:t>fast feedback loop</w:t>
      </w:r>
      <w:r>
        <w:rPr/>
        <w:t xml:space="preserve"> and the ability to re-prioritize as soon as assumptions (Appendix A in the earlier document) get confirmed or change in the field.</w:t>
      </w:r>
    </w:p>
    <w:p>
      <w:pPr>
        <w:pStyle w:val="BodyText"/>
        <w:rPr/>
      </w:pPr>
      <w:r>
        <w:rPr/>
        <w:t>Overall structure: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Sprint 0 (Discovery/Setup)</w:t>
      </w:r>
      <w:r>
        <w:rPr/>
        <w:t xml:space="preserve"> – 2 weeks, not a feature-development sprint, but ensuring the Definition of Ready is met.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Sprints 1-6 (MVP Build)</w:t>
      </w:r>
      <w:r>
        <w:rPr/>
        <w:t xml:space="preserve"> – 12 weeks, building the MVP scope from the technical design document (Section 34).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Sprint 7 (Hardening, UAT, Pilot Go-Live)</w:t>
      </w:r>
      <w:r>
        <w:rPr/>
        <w:t xml:space="preserve"> – 2 weeks.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Total MVP: ~16 weeks (~4 months)</w:t>
      </w:r>
      <w:r>
        <w:rPr/>
        <w:t xml:space="preserve"> from kickoff to pilot go-live with 1-2 banks.</w:t>
      </w:r>
    </w:p>
    <w:p>
      <w:pPr>
        <w:pStyle w:val="FirstParagraph"/>
        <w:rPr/>
      </w:pPr>
      <w:r>
        <w:rPr/>
        <w:t xml:space="preserve">This is an </w:t>
      </w:r>
      <w:r>
        <w:rPr>
          <w:b/>
          <w:bCs/>
        </w:rPr>
        <w:t>illustrative</w:t>
      </w:r>
      <w:r>
        <w:rPr/>
        <w:t xml:space="preserve"> estimate based on the team-size assumptions in Section 4 – the real duration may change once Sprint 0 is complete and the backlog is refined with the actual team’s estimates.</w:t>
      </w:r>
    </w:p>
    <w:p>
      <w:pPr>
        <w:pStyle w:val="Normal"/>
        <w:rPr/>
      </w:pPr>
      <w:bookmarkStart w:id="2" w:name="summary-of-approach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__RefHeading___Toc2819_1308863097"/>
      <w:bookmarkStart w:id="4" w:name="X46511fd3cd8c896f60e8631e7358e95e058bc5c"/>
      <w:bookmarkEnd w:id="3"/>
      <w:r>
        <w:rPr/>
        <w:t>2. Key Assumptions (To Be Validated With Stakeholders)</w:t>
      </w:r>
    </w:p>
    <w:p>
      <w:pPr>
        <w:pStyle w:val="FirstParagraph"/>
        <w:rPr/>
      </w:pPr>
      <w:r>
        <w:rPr/>
        <w:t>The timeline, team, and cost estimates in this document are built on the following assumptions:</w:t>
      </w:r>
    </w:p>
    <w:p>
      <w:pPr>
        <w:pStyle w:val="Compact"/>
        <w:numPr>
          <w:ilvl w:val="0"/>
          <w:numId w:val="12"/>
        </w:numPr>
        <w:rPr/>
      </w:pPr>
      <w:r>
        <w:rPr/>
        <w:t xml:space="preserve">Costing volume basis: </w:t>
      </w:r>
      <w:r>
        <w:rPr>
          <w:b/>
          <w:bCs/>
        </w:rPr>
        <w:t>500 transactions/day</w:t>
      </w:r>
      <w:r>
        <w:rPr/>
        <w:t xml:space="preserve"> (~15,000/month) – per the requested scenario, sitting between the “100/day” and “1,000/day” tiers in the earlier scalability analysis (Section 32).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The core team works </w:t>
      </w:r>
      <w:r>
        <w:rPr>
          <w:b/>
          <w:bCs/>
        </w:rPr>
        <w:t>onshore in Malaysia</w:t>
      </w:r>
      <w:r>
        <w:rPr/>
        <w:t>, hybrid working model, mostly full-time hires (in-house) – an alternative outsourcing/turnkey vendor scenario is also given as a comparison in Section 11.</w:t>
      </w:r>
    </w:p>
    <w:p>
      <w:pPr>
        <w:pStyle w:val="Compact"/>
        <w:numPr>
          <w:ilvl w:val="0"/>
          <w:numId w:val="14"/>
        </w:numPr>
        <w:rPr/>
      </w:pPr>
      <w:r>
        <w:rPr/>
        <w:t>Standard: 1 sprint = 2 weeks = ~9-10 effective working days (after ceremony overhead).</w:t>
      </w:r>
    </w:p>
    <w:p>
      <w:pPr>
        <w:pStyle w:val="Compact"/>
        <w:numPr>
          <w:ilvl w:val="0"/>
          <w:numId w:val="15"/>
        </w:numPr>
        <w:rPr/>
      </w:pPr>
      <w:r>
        <w:rPr/>
        <w:t>The company already has a basic cloud subscription (Azure/GCP/AWS) or is willing to set one up – internal procurement/approval is not counted as part of the sprint timeline (it must be completed before Sprint 1, see Section 3).</w:t>
      </w:r>
    </w:p>
    <w:p>
      <w:pPr>
        <w:pStyle w:val="Compact"/>
        <w:numPr>
          <w:ilvl w:val="0"/>
          <w:numId w:val="16"/>
        </w:numPr>
        <w:rPr/>
      </w:pPr>
      <w:r>
        <w:rPr/>
        <w:t xml:space="preserve">The MVP targets </w:t>
      </w:r>
      <w:r>
        <w:rPr>
          <w:b/>
          <w:bCs/>
        </w:rPr>
        <w:t>the 2-3 highest-volume banks</w:t>
      </w:r>
      <w:r>
        <w:rPr/>
        <w:t xml:space="preserve"> first (per the recommendation in Section 34 of the earlier document), not every bank at once.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All cost estimates are in Malaysian Ringgit (RM) unless stated otherwise, based on 2026 market benchmark data (Section 11) – </w:t>
      </w:r>
      <w:r>
        <w:rPr>
          <w:b/>
          <w:bCs/>
        </w:rPr>
        <w:t>not</w:t>
      </w:r>
      <w:r>
        <w:rPr/>
        <w:t xml:space="preserve"> an official vendor quote.</w:t>
      </w:r>
    </w:p>
    <w:p>
      <w:pPr>
        <w:pStyle w:val="Normal"/>
        <w:rPr/>
      </w:pPr>
      <w:bookmarkStart w:id="5" w:name="X46511fd3cd8c896f60e8631e7358e95e058bc5c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__RefHeading___Toc2821_1308863097"/>
      <w:bookmarkStart w:id="7" w:name="Xe86d7f19ac61510fed6546dce428bda6b2846db"/>
      <w:bookmarkEnd w:id="6"/>
      <w:r>
        <w:rPr/>
        <w:t>3. Initial Requirements / Sprint 0 (Definition of Ready)</w:t>
      </w:r>
    </w:p>
    <w:p>
      <w:pPr>
        <w:pStyle w:val="FirstParagraph"/>
        <w:rPr/>
      </w:pPr>
      <w:r>
        <w:rPr/>
        <w:t xml:space="preserve">Sprint 0 focuses on making sure the team is </w:t>
      </w:r>
      <w:r>
        <w:rPr>
          <w:b/>
          <w:bCs/>
        </w:rPr>
        <w:t>not blocked</w:t>
      </w:r>
      <w:r>
        <w:rPr/>
        <w:t xml:space="preserve"> the moment Sprint 1 starts. The following checklist must be complete before Sprint 1:</w:t>
      </w:r>
    </w:p>
    <w:p>
      <w:pPr>
        <w:pStyle w:val="Heading3"/>
        <w:rPr/>
      </w:pPr>
      <w:bookmarkStart w:id="8" w:name="access-data"/>
      <w:r>
        <w:rPr/>
        <w:t>3.1 Access &amp; Data</w:t>
      </w:r>
    </w:p>
    <w:p>
      <w:pPr>
        <w:pStyle w:val="Compact"/>
        <w:numPr>
          <w:ilvl w:val="0"/>
          <w:numId w:val="18"/>
        </w:numPr>
        <w:rPr/>
      </w:pPr>
      <w:r>
        <w:rPr/>
        <w:t>At least 30-50 real sample receipt images (photo/screenshot, anonymized if needed) from the 2-3 banks targeted for the MVP.</w:t>
      </w:r>
    </w:p>
    <w:p>
      <w:pPr>
        <w:pStyle w:val="Compact"/>
        <w:numPr>
          <w:ilvl w:val="0"/>
          <w:numId w:val="19"/>
        </w:numPr>
        <w:rPr/>
      </w:pPr>
      <w:r>
        <w:rPr/>
        <w:t>At least 2-3 real bank XLSX files (dummy/anonymized data) for each target bank, to build the column mapping config (Technical Design Document Section 13).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Written confirmation from the finance/teller team on the meaning of fields 3 and 8 in the teller string format (see Appendix A/B of the earlier document) – a </w:t>
      </w:r>
      <w:r>
        <w:rPr>
          <w:b/>
          <w:bCs/>
        </w:rPr>
        <w:t>critical blocker</w:t>
      </w:r>
      <w:r>
        <w:rPr/>
        <w:t xml:space="preserve"> for Epic A, must be resolved in Sprint 0.</w:t>
      </w:r>
    </w:p>
    <w:p>
      <w:pPr>
        <w:pStyle w:val="Compact"/>
        <w:numPr>
          <w:ilvl w:val="0"/>
          <w:numId w:val="21"/>
        </w:numPr>
        <w:rPr/>
      </w:pPr>
      <w:r>
        <w:rPr/>
        <w:t>Access to the WhatsApp Business API (sandbox/test number) for the bot already in operation.</w:t>
      </w:r>
    </w:p>
    <w:p>
      <w:pPr>
        <w:pStyle w:val="Compact"/>
        <w:numPr>
          <w:ilvl w:val="0"/>
          <w:numId w:val="22"/>
        </w:numPr>
        <w:rPr/>
      </w:pPr>
      <w:bookmarkStart w:id="9" w:name="access-data"/>
      <w:r>
        <w:rPr/>
        <w:t>Sandbox/trial credentials for at least 1 OCR provider (Azure/Google/AWS) for an initial proof of concept.</w:t>
      </w:r>
      <w:bookmarkEnd w:id="9"/>
    </w:p>
    <w:p>
      <w:pPr>
        <w:pStyle w:val="Heading3"/>
        <w:rPr/>
      </w:pPr>
      <w:bookmarkStart w:id="10" w:name="environment-tooling"/>
      <w:r>
        <w:rPr/>
        <w:t>3.2 Environment &amp; Tooling</w:t>
      </w:r>
    </w:p>
    <w:p>
      <w:pPr>
        <w:pStyle w:val="Compact"/>
        <w:numPr>
          <w:ilvl w:val="0"/>
          <w:numId w:val="23"/>
        </w:numPr>
        <w:rPr/>
      </w:pPr>
      <w:r>
        <w:rPr/>
        <w:t>A cloud subscription (dev + staging) is available, with a resource group/project separate from existing production.</w:t>
      </w:r>
    </w:p>
    <w:p>
      <w:pPr>
        <w:pStyle w:val="Compact"/>
        <w:numPr>
          <w:ilvl w:val="0"/>
          <w:numId w:val="24"/>
        </w:numPr>
        <w:rPr/>
      </w:pPr>
      <w:r>
        <w:rPr/>
        <w:t>A code repository + a basic CI/CD pipeline (build, lint, test) is already working.</w:t>
      </w:r>
    </w:p>
    <w:p>
      <w:pPr>
        <w:pStyle w:val="Compact"/>
        <w:numPr>
          <w:ilvl w:val="0"/>
          <w:numId w:val="25"/>
        </w:numPr>
        <w:rPr/>
      </w:pPr>
      <w:r>
        <w:rPr/>
        <w:t>A secure folder for bank XLSX files (Option 1, Section 20 of the earlier document) has been set up by IT with the correct permissions.</w:t>
      </w:r>
    </w:p>
    <w:p>
      <w:pPr>
        <w:pStyle w:val="Compact"/>
        <w:numPr>
          <w:ilvl w:val="0"/>
          <w:numId w:val="26"/>
        </w:numPr>
        <w:rPr/>
      </w:pPr>
      <w:bookmarkStart w:id="11" w:name="environment-tooling"/>
      <w:r>
        <w:rPr/>
        <w:t>A Microsoft Teams account/finance notification channel has been created (if migrating away from the WA group is agreed).</w:t>
      </w:r>
      <w:bookmarkEnd w:id="11"/>
    </w:p>
    <w:p>
      <w:pPr>
        <w:pStyle w:val="Heading3"/>
        <w:rPr/>
      </w:pPr>
      <w:bookmarkStart w:id="12" w:name="governance-people"/>
      <w:r>
        <w:rPr/>
        <w:t>3.3 Governance &amp; People</w:t>
      </w:r>
    </w:p>
    <w:p>
      <w:pPr>
        <w:pStyle w:val="Compact"/>
        <w:numPr>
          <w:ilvl w:val="0"/>
          <w:numId w:val="27"/>
        </w:numPr>
        <w:rPr/>
      </w:pPr>
      <w:r>
        <w:rPr/>
        <w:t>A business-side Product Owner (finance ops) has been appointed and available for at least 50% of their time throughout the project.</w:t>
      </w:r>
    </w:p>
    <w:p>
      <w:pPr>
        <w:pStyle w:val="Compact"/>
        <w:numPr>
          <w:ilvl w:val="0"/>
          <w:numId w:val="28"/>
        </w:numPr>
        <w:rPr/>
      </w:pPr>
      <w:r>
        <w:rPr/>
        <w:t>The security team has had an initial briefing on the proposed architecture (so the approvals in Sections 20/21 don’t become a surprise blocker in Sprint 6/7).</w:t>
      </w:r>
    </w:p>
    <w:p>
      <w:pPr>
        <w:pStyle w:val="Compact"/>
        <w:numPr>
          <w:ilvl w:val="0"/>
          <w:numId w:val="29"/>
        </w:numPr>
        <w:rPr/>
      </w:pPr>
      <w:r>
        <w:rPr/>
        <w:t>Definition of Ready and Definition of Done (Section 8) have been agreed with the team.</w:t>
      </w:r>
    </w:p>
    <w:p>
      <w:pPr>
        <w:pStyle w:val="FirstParagraph"/>
        <w:rPr/>
      </w:pPr>
      <w:r>
        <w:rPr>
          <w:b/>
          <w:bCs/>
        </w:rPr>
        <w:t>Sprint 0 output:</w:t>
      </w:r>
      <w:r>
        <w:rPr/>
        <w:t xml:space="preserve"> a brief project charter, an initial backlog refined with rough estimates (Section 5), the final technical architecture approved, and every item on the checklist above checked off.</w:t>
      </w:r>
    </w:p>
    <w:p>
      <w:pPr>
        <w:pStyle w:val="Normal"/>
        <w:rPr/>
      </w:pPr>
      <w:bookmarkStart w:id="13" w:name="Xe86d7f19ac61510fed6546dce428bda6b2846db"/>
      <w:bookmarkStart w:id="14" w:name="governance-peopl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  <w:bookmarkEnd w:id="14"/>
    </w:p>
    <w:p>
      <w:pPr>
        <w:pStyle w:val="Heading2"/>
        <w:rPr/>
      </w:pPr>
      <w:bookmarkStart w:id="15" w:name="__RefHeading___Toc2823_1308863097"/>
      <w:bookmarkStart w:id="16" w:name="team-raci-structure"/>
      <w:bookmarkEnd w:id="15"/>
      <w:r>
        <w:rPr/>
        <w:t>4. Team &amp; RACI Structure</w:t>
      </w:r>
    </w:p>
    <w:p>
      <w:pPr>
        <w:pStyle w:val="Heading3"/>
        <w:rPr/>
      </w:pPr>
      <w:bookmarkStart w:id="17" w:name="proposed-team-composition"/>
      <w:r>
        <w:rPr/>
        <w:t>4.1 Proposed Team Composition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Allocation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Main Responsibility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Owner (PO)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Backlog prioritization, bridge to finance/the business, accepts/rejects sprint output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Scrum Master (SM)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20% (combined with the PO/Tech Lead for a team this small)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Facilitates ceremonies, removes blockers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Solution Architect (SA)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Architecture decisions, reviews the design of each epic, coordinates with security/IT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Backend Engineer x2 (BE)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each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API, database, matching engine, integration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Engineer (DE)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75%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schema, XLSX normalization, bank data pipeline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OCR/Document AI Engineer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75%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Classification, extraction, confidence scoring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Automation/Integration Engineer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Folder watcher, notifications (Teams/WA), external integration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 Engineer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30% (can be a part-time consultant)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RBAC, secrets management, security review each sprint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QA Engineer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plan, regression, UAT coordination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Finance SME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stakeholder, not part of the delivery team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Requirement validation, UAT, reviews output</w:t>
            </w:r>
          </w:p>
        </w:tc>
      </w:tr>
    </w:tbl>
    <w:p>
      <w:pPr>
        <w:pStyle w:val="BodyText"/>
        <w:rPr/>
      </w:pPr>
      <w:r>
        <w:rPr/>
        <w:t xml:space="preserve">Total capacity is roughly equivalent to </w:t>
      </w:r>
      <w:r>
        <w:rPr>
          <w:b/>
          <w:bCs/>
        </w:rPr>
        <w:t>5-6 FTE</w:t>
      </w:r>
      <w:r>
        <w:rPr/>
        <w:t xml:space="preserve"> (full-time equivalent).</w:t>
      </w:r>
      <w:bookmarkEnd w:id="17"/>
    </w:p>
    <w:p>
      <w:pPr>
        <w:pStyle w:val="Heading3"/>
        <w:rPr/>
      </w:pPr>
      <w:bookmarkStart w:id="18" w:name="raci-per-epic"/>
      <w:r>
        <w:rPr/>
        <w:t>4.2 RACI per Epic</w:t>
      </w:r>
    </w:p>
    <w:p>
      <w:pPr>
        <w:pStyle w:val="FirstParagraph"/>
        <w:rPr/>
      </w:pPr>
      <w:r>
        <w:rPr/>
        <w:t>R = Responsible, A = Accountable, C = Consulted, I = Informed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9"/>
        <w:gridCol w:w="1200"/>
        <w:gridCol w:w="1200"/>
        <w:gridCol w:w="1200"/>
        <w:gridCol w:w="1201"/>
        <w:gridCol w:w="1200"/>
        <w:gridCol w:w="1200"/>
        <w:gridCol w:w="1200"/>
        <w:gridCol w:w="1199"/>
      </w:tblGrid>
      <w:tr>
        <w:trPr>
          <w:tblHeader w:val="true"/>
        </w:trPr>
        <w:tc>
          <w:tcPr>
            <w:tcW w:w="11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</w:t>
            </w:r>
          </w:p>
        </w:tc>
        <w:tc>
          <w:tcPr>
            <w:tcW w:w="12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 Eng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Integration Eng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 Eng</w:t>
            </w:r>
          </w:p>
        </w:tc>
        <w:tc>
          <w:tcPr>
            <w:tcW w:w="11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QA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Sprint 0 – Discovery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 A – Receipt OCR Pipeline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 B – Bank File Ingestion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 C – Matching Engine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 D – Exception &amp; Finance Workflow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 E – Notification &amp; Reporting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 F – Security, RBAC, Audit (cross-cutting)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UAT &amp; Pilot Go-Live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</w:tr>
    </w:tbl>
    <w:p>
      <w:pPr>
        <w:pStyle w:val="BlockText"/>
        <w:rPr/>
      </w:pPr>
      <w:r>
        <w:rPr/>
        <w:t xml:space="preserve">Note: Epic F (security/audit) is </w:t>
      </w:r>
      <w:r>
        <w:rPr>
          <w:b/>
          <w:bCs/>
        </w:rPr>
        <w:t>not</w:t>
      </w:r>
      <w:r>
        <w:rPr/>
        <w:t xml:space="preserve"> a separate sprint at the end – every other epic must include security sub-tasks (audit logging, input validation, RBAC) from the start, per the “security by design” principle in Section 21 of the earlier document. The Security Engineer is involved in </w:t>
      </w:r>
      <w:r>
        <w:rPr>
          <w:b/>
          <w:bCs/>
        </w:rPr>
        <w:t>every</w:t>
      </w:r>
      <w:r>
        <w:rPr/>
        <w:t xml:space="preserve"> sprint review as a reviewer, not just showing up in the final sprint.</w:t>
      </w:r>
    </w:p>
    <w:p>
      <w:pPr>
        <w:pStyle w:val="Normal"/>
        <w:rPr/>
      </w:pPr>
      <w:bookmarkStart w:id="19" w:name="team-raci-structure"/>
      <w:bookmarkStart w:id="20" w:name="raci-per-epic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2"/>
        <w:rPr/>
      </w:pPr>
      <w:bookmarkStart w:id="21" w:name="__RefHeading___Toc2825_1308863097"/>
      <w:bookmarkStart w:id="22" w:name="product-backlog-epic-level"/>
      <w:bookmarkEnd w:id="21"/>
      <w:r>
        <w:rPr/>
        <w:t>5. Product Backlog (Epic Level)</w:t>
      </w:r>
    </w:p>
    <w:p>
      <w:pPr>
        <w:pStyle w:val="FirstParagraph"/>
        <w:rPr/>
      </w:pPr>
      <w:r>
        <w:rPr/>
        <w:t xml:space="preserve">This backlog is derived directly from the Functional Requirements (FR-001 through FR-020) in the earlier technical design document, grouped into epics with rough story-point estimates (Fibonacci: 1, 2, 3, 5, 8, 13) – </w:t>
      </w:r>
      <w:r>
        <w:rPr>
          <w:b/>
          <w:bCs/>
        </w:rPr>
        <w:t>these estimates are indicative</w:t>
      </w:r>
      <w:r>
        <w:rPr/>
        <w:t xml:space="preserve"> and must be re-refined by the team in Sprint 0/1 through planning poker.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Scope Summary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Related FRs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Point Estimate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A. Receipt OCR Pipeline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Upload, classification, OCR, field extraction, confidence scoring, teller string generator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FR-001 through FR-007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B. Bank File Ingestion &amp; Normalization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Folder watcher, readiness check, per-bank XLSX parsing, dedup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FR-008 through FR-011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C. Matching Engine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Hierarchical matching Levels 1-3, scoring, auto-verify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FR-012 through FR-014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D. Exception Handling &amp; Finance Workflow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Exception queue, finance decisions, decision audit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FR-015, FR-016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E. Notification &amp; Reporting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Teams/WA notifications, XLSX export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FR-017, FR-018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F. Security, RBAC &amp; Audit Logging (cross-cutting)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SSO, RBAC, secrets vault, audit trail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FR-019, FR-020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 (spread across all sprints)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~141 points</w:t>
            </w:r>
          </w:p>
        </w:tc>
      </w:tr>
    </w:tbl>
    <w:p>
      <w:pPr>
        <w:pStyle w:val="BodyText"/>
        <w:rPr/>
      </w:pPr>
      <w:r>
        <w:rPr/>
        <w:t xml:space="preserve">With a team of ~5-6 FTE and a conservative initial velocity assumption of </w:t>
      </w:r>
      <w:r>
        <w:rPr>
          <w:b/>
          <w:bCs/>
        </w:rPr>
        <w:t>~20-25 points/sprint</w:t>
      </w:r>
      <w:r>
        <w:rPr/>
        <w:t xml:space="preserve"> (real velocity can only be confirmed after the first 2 sprints), this backlog can realistically be completed in </w:t>
      </w:r>
      <w:r>
        <w:rPr>
          <w:b/>
          <w:bCs/>
        </w:rPr>
        <w:t>6 development sprints</w:t>
      </w:r>
      <w:r>
        <w:rPr/>
        <w:t xml:space="preserve"> (Sprints 1-6), matching the timeline in Section 6.</w:t>
      </w:r>
    </w:p>
    <w:p>
      <w:pPr>
        <w:pStyle w:val="Normal"/>
        <w:rPr/>
      </w:pPr>
      <w:bookmarkStart w:id="23" w:name="product-backlog-epic-level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2"/>
        <w:rPr/>
      </w:pPr>
      <w:bookmarkStart w:id="24" w:name="__RefHeading___Toc2827_1308863097"/>
      <w:bookmarkStart w:id="25" w:name="sprint-plan-timeline"/>
      <w:bookmarkEnd w:id="24"/>
      <w:r>
        <w:rPr/>
        <w:t>6. Sprint Plan &amp; Timeline</w:t>
      </w:r>
    </w:p>
    <w:p>
      <w:pPr>
        <w:pStyle w:val="SourceCode"/>
        <w:rPr/>
      </w:pPr>
      <w:r>
        <w:rPr>
          <w:rStyle w:val="VerbatimChar"/>
        </w:rPr>
        <w:t>Week:       1-2      3-4      5-6      7-8      9-10     11-12    13-14    15-16</w:t>
      </w:r>
      <w:r>
        <w:rPr/>
        <w:br/>
      </w:r>
      <w:r>
        <w:rPr>
          <w:rStyle w:val="VerbatimChar"/>
        </w:rPr>
        <w:t xml:space="preserve">            |--------|--------|--------|--------|--------|--------|--------|--------|</w:t>
      </w:r>
      <w:r>
        <w:rPr/>
        <w:br/>
      </w:r>
      <w:r>
        <w:rPr>
          <w:rStyle w:val="VerbatimChar"/>
        </w:rPr>
        <w:t>Sprint:     Sprint0  Sprint1  Sprint2  Sprint3  Sprint4  Sprint5  Sprint6  Sprint7</w:t>
      </w:r>
      <w:r>
        <w:rPr/>
        <w:br/>
      </w:r>
      <w:r>
        <w:rPr>
          <w:rStyle w:val="VerbatimChar"/>
        </w:rPr>
        <w:t xml:space="preserve">            Discover Found.   Epic A   Epic B   Epic C   Epic D+E Harden.  UAT+Pilot</w:t>
      </w:r>
      <w:r>
        <w:rPr/>
        <w:br/>
      </w:r>
      <w:r>
        <w:rPr>
          <w:rStyle w:val="VerbatimChar"/>
        </w:rPr>
        <w:t xml:space="preserve">                     +Epic A          (cont.)                    +Perf    Go-Live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Sprint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Focus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Output/Demo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Dependency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Sprint 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(Weeks 1-2)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Discovery, data access, environment setup (Section 3)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DoR checklist, architecture approved, backlog refined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Security/IT approval for the base architecture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Sprint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(Weeks 3-4)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Foundational: DB schema, API skeleton, bot transaction API, object storage, CI/CD; start Epic A (upload + rule-based classification)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Demo: customer submits a transaction via the bot -&gt; stored in DB; receipt upload -&gt; stored in storage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Sprint 0 complete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Sprint 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(Weeks 5-6)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 A continues: OCR provider integration, field extraction for 2-3 priority banks, confidence scoring, deterministic teller string formatter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End-to-end demo: receipt -&gt; structured fields -&gt; teller string generated automatically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 provider trial active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Sprint 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(Weeks 7-8)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 B: folder watcher, readiness check, per-bank XLSX parser, normalization, dedup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Demo: an XLSX file is dropped into the folder -&gt; appears in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bank_transactions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normalized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Sample bank XLSX available (Sprint 0)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Sprint 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(Weeks 9-10)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 C: matching engine Levels 1-3, scoring, a conservative auto-verify threshold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End-to-end demo with sample data: bot transaction + bank data -&gt; a match/score result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Epics A &amp; B complete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Sprint 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(Weeks 11-12)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 D + E: exception queue, finance decision workflow, Teams/WA notifications, XLSX export, basic RBAC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Demo: an exception transaction appears in the queue, finance approves/rejects, a notification is sent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 C complete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Sprint 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(Weeks 13-14)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Hardening: complete audit logging, full security review, a load test simulating 500 transactions/day, bug fixing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 review + load test report, bug backlog cleared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functional epics complete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Sprint 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(Weeks 15-16)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UAT together with finance (shadow-run in parallel with the manual process), fix feedback, deploy to production, pilot go-live with 1-2 banks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UAT sign-off, the system is live for a subset of transactions, hypercare begins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Sprint 6 complete, security sign-off</w:t>
            </w:r>
          </w:p>
        </w:tc>
      </w:tr>
    </w:tbl>
    <w:p>
      <w:pPr>
        <w:pStyle w:val="BodyText"/>
        <w:rPr/>
      </w:pPr>
      <w:r>
        <w:rPr>
          <w:b/>
          <w:bCs/>
        </w:rPr>
        <w:t>Important note:</w:t>
      </w:r>
      <w:r>
        <w:rPr/>
        <w:t xml:space="preserve"> Sprint 7 deliberately uses a </w:t>
      </w:r>
      <w:r>
        <w:rPr>
          <w:b/>
          <w:bCs/>
        </w:rPr>
        <w:t>shadow-run</w:t>
      </w:r>
      <w:r>
        <w:rPr/>
        <w:t xml:space="preserve"> scheme (the new system runs in parallel, finance keeps the manual process as a fallback) before actually replacing the old process – this is a standard risk mitigation for a system that touches financial reconciliation.</w:t>
      </w:r>
    </w:p>
    <w:p>
      <w:pPr>
        <w:pStyle w:val="Normal"/>
        <w:rPr/>
      </w:pPr>
      <w:bookmarkStart w:id="26" w:name="sprint-plan-timelin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2"/>
        <w:rPr/>
      </w:pPr>
      <w:bookmarkStart w:id="27" w:name="__RefHeading___Toc2829_1308863097"/>
      <w:bookmarkStart w:id="28" w:name="ceremony-cadence"/>
      <w:bookmarkEnd w:id="27"/>
      <w:r>
        <w:rPr/>
        <w:t>7. Ceremony Cadence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Ceremony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Duration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Participants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 Standup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 minutes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whole delivery team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Sprint Planning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 of each sprint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hours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Delivery team + PO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Backlog Refinement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Mid-sprint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hour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Delivery team + PO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Sprint Review/Demo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 of each sprint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hour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Delivery team + PO + Finance SME (stakeholder)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Sprint Retrospective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 of each sprint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 minutes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Delivery team + SM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 Review Checkpoint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Every 2 sprints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hour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 Engineer + SA + related team members</w:t>
            </w:r>
          </w:p>
        </w:tc>
      </w:tr>
    </w:tbl>
    <w:p>
      <w:pPr>
        <w:pStyle w:val="Normal"/>
        <w:rPr/>
      </w:pPr>
      <w:bookmarkStart w:id="29" w:name="ceremony-cadenc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rPr/>
      </w:pPr>
      <w:bookmarkStart w:id="30" w:name="__RefHeading___Toc2831_1308863097"/>
      <w:bookmarkStart w:id="31" w:name="Xd4f21ffc39268870af86f64ccb3584d23a18660"/>
      <w:bookmarkEnd w:id="30"/>
      <w:r>
        <w:rPr/>
        <w:t>8. Definition of Done (Example, to Be Re-Agreed in Sprint 0)</w:t>
      </w:r>
    </w:p>
    <w:p>
      <w:pPr>
        <w:pStyle w:val="FirstParagraph"/>
        <w:rPr/>
      </w:pPr>
      <w:r>
        <w:rPr/>
        <w:t>A story is considered “Done” when:</w:t>
      </w:r>
    </w:p>
    <w:p>
      <w:pPr>
        <w:pStyle w:val="Compact"/>
        <w:numPr>
          <w:ilvl w:val="0"/>
          <w:numId w:val="30"/>
        </w:numPr>
        <w:rPr/>
      </w:pPr>
      <w:r>
        <w:rPr/>
        <w:t>The code has been reviewed by at least 1 other reviewer and passes CI (unit test + lint).</w:t>
      </w:r>
    </w:p>
    <w:p>
      <w:pPr>
        <w:pStyle w:val="Compact"/>
        <w:numPr>
          <w:ilvl w:val="0"/>
          <w:numId w:val="31"/>
        </w:numPr>
        <w:rPr/>
      </w:pPr>
      <w:r>
        <w:rPr/>
        <w:t>Unit tests exist for critical logic (formatter, scoring, normalization) – per the deterministic testing principle in Section 27 of the earlier document.</w:t>
      </w:r>
    </w:p>
    <w:p>
      <w:pPr>
        <w:pStyle w:val="Compact"/>
        <w:numPr>
          <w:ilvl w:val="0"/>
          <w:numId w:val="32"/>
        </w:numPr>
        <w:rPr/>
      </w:pPr>
      <w:r>
        <w:rPr/>
        <w:t>No credentials/secrets are hardcoded (checked automatically in CI).</w:t>
      </w:r>
    </w:p>
    <w:p>
      <w:pPr>
        <w:pStyle w:val="Compact"/>
        <w:numPr>
          <w:ilvl w:val="0"/>
          <w:numId w:val="33"/>
        </w:numPr>
        <w:rPr/>
      </w:pPr>
      <w:r>
        <w:rPr/>
        <w:t>Any change to the data model comes with a migration script.</w:t>
      </w:r>
    </w:p>
    <w:p>
      <w:pPr>
        <w:pStyle w:val="Compact"/>
        <w:numPr>
          <w:ilvl w:val="0"/>
          <w:numId w:val="34"/>
        </w:numPr>
        <w:rPr/>
      </w:pPr>
      <w:r>
        <w:rPr/>
        <w:t>Audit logging for the new state transition has been verified to exist.</w:t>
      </w:r>
    </w:p>
    <w:p>
      <w:pPr>
        <w:pStyle w:val="Compact"/>
        <w:numPr>
          <w:ilvl w:val="0"/>
          <w:numId w:val="35"/>
        </w:numPr>
        <w:rPr/>
      </w:pPr>
      <w:r>
        <w:rPr/>
        <w:t>It has been demoed at Sprint Review and accepted by the PO.</w:t>
      </w:r>
    </w:p>
    <w:p>
      <w:pPr>
        <w:pStyle w:val="Normal"/>
        <w:rPr/>
      </w:pPr>
      <w:bookmarkStart w:id="32" w:name="Xd4f21ffc39268870af86f64ccb3584d23a18660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Heading2"/>
        <w:rPr/>
      </w:pPr>
      <w:bookmarkStart w:id="33" w:name="__RefHeading___Toc2833_1308863097"/>
      <w:bookmarkStart w:id="34" w:name="phase-2-phase-3-roadmap-high-level"/>
      <w:bookmarkEnd w:id="33"/>
      <w:r>
        <w:rPr/>
        <w:t>9. Phase 2 &amp; Phase 3 Roadmap (High Level)</w:t>
      </w:r>
    </w:p>
    <w:p>
      <w:pPr>
        <w:pStyle w:val="SourceCode"/>
        <w:rPr/>
      </w:pPr>
      <w:r>
        <w:rPr>
          <w:rStyle w:val="VerbatimChar"/>
        </w:rPr>
        <w:t>Month:        1    2    3    4    5    6    7    8    9   10   11   12</w:t>
      </w:r>
      <w:r>
        <w:rPr/>
        <w:br/>
      </w:r>
      <w:r>
        <w:rPr>
          <w:rStyle w:val="VerbatimChar"/>
        </w:rPr>
        <w:t>Phase 1 MVP   [====================]</w:t>
      </w:r>
      <w:r>
        <w:rPr/>
        <w:br/>
      </w:r>
      <w:r>
        <w:rPr>
          <w:rStyle w:val="VerbatimChar"/>
        </w:rPr>
        <w:t>Phase 2                              [========================]</w:t>
      </w:r>
      <w:r>
        <w:rPr/>
        <w:br/>
      </w:r>
      <w:r>
        <w:rPr>
          <w:rStyle w:val="VerbatimChar"/>
        </w:rPr>
        <w:t>Phase 3                                                        [========&gt;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Phase 1 (Months 1-4):</w:t>
      </w:r>
      <w:r>
        <w:rPr/>
        <w:t xml:space="preserve"> the MVP per Section 6, pilot with 1-2 banks.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Phase 2 (Months 5-8):</w:t>
      </w:r>
      <w:r>
        <w:rPr/>
        <w:t xml:space="preserve"> add support for other banks/formats, a full finance dashboard, migration to SharePoint/Graph API (if approved), recalibrating matching thresholds with real production data.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Phase 3 (Month 9+):</w:t>
      </w:r>
      <w:r>
        <w:rPr/>
        <w:t xml:space="preserve"> evaluate direct bank API/host-to-host integration, ML-assisted prioritization (with a human in the loop still mandatory), high-availability multi-region if scale demands it.</w:t>
      </w:r>
    </w:p>
    <w:p>
      <w:pPr>
        <w:pStyle w:val="Normal"/>
        <w:rPr/>
      </w:pPr>
      <w:bookmarkStart w:id="35" w:name="phase-2-phase-3-roadmap-high-level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</w:p>
    <w:p>
      <w:pPr>
        <w:pStyle w:val="Heading2"/>
        <w:rPr/>
      </w:pPr>
      <w:bookmarkStart w:id="36" w:name="__RefHeading___Toc2835_1308863097"/>
      <w:bookmarkStart w:id="37" w:name="risks-to-the-timeline"/>
      <w:bookmarkEnd w:id="36"/>
      <w:r>
        <w:rPr/>
        <w:t>10. Risks to the Timeline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Impact on Timeline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Confirmation of the teller string field meanings (3rd/8th) is delayed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Blocks Epic A from Sprint 1 onward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Make it item number one in Sprint 0, escalate to management if there’s no answer after &gt;1 week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 approval for the architecture (folder/cloud) is delayed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Blocks Sprint 1 from starting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 briefing security from the first week of Sprint 0, don’t wait for the architecture to be 100% final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Sample bank/receipt data isn’t representative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Rework in Sprint 2-3 once real cases are encountered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Collect as wide a variety of sample cases as possible in Sprint 0, including “bad” cases (blurry, odd formats)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Team velocity comes in below the assumption (~20-25 points/sprint)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MVP timeline slips past 16 weeks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Re-forecast after the first 2 sprints, communicate to stakeholders early rather than at the end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Finance SME is unavailable for UAT (Sprint 7)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pilot go-live is delayed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 the UAT schedule at the start of the project as a cross-team commitment, not a last-minute negotiation</w:t>
            </w:r>
          </w:p>
        </w:tc>
      </w:tr>
    </w:tbl>
    <w:p>
      <w:pPr>
        <w:pStyle w:val="Normal"/>
        <w:rPr/>
      </w:pPr>
      <w:bookmarkStart w:id="38" w:name="risks-to-the-timelin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"/>
    </w:p>
    <w:p>
      <w:pPr>
        <w:pStyle w:val="Heading2"/>
        <w:rPr/>
      </w:pPr>
      <w:bookmarkStart w:id="39" w:name="__RefHeading___Toc2837_1308863097"/>
      <w:bookmarkStart w:id="40" w:name="X5338c28ce9ec9325184cf9f8b0e963dba107c98"/>
      <w:bookmarkEnd w:id="39"/>
      <w:r>
        <w:rPr/>
        <w:t>11. Cost Estimate – 500 Transactions/Day Scenario</w:t>
      </w:r>
    </w:p>
    <w:p>
      <w:pPr>
        <w:pStyle w:val="BlockText"/>
        <w:rPr/>
      </w:pPr>
      <w:r>
        <w:rPr>
          <w:b/>
          <w:bCs/>
        </w:rPr>
        <w:t>Methodology note:</w:t>
      </w:r>
      <w:r>
        <w:rPr/>
        <w:t xml:space="preserve"> all salary figures below are drawn from several 2026 Malaysia tech salary benchmark reports (Seekers.my, Shelby Global ASEAN, and similar) as of September 2026. These are </w:t>
      </w:r>
      <w:r>
        <w:rPr>
          <w:b/>
          <w:bCs/>
        </w:rPr>
        <w:t>indicative estimates for initial budget planning</w:t>
      </w:r>
      <w:r>
        <w:rPr/>
        <w:t>, not official quotes – the real rate depends on the specific candidate’s seniority, negotiation, and whether they’re hired in-house, on contract, or through a vendor/agency.</w:t>
      </w:r>
    </w:p>
    <w:p>
      <w:pPr>
        <w:pStyle w:val="Heading3"/>
        <w:rPr/>
      </w:pPr>
      <w:bookmarkStart w:id="41" w:name="sizing-basis-for-500-transactionsday"/>
      <w:r>
        <w:rPr/>
        <w:t>11.1 Sizing Basis for 500 Transactions/Day</w:t>
      </w:r>
    </w:p>
    <w:p>
      <w:pPr>
        <w:pStyle w:val="Compact"/>
        <w:numPr>
          <w:ilvl w:val="0"/>
          <w:numId w:val="39"/>
        </w:numPr>
        <w:rPr/>
      </w:pPr>
      <w:r>
        <w:rPr/>
        <w:t>~500 receipts/day -&gt; ~15,000/month of OCR volume.</w:t>
      </w:r>
    </w:p>
    <w:p>
      <w:pPr>
        <w:pStyle w:val="Compact"/>
        <w:numPr>
          <w:ilvl w:val="0"/>
          <w:numId w:val="40"/>
        </w:numPr>
        <w:rPr/>
      </w:pPr>
      <w:r>
        <w:rPr/>
        <w:t>~500 customer interactions/day via the WhatsApp bot (mostly within the free 24-hour service window, see Appendix C.3 of the earlier document).</w:t>
      </w:r>
    </w:p>
    <w:p>
      <w:pPr>
        <w:pStyle w:val="Compact"/>
        <w:numPr>
          <w:ilvl w:val="0"/>
          <w:numId w:val="41"/>
        </w:numPr>
        <w:rPr/>
      </w:pPr>
      <w:bookmarkStart w:id="42" w:name="sizing-basis-for-500-transactionsday"/>
      <w:r>
        <w:rPr/>
        <w:t>Compute needs are still in the “small-to-medium” class – a few small VMs/containers are enough, not a large cluster (see Section 32 of the earlier document: 500/day sits between the 100/day and 1,000/day tiers).</w:t>
      </w:r>
      <w:bookmarkEnd w:id="42"/>
    </w:p>
    <w:p>
      <w:pPr>
        <w:pStyle w:val="Heading3"/>
        <w:rPr/>
      </w:pPr>
      <w:bookmarkStart w:id="43" w:name="Xe3f20ddd6cc6c9322534d271086058096fe3ec8"/>
      <w:r>
        <w:rPr/>
        <w:t>11.2 Team Cost to Build the MVP (In-House Scenario, 4 Months)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Allocation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Estimated Monthly Rate (RM)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Duration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Subtotal (RM)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Solution Architect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18,000 (architect/senior band ≈ RM14,000-22,000)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months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36,000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Backend Engineer x2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each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8,000/person (mid-level band ≈ RM5,800-9,500)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months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64,000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Engineer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8,500 (median data engineer market rate ≈ RM8,500)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months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25,500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OCR/Document AI Engineer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9,500 (close to the data scientist/ML band)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months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28,500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Automation/Integration Engineer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7,500 (mid-level backend band)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months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30,000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 Engineer (part-time/consultant)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12,000 (mid-senior cybersecurity band ≈ RM7,000-13,000)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months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14,400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QA Engineer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6,500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months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13,000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Owner/PM (+Scrum Master)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9,000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months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18,000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Base salary subtotal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229,400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Statutory on-costs (EPF ~13%, SOCSO/EIS below the RM6,000 wage ceiling, HRDF ~1%)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~13-15%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34,400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estimated MVP team cost (in-house)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RM 260,000 – 265,000</w:t>
            </w:r>
          </w:p>
        </w:tc>
      </w:tr>
    </w:tbl>
    <w:p>
      <w:pPr>
        <w:pStyle w:val="BlockText"/>
        <w:rPr/>
      </w:pPr>
      <w:bookmarkStart w:id="44" w:name="Xe3f20ddd6cc6c9322534d271086058096fe3ec8"/>
      <w:r>
        <w:rPr/>
        <w:t>On-cost reference: employer EPF ≈ 12-13% of salary, SOCSO ≈ 1.75% and EIS ≈ 0.2% of salary (both capped at a RM6,000/month wage ceiling, so the effective percentage against a senior salary is far lower than 1.75%/0.2%), HRDF 1% where applicable.</w:t>
      </w:r>
      <w:bookmarkEnd w:id="44"/>
    </w:p>
    <w:p>
      <w:pPr>
        <w:pStyle w:val="Heading3"/>
        <w:rPr/>
      </w:pPr>
      <w:r>
        <w:rPr/>
        <w:t>11.3 Alternative Scenario: Outsourcing/Turnkey Vendor</w:t>
      </w:r>
    </w:p>
    <w:p>
      <w:pPr>
        <w:pStyle w:val="FirstParagraph"/>
        <w:rPr/>
      </w:pPr>
      <w:r>
        <w:rPr/>
        <w:t xml:space="preserve">As a comparison, a fully outsourced model (a vendor builds the MVP end-to-end) is typically priced with a </w:t>
      </w:r>
      <w:r>
        <w:rPr>
          <w:b/>
          <w:bCs/>
        </w:rPr>
        <w:t>blended day rate</w:t>
      </w:r>
      <w:r>
        <w:rPr/>
        <w:t xml:space="preserve"> per person-day, already including the vendor’s margin: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Estimate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In-house hire (Section 11.2)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260,000-265,000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Requires upfront recruiting time, but the team becomes a long-term company asset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Outsourcing/turnkey vendor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300,000-500,000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Blended rate of RM800-1,500/person-day x ~5 person-equivalents x ~80 effective working days; faster to start but usually more expensive for a project this size, and product knowledge doesn’t fully stay in-house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Hybrid (in-house core team + 1-2 contracted specialists, e.g. OCR/security)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270,000-320,000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common compromise – scarce specialists (OCR, security) are contracted short-term, the core team stays in-house</w:t>
            </w:r>
            <w:bookmarkStart w:id="45" w:name="X773ff32e3e99b460b581bfdcf21cc91444ec77a"/>
            <w:bookmarkEnd w:id="45"/>
          </w:p>
        </w:tc>
      </w:tr>
    </w:tbl>
    <w:p>
      <w:pPr>
        <w:pStyle w:val="Heading3"/>
        <w:rPr/>
      </w:pPr>
      <w:r>
        <w:rPr/>
        <w:t>11.4 Monthly Operational Cost Post-Go-Live (500 Transactions/Day)</w:t>
      </w:r>
    </w:p>
    <w:p>
      <w:pPr>
        <w:pStyle w:val="FirstParagraph"/>
        <w:rPr/>
      </w:pPr>
      <w:r>
        <w:rPr/>
        <w:t>Referencing and scaling Appendix C of the earlier document to a volume of 500/day: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Monthly Estimate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 provider (Read tier + some prebuilt for low-confidence cases)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100-150 (≈ RM 470-700)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~15,000 pages/month, blended between the cheapest tier and the prebuilt receipt model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WhatsApp BSP platform fee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300-800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Depends on the provider (Twilio/360dialog/Qiscus/etc.)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WhatsApp business-initiated messages (reminders, etc.)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50-150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Assumes only a small share of transactions need a reminder outside the service window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Compute (small-to-medium VM/container, 2-3 instances)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150-300 (≈ RM 700-1,400)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Backend + worker + file watcher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Managed database (small instance)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50-100 (≈ RM 230-470)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 be combined with the compute above if using your own VM for the DB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Object storage (receipts + XLSX archive)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10-30 (≈ RM 50-140)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Volume is still small at this stage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Microsoft Entra ID P1 (if not already covered by an existing M365 license)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50-70 (≈ RM 230-330) for ~8 internal users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Check first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– often already included in the M365 E3/E5 bundle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Monitoring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0-200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Self-hosted (Prometheus/Grafana) is nearly free beyond the compute already counted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estimated monthly opex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RM 1,800 – 3,800/month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Excluding post-go-live maintenance/support team costs</w:t>
            </w:r>
          </w:p>
        </w:tc>
      </w:tr>
    </w:tbl>
    <w:p>
      <w:pPr>
        <w:pStyle w:val="Heading3"/>
        <w:rPr/>
      </w:pPr>
      <w:r>
        <w:rPr/>
        <w:t>11.5 Estimated Total Year 1 Cost</w:t>
      </w:r>
    </w:p>
    <w:p>
      <w:pPr>
        <w:pStyle w:val="FirstParagraph"/>
        <w:rPr/>
      </w:pPr>
      <w:r>
        <w:rPr/>
        <w:t>Assuming pilot go-live at the end of month 4, so Year 1 = 4 months of build + 8 months of operations: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Cost (4 months)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Operational Cost (8 months x RM1,800-3,800)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Year 1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In-house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260,000-265,000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14,400-30,400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RM 275,000 – 295,000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Outsourcing/vendor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300,000-500,000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14,400-30,400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RM 315,000 – 530,000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Hybrid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270,000-320,000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14,400-30,400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RM 285,000 – 350,000</w:t>
            </w:r>
          </w:p>
        </w:tc>
      </w:tr>
    </w:tbl>
    <w:p>
      <w:pPr>
        <w:pStyle w:val="BlockText"/>
        <w:rPr/>
      </w:pPr>
      <w:r>
        <w:rPr/>
        <w:t xml:space="preserve">This </w:t>
      </w:r>
      <w:r>
        <w:rPr>
          <w:b/>
          <w:bCs/>
        </w:rPr>
        <w:t>does not include</w:t>
      </w:r>
      <w:r>
        <w:rPr/>
        <w:t xml:space="preserve"> the long-term post-hypercare maintenance/support team cost (typically 1-2 part-time people for bug fixes &amp; minor enhancements, outside this document’s scope), and does not include Microsoft licensing the company may already own (don’t double-count).</w:t>
      </w:r>
    </w:p>
    <w:p>
      <w:pPr>
        <w:pStyle w:val="Heading3"/>
        <w:rPr/>
      </w:pPr>
      <w:bookmarkStart w:id="46" w:name="sensitivity-to-volume"/>
      <w:r>
        <w:rPr/>
        <w:t>11.6 Sensitivity to Volume</w:t>
      </w:r>
    </w:p>
    <w:p>
      <w:pPr>
        <w:pStyle w:val="FirstParagraph"/>
        <w:rPr/>
      </w:pPr>
      <w:r>
        <w:rPr/>
        <w:t>Since the costing basis above uses 500 transactions/day, here is the direction of change for a different volume (see also Section 32 of the earlier document):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Rising to ~1,000/day:</w:t>
      </w:r>
      <w:r>
        <w:rPr/>
        <w:t xml:space="preserve"> OCR &amp; compute costs rise proportionally but not linearly (still within the same VM tier, may need 1 additional instance) – opex is expected to rise ~30-50%, not 2x.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Dropping to ~100-200/day:</w:t>
      </w:r>
      <w:r>
        <w:rPr/>
        <w:t xml:space="preserve"> opex can be pushed toward the lower end of the range above, and some OCR volume might even fall within the provider’s free tier.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The build team cost (Section 11.2) is </w:t>
      </w:r>
      <w:r>
        <w:rPr>
          <w:b/>
          <w:bCs/>
        </w:rPr>
        <w:t>relatively unaffected</w:t>
      </w:r>
      <w:r>
        <w:rPr/>
        <w:t xml:space="preserve"> by daily volume – it’s a function of feature complexity, not production transaction volume.</w:t>
      </w:r>
    </w:p>
    <w:p>
      <w:pPr>
        <w:pStyle w:val="Normal"/>
        <w:rPr/>
      </w:pPr>
      <w:bookmarkStart w:id="47" w:name="X5338c28ce9ec9325184cf9f8b0e963dba107c98"/>
      <w:bookmarkStart w:id="48" w:name="sensitivity-to-volum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  <w:bookmarkEnd w:id="48"/>
    </w:p>
    <w:p>
      <w:pPr>
        <w:pStyle w:val="Heading2"/>
        <w:rPr/>
      </w:pPr>
      <w:bookmarkStart w:id="49" w:name="__RefHeading___Toc2839_1308863097"/>
      <w:bookmarkStart w:id="50" w:name="X3d4e2fe629b192e6c7209185f674232d9cddfcb"/>
      <w:bookmarkEnd w:id="49"/>
      <w:r>
        <w:rPr/>
        <w:t>Appendix – Additional Assumptions &amp; Clarifying Questions</w:t>
      </w:r>
    </w:p>
    <w:p>
      <w:pPr>
        <w:pStyle w:val="Compact"/>
        <w:numPr>
          <w:ilvl w:val="0"/>
          <w:numId w:val="45"/>
        </w:numPr>
        <w:rPr/>
      </w:pPr>
      <w:r>
        <w:rPr/>
        <w:t>Does the company prefer an in-house hire, outsourcing, or a hybrid model to build this MVP?</w:t>
      </w:r>
    </w:p>
    <w:p>
      <w:pPr>
        <w:pStyle w:val="Compact"/>
        <w:numPr>
          <w:ilvl w:val="0"/>
          <w:numId w:val="10"/>
        </w:numPr>
        <w:rPr/>
      </w:pPr>
      <w:r>
        <w:rPr/>
        <w:t>Can the existing internal team (if any) be partially allocated to this project, or does everything need new recruitment/contracting?</w:t>
      </w:r>
    </w:p>
    <w:p>
      <w:pPr>
        <w:pStyle w:val="Compact"/>
        <w:numPr>
          <w:ilvl w:val="0"/>
          <w:numId w:val="10"/>
        </w:numPr>
        <w:rPr/>
      </w:pPr>
      <w:r>
        <w:rPr/>
        <w:t>What budget has already been allocated for the build vs. run phases – does RM 275,000-295,000 (the in-house Year-1 scenario) align with expectations?</w:t>
      </w:r>
    </w:p>
    <w:p>
      <w:pPr>
        <w:pStyle w:val="Compact"/>
        <w:numPr>
          <w:ilvl w:val="0"/>
          <w:numId w:val="10"/>
        </w:numPr>
        <w:rPr/>
      </w:pPr>
      <w:r>
        <w:rPr/>
        <w:t>Is 500 transactions/day the current figure, or a target projection once the system is live (this affects when infra sizing needs to scale)?</w:t>
      </w:r>
    </w:p>
    <w:p>
      <w:pPr>
        <w:pStyle w:val="Compact"/>
        <w:numPr>
          <w:ilvl w:val="0"/>
          <w:numId w:val="10"/>
        </w:numPr>
        <w:rPr/>
      </w:pPr>
      <w:r>
        <w:rPr/>
        <w:t>Who will act as the business-side Product Owner, and what percentage of their time can be allocated?</w:t>
      </w:r>
    </w:p>
    <w:p>
      <w:pPr>
        <w:pStyle w:val="Compact"/>
        <w:numPr>
          <w:ilvl w:val="0"/>
          <w:numId w:val="10"/>
        </w:numPr>
        <w:spacing w:before="36" w:after="36"/>
        <w:rPr/>
      </w:pPr>
      <w:bookmarkStart w:id="51" w:name="X3d4e2fe629b192e6c7209185f674232d9cddfcb"/>
      <w:r>
        <w:rPr/>
        <w:t>Is there a target go-live date already communicated to other parties (regulator, bank partner, etc.) that needs to be treated as a hard constraint against this 16-week timeline?</w:t>
      </w:r>
      <w:bookmarkEnd w:id="51"/>
    </w:p>
    <w:sectPr>
      <w:type w:val="nextPage"/>
      <w:pgSz w:w="12240" w:h="15840"/>
      <w:pgMar w:left="720" w:right="720" w:gutter="0" w:header="0" w:top="1080" w:footer="0" w:bottom="10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15"/>
      <w:szCs w:val="15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2">
    <w:name w:val="TOC 2"/>
    <w:basedOn w:val="Index"/>
    <w:pPr>
      <w:tabs>
        <w:tab w:val="clear" w:pos="720"/>
        <w:tab w:val="right" w:pos="1051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11</Pages>
  <Words>3160</Words>
  <Characters>17031</Characters>
  <CharactersWithSpaces>19992</CharactersWithSpaces>
  <Paragraphs>452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2026-09-12T21:15:04Z</dcterms:created>
  <dc:creator/>
  <dc:description/>
  <dc:language>en</dc:language>
  <cp:lastModifiedBy/>
  <dcterms:modified xsi:type="dcterms:W3CDTF">2026-09-12T21:15:07Z</dcterms:modified>
  <cp:revision>1</cp:revision>
  <dc:subject/>
  <dc:title>Agile Delivery Plan: Payment Verification &amp; Reconciliation Automation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Timeline, Team, Initial Requirements, and Cost Estimate – 500 Transactions/Day Scenario</vt:lpwstr>
  </property>
</Properties>
</file>