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B2B WORKFLOWS, ERP &amp; OPERATIONAL SYSTEMS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 SaaS, digital products, workflow design, API integrations, and operational systems. Owns products from discovery and roadmap definition through requirements, UX, delivery, testing, launch, measurement, and iteration. Combines current product leadership at CallApp with a year-long SAP R/3 implementation, earlier business analysis, and founder/operator experience building both a digital platform and the operating processes behind it. Skilled at translating complex business and user needs into clear product flows, requirements, priorities, and accountable cross-functional delivery.</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spanning onboarding, verification, activation, subscriptions, payments, and business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PRDs, business rules, user stories, UX flows, acceptance criteria, edge cases, and prioritized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senior stakeholders, and vendors on requirements, dependencies, testing, release readiness, and iteration.</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systems, mapping data flows and operational dependencies and validating complete end-to-end behavior.</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workflow friction, prioritize improvements, and evaluate outcomes after release.</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documentation, UX exploration, prototypes, and feasibility validation to clarify options and accelerate structured product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digital platform and the operational systems supporting suppliers, inventory, fulfillment, service, and payments.</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order processing, picking, packing, delivery, returns, customer service, reporting, and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coordinating software and operational vendors.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Product &amp; ERP: </w:t>
      </w:r>
      <w:r w:rsidRPr="00455873">
        <w:rPr>
          <w:color w:val="1E1E1E"/>
          <w:sz w:val="20"/>
          <w:szCs w:val="20"/>
        </w:rPr>
        <w:t>Strategy, roadmaps, PRDs, business rules, workflows, operational systems, SAP R/3,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APIs, integrations, data flows, GA4, Firebase, KPIs, reporting, basic SQL, Jira, Figma, acceptance testing</w:t>
      </w:r>
    </w:p>
    <w:p w14:paraId="789B73F3" w14:textId="77777777" w:rsidR="003B0747" w:rsidRDefault="00000000">
      <w:pPr>
        <w:spacing w:after="7" w:line="250" w:lineRule="auto"/>
      </w:pPr>
      <w:r w:rsidRPr="00455873">
        <w:rPr>
          <w:b/>
          <w:color w:val="1F4E79"/>
          <w:sz w:val="20"/>
          <w:szCs w:val="20"/>
        </w:rPr>
        <w:t>Execution, AI</w:t>
      </w:r>
      <w:r>
        <w:rPr>
          <w:b/>
          <w:color w:val="1F4E79"/>
          <w:sz w:val="20"/>
          <w:szCs w:val="20"/>
        </w:rPr>
        <w:t xml:space="preserve"> &amp; Languages: </w:t>
      </w:r>
      <w:r>
        <w:rPr>
          <w:color w:val="1E1E1E"/>
          <w:sz w:val="20"/>
          <w:szCs w:val="20"/>
        </w:rPr>
        <w:t>Cross-functional and vendor leadership,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