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Infrastructure &amp; Cloud Operations Audit (Q1 2026)</w:t>
      </w:r>
    </w:p>
    <w:p>
      <w:r>
        <w:rPr>
          <w:b/>
        </w:rPr>
        <w:t xml:space="preserve">Date: </w:t>
      </w:r>
      <w:r>
        <w:t>June 14, 2026</w:t>
        <w:br/>
      </w:r>
      <w:r>
        <w:rPr>
          <w:b/>
        </w:rPr>
        <w:t xml:space="preserve">Auditor: </w:t>
      </w:r>
      <w:r>
        <w:t>DevOps Core &amp; Technical Project Management</w:t>
        <w:br/>
      </w:r>
      <w:r>
        <w:rPr>
          <w:b/>
        </w:rPr>
        <w:t xml:space="preserve">Classification: </w:t>
      </w:r>
      <w:r>
        <w:t>Confidential - Internal Business Intelligence</w:t>
      </w:r>
    </w:p>
    <w:p>
      <w:pPr>
        <w:pStyle w:val="Heading1"/>
      </w:pPr>
      <w:r>
        <w:t>1. Executive Context &amp; Revenue Alignment</w:t>
      </w:r>
    </w:p>
    <w:p>
      <w:r>
        <w:rPr>
          <w:sz w:val="22"/>
        </w:rPr>
        <w:t xml:space="preserve">During the standard Q1 closing cycle, gross revenue realized was </w:t>
      </w:r>
      <w:r>
        <w:rPr>
          <w:b/>
        </w:rPr>
        <w:t>$1.2M</w:t>
      </w:r>
      <w:r>
        <w:t xml:space="preserve">, reflecting a highly positive variance against initial targets. Nevertheless, operational net margins were compressed due to serious friction in resource allocation. Specifically, cloud operations and global server maintenance costs ran completely out of bounds, reaching </w:t>
      </w:r>
      <w:r>
        <w:rPr>
          <w:b/>
        </w:rPr>
        <w:t>$138,000</w:t>
      </w:r>
      <w:r>
        <w:t xml:space="preserve"> against an authorized budget baseline of </w:t>
      </w:r>
      <w:r>
        <w:rPr>
          <w:b/>
        </w:rPr>
        <w:t>$120,000</w:t>
      </w:r>
      <w:r>
        <w:t xml:space="preserve">. This represents a critical </w:t>
      </w:r>
      <w:r>
        <w:rPr>
          <w:b/>
        </w:rPr>
        <w:t>15% cost overrun</w:t>
      </w:r>
      <w:r>
        <w:t xml:space="preserve"> that must be addressed before the Q2 lock-in.</w:t>
      </w:r>
    </w:p>
    <w:p>
      <w:pPr>
        <w:pStyle w:val="Heading1"/>
      </w:pPr>
      <w:r>
        <w:t>2. Regional Dispersal &amp; Audit Matrix</w:t>
      </w:r>
    </w:p>
    <w:p>
      <w:r>
        <w:t>The following multi-axis matrix details the exact cost centers where data leaks and over-provisioning occurred: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Region/Code</w:t>
            </w:r>
          </w:p>
        </w:tc>
        <w:tc>
          <w:tcPr>
            <w:tcW w:type="dxa" w:w="2160"/>
          </w:tcPr>
          <w:p>
            <w:r>
              <w:t>Allocated Budget</w:t>
            </w:r>
          </w:p>
        </w:tc>
        <w:tc>
          <w:tcPr>
            <w:tcW w:type="dxa" w:w="2160"/>
          </w:tcPr>
          <w:p>
            <w:r>
              <w:t>Actual Spend</w:t>
            </w:r>
          </w:p>
        </w:tc>
        <w:tc>
          <w:tcPr>
            <w:tcW w:type="dxa" w:w="2160"/>
          </w:tcPr>
          <w:p>
            <w:r>
              <w:t>Variance (%)</w:t>
            </w:r>
          </w:p>
        </w:tc>
      </w:tr>
      <w:tr>
        <w:tc>
          <w:tcPr>
            <w:tcW w:type="dxa" w:w="2160"/>
          </w:tcPr>
          <w:p>
            <w:r>
              <w:t>me-central-1 (TLV)</w:t>
            </w:r>
          </w:p>
        </w:tc>
        <w:tc>
          <w:tcPr>
            <w:tcW w:type="dxa" w:w="2160"/>
          </w:tcPr>
          <w:p>
            <w:r>
              <w:t>$35,000</w:t>
            </w:r>
          </w:p>
        </w:tc>
        <w:tc>
          <w:tcPr>
            <w:tcW w:type="dxa" w:w="2160"/>
          </w:tcPr>
          <w:p>
            <w:r>
              <w:t>$45,000</w:t>
            </w:r>
          </w:p>
        </w:tc>
        <w:tc>
          <w:tcPr>
            <w:tcW w:type="dxa" w:w="2160"/>
          </w:tcPr>
          <w:p>
            <w:r>
              <w:t>+28.5% (Alert)</w:t>
            </w:r>
          </w:p>
        </w:tc>
      </w:tr>
      <w:tr>
        <w:tc>
          <w:tcPr>
            <w:tcW w:type="dxa" w:w="2160"/>
          </w:tcPr>
          <w:p>
            <w:r>
              <w:t>us-east-1 (Virginia)</w:t>
            </w:r>
          </w:p>
        </w:tc>
        <w:tc>
          <w:tcPr>
            <w:tcW w:type="dxa" w:w="2160"/>
          </w:tcPr>
          <w:p>
            <w:r>
              <w:t>$60,000</w:t>
            </w:r>
          </w:p>
        </w:tc>
        <w:tc>
          <w:tcPr>
            <w:tcW w:type="dxa" w:w="2160"/>
          </w:tcPr>
          <w:p>
            <w:r>
              <w:t>$63,000</w:t>
            </w:r>
          </w:p>
        </w:tc>
        <w:tc>
          <w:tcPr>
            <w:tcW w:type="dxa" w:w="2160"/>
          </w:tcPr>
          <w:p>
            <w:r>
              <w:t>+5.0% (Normal)</w:t>
            </w:r>
          </w:p>
        </w:tc>
      </w:tr>
      <w:tr>
        <w:tc>
          <w:tcPr>
            <w:tcW w:type="dxa" w:w="2160"/>
          </w:tcPr>
          <w:p>
            <w:r>
              <w:t>eu-central-1 (FRA)</w:t>
            </w:r>
          </w:p>
        </w:tc>
        <w:tc>
          <w:tcPr>
            <w:tcW w:type="dxa" w:w="2160"/>
          </w:tcPr>
          <w:p>
            <w:r>
              <w:t>$25,000</w:t>
            </w:r>
          </w:p>
        </w:tc>
        <w:tc>
          <w:tcPr>
            <w:tcW w:type="dxa" w:w="2160"/>
          </w:tcPr>
          <w:p>
            <w:r>
              <w:t>$30,000</w:t>
            </w:r>
          </w:p>
        </w:tc>
        <w:tc>
          <w:tcPr>
            <w:tcW w:type="dxa" w:w="2160"/>
          </w:tcPr>
          <w:p>
            <w:r>
              <w:t>+20.0% (High)</w:t>
            </w:r>
          </w:p>
        </w:tc>
      </w:tr>
    </w:tbl>
    <w:p>
      <w:r>
        <w:br/>
        <w:t>*Footnote Note: The massive variance in the Tel Aviv node was directly attributed to an unoptimized RAG indexing pipeline pulling redundant vector chunks from local disk to cloud staging blocks iteratively without standard cache eviction policies.</w:t>
      </w:r>
    </w:p>
    <w:p>
      <w:pPr>
        <w:pStyle w:val="Heading1"/>
      </w:pPr>
      <w:r>
        <w:t>3. Mandatory Remediation &amp; Action Ledger</w:t>
      </w:r>
    </w:p>
    <w:p>
      <w:r>
        <w:rPr>
          <w:b/>
        </w:rPr>
        <w:t>Immediate Strategic Decisions Required:</w:t>
        <w:br/>
      </w:r>
      <w:r>
        <w:rPr>
          <w:b/>
        </w:rPr>
        <w:t xml:space="preserve">• Action 1: </w:t>
      </w:r>
      <w:r>
        <w:t>Approve the revised Q2 infrastructure budget adjustment immediately to stabilize production cluster auto-scaling.</w:t>
        <w:br/>
      </w:r>
      <w:r>
        <w:rPr>
          <w:b/>
        </w:rPr>
        <w:t xml:space="preserve">• Action 2: </w:t>
      </w:r>
      <w:r>
        <w:t>Enforce binary compression on all multi-modal assets processed by local orchestration nodes before hitting the Gemini REST API gateways.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