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Rooftop Solar Potential Across Data Environments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A comparative analysis of high-resolution LiDAR versus open global DSM for building-level solar estimation: Austin, Texas and Kathmandu, Nepal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Style w:val="Heading1"/>
      </w:pPr>
      <w:r>
        <w:t xml:space="preserve">1. Summary</w:t>
      </w:r>
    </w:p>
    <w:p>
      <w:pPr>
        <w:spacing w:after="160" w:line="276"/>
      </w:pPr>
      <w:r>
        <w:t xml:space="preserve">This study applies a single rooftop-solar estimation method to two cities that sit at opposite ends of the elevation-data spectrum. Austin is analyzed with 1 m airborne LiDAR (USGS 3DEP); Kathmandu, where open LiDAR does not exist, is analyzed with a 30 m open global Digital Surface Model (Copernicus GLO-30). The identical pipeline, slope and aspect from the surface model, per-building zonal aggregation over OpenStreetMap footprints, and a first-order energy estimate, is run on both.</w:t>
      </w:r>
    </w:p>
    <w:p>
      <w:pPr>
        <w:spacing w:after="160" w:line="276"/>
      </w:pPr>
      <w:r>
        <w:t xml:space="preserve">The central finding is that data resolution, not geography, dominates the results. Coarse open data does not simply add noise; it introduces </w:t>
      </w:r>
      <w:r>
        <w:rPr>
          <w:b/>
          <w:bCs/>
        </w:rPr>
        <w:t xml:space="preserve">systematic, directional bias</w:t>
      </w:r>
      <w:r>
        <w:t xml:space="preserve">. Specifically, the 30 m DSM flattens roof pitch (mean modeled slope falls from 40.3° to 3.7°), causing it to treat nearly every roof as an ideal flat solar surface, and it silently discards small buildings (only 13% of fetched footprints survive analysis versus 96% in Austin). Together these inflate Kathmandu's per-building estimates and make a naive city-to-city comparison misleading.</w:t>
      </w:r>
    </w:p>
    <w:p>
      <w:pPr>
        <w:pStyle w:val="Heading1"/>
      </w:pPr>
      <w:r>
        <w:t xml:space="preserve">2. Headline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Austin (1 m LiDAR)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Kathmandu (30 m DSM)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Elevation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USGS 3DEP airborne LiDAR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Copernicus GLO-30 (open)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Native resolution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OSM footprints fetched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1,795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7,290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Buildings analyzed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1,728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Footprint survival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roof slope (deg)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usable roof fraction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Median annual kWh /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14,355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annual kWh /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11,104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38,285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 annual kWh /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962,525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869,361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annual kWh (study area)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19,187,570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36,256,333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Table 1. Side-by-side metrics. Both pipelines are identical; differences trace to elevation-data resolution, not method.</w:t>
      </w:r>
    </w:p>
    <w:p>
      <w:pPr>
        <w:pStyle w:val="Heading1"/>
      </w:pPr>
      <w:r>
        <w:t xml:space="preserve">3. Distribution of per-building solar potential</w:t>
      </w:r>
    </w:p>
    <w:p>
      <w:pPr>
        <w:spacing w:after="160" w:line="276"/>
      </w:pPr>
      <w:r>
        <w:t xml:space="preserve">The two cities' per-building distributions differ significantly. A Mann-Whitney U test rejects the null of equal distributions (p ≈ </w:t>
      </w:r>
      <w:r>
        <w:rPr>
          <w:b/>
          <w:bCs/>
        </w:rPr>
        <w:t xml:space="preserve">2.9e-68</w:t>
      </w:r>
      <w:r>
        <w:t xml:space="preserve">), and a Kolmogorov-Smirnov test confirms a large separation (D = </w:t>
      </w:r>
      <w:r>
        <w:rPr>
          <w:b/>
          <w:bCs/>
        </w:rPr>
        <w:t xml:space="preserve">0.31</w:t>
      </w:r>
      <w:r>
        <w:t xml:space="preserve">). Counter-intuitively, Kathmandu's median per-building estimate (</w:t>
      </w:r>
      <w:r>
        <w:rPr>
          <w:b/>
          <w:bCs/>
        </w:rPr>
        <w:t xml:space="preserve">14,355 kWh</w:t>
      </w:r>
      <w:r>
        <w:t xml:space="preserve">) is nearly double Austin's (</w:t>
      </w:r>
      <w:r>
        <w:rPr>
          <w:b/>
          <w:bCs/>
        </w:rPr>
        <w:t xml:space="preserve">7,404 kWh</w:t>
      </w:r>
      <w:r>
        <w:t xml:space="preserve">), despite Kathmandu's buildings being physically smaller on the ground. Section 4 explains why this is an artifact, not a real difference.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Left: density of per-building annual solar estimates (clipped at 100,000 kWh; the right-edge pile-up is the clip). Right: boxplots (outliers hidden). Kathmandu's distribution is shifted upward and has a fatter tail.</w:t>
      </w:r>
    </w:p>
    <w:p>
      <w:pPr>
        <w:pStyle w:val="Heading1"/>
      </w:pPr>
      <w:r>
        <w:t xml:space="preserve">4. The resolution-bias mechanism</w:t>
      </w:r>
    </w:p>
    <w:p>
      <w:pPr>
        <w:spacing w:after="160" w:line="276"/>
      </w:pPr>
      <w:r>
        <w:t xml:space="preserve">Why does coarser data produce </w:t>
      </w:r>
      <w:r>
        <w:rPr>
          <w:i/>
          <w:iCs/>
        </w:rPr>
        <w:t xml:space="preserve">higher</w:t>
      </w:r>
      <w:r>
        <w:t xml:space="preserve"> estimates? Two compounding mechanisms, both quantified in Figure 2.</w:t>
      </w:r>
    </w:p>
    <w:p>
      <w:pPr>
        <w:pStyle w:val="Heading2"/>
      </w:pPr>
      <w:r>
        <w:t xml:space="preserve">4.1 Roof-pitch flattening</w:t>
      </w:r>
    </w:p>
    <w:p>
      <w:pPr>
        <w:spacing w:after="160" w:line="276"/>
      </w:pPr>
      <w:r>
        <w:t xml:space="preserve">At 1 m, the LiDAR DSM resolves individual roof planes, so Austin's modeled mean roof slope is 40.3° and only 47% of roof area falls under the usability slope cap. At 30 m, a single cell spans an entire small building, averaging the pitched surfaces into a near-flat patch: Kathmandu's modeled mean slope collapses to 3.7° and 100% of roof area is marked usable. The coarse DSM literally cannot see that roofs are tilted, so it over-credits usable area and aspect.</w:t>
      </w:r>
    </w:p>
    <w:p>
      <w:pPr>
        <w:pStyle w:val="Heading2"/>
      </w:pPr>
      <w:r>
        <w:t xml:space="preserve">4.2 Small-building dropout</w:t>
      </w:r>
    </w:p>
    <w:p>
      <w:pPr>
        <w:spacing w:after="160" w:line="276"/>
      </w:pPr>
      <w:r>
        <w:t xml:space="preserve">A 30 m cell is larger than many Kathmandu buildings. Footprints that contain too few valid raster cells are dropped, so only 13% of the 7,290 fetched footprints survive to analysis, versus 96% of Austin's 1,795. The survivors are disproportionately the largest buildings, which biases the surviving sample toward high-yield structures.</w:t>
      </w:r>
    </w:p>
    <w:p>
      <w:pPr>
        <w:spacing w:after="80" w:before="120"/>
        <w:jc w:val="center"/>
      </w:pPr>
      <w:r>
        <w:drawing>
          <wp:inline distT="0" distB="0" distL="0" distR="0">
            <wp:extent cx="6096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The bias mechanism. Left: roof-slope distributions, LiDAR sees pitch (~40°), the coarse DSM flattens it (~4°). Center: usable-roof fraction, the coarse DSM marks essentially all area usable (spike at 1.0). Right: footprint survival, coarse data discards ~87% of small buildings.</w:t>
      </w:r>
    </w:p>
    <w:p>
      <w:pPr>
        <w:spacing w:after="160" w:line="276"/>
      </w:pPr>
      <w:r>
        <w:t xml:space="preserve">Building footprint area correlates strongly with estimated yield in both cities (Pearson r = </w:t>
      </w:r>
      <w:r>
        <w:rPr>
          <w:b/>
          <w:bCs/>
        </w:rPr>
        <w:t xml:space="preserve">0.98</w:t>
      </w:r>
      <w:r>
        <w:t xml:space="preserve"> Austin, 0.92 Kathmandu), confirming that usable area is the dominant driver, exactly the quantity the coarse DSM distorts.</w:t>
      </w:r>
    </w:p>
    <w:p>
      <w:r>
        <w:br w:type="page"/>
      </w:r>
    </w:p>
    <w:p>
      <w:pPr>
        <w:pStyle w:val="Heading1"/>
      </w:pPr>
      <w:r>
        <w:t xml:space="preserve">5. Advantages and disadvantages of each data environment</w:t>
      </w:r>
    </w:p>
    <w:p>
      <w:pPr>
        <w:pStyle w:val="Heading2"/>
      </w:pPr>
      <w:r>
        <w:t xml:space="preserve">5.1 Airborne LiDAR (Austin)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Strength: </w:t>
      </w:r>
      <w:r>
        <w:t xml:space="preserve">Resolves individual roof planes, enabling true per-facet slope and aspect and credible usable-area estimates.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Strength: </w:t>
      </w:r>
      <w:r>
        <w:t xml:space="preserve">High footprint survival; nearly all buildings are analyzable.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Limitation: </w:t>
      </w:r>
      <w:r>
        <w:t xml:space="preserve">Not available openly for most of the world, including Nepal. Large file sizes and heavier processing.</w:t>
      </w:r>
    </w:p>
    <w:p>
      <w:pPr>
        <w:pStyle w:val="Heading2"/>
      </w:pPr>
      <w:r>
        <w:t xml:space="preserve">5.2 Open global DSM (Kathmandu)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Strength: </w:t>
      </w:r>
      <w:r>
        <w:t xml:space="preserve">Globally available, free, small, and fast, the only feasible option where LiDAR is absent.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Strength: </w:t>
      </w:r>
      <w:r>
        <w:t xml:space="preserve">Adequate for coarse screening: identifying which districts or large rooftops merit a closer look.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Limitation: </w:t>
      </w:r>
      <w:r>
        <w:t xml:space="preserve">Cannot resolve roof planes; systematically flattens pitch and over-credits usable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Limitation: </w:t>
      </w:r>
      <w:r>
        <w:t xml:space="preserve">Discards small buildings, biasing the analyzed sample toward large structures.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Limitation: </w:t>
      </w:r>
      <w:r>
        <w:t xml:space="preserve">Per-building estimates should be read as a relative screen, not absolute design figures.</w:t>
      </w:r>
    </w:p>
    <w:p>
      <w:pPr>
        <w:pStyle w:val="Heading1"/>
      </w:pPr>
      <w:r>
        <w:t xml:space="preserve">6. Limitations and honest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cities use placeholder global horizontal irradiation values (Austin 1,700; Kathmandu 1,800 kWh/m²/yr). Absolute totals are provisional until replaced with cited Global Solar Atlas figures; relative within-city rankings are robust.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energy model is first-order and does not model inter-building shading in the Python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OSM footprint completeness is strong in Kathmandu's urban core but weaker in peri-urban areas, and open footprint datasets disagree by roughly 50% in total building area, an additional source of uncertainty on the Kathmandu 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Identical map class breaks were applied to both cities so the visuals are comparable, but the underlying Kathmandu values still carry the coarse-resolution inflation described above.</w:t>
      </w:r>
    </w:p>
    <w:p>
      <w:pPr>
        <w:pStyle w:val="Heading1"/>
      </w:pPr>
      <w:r>
        <w:t xml:space="preserve">7. Conclusion</w:t>
      </w:r>
    </w:p>
    <w:p>
      <w:pPr>
        <w:spacing w:after="160" w:line="276"/>
      </w:pPr>
      <w:r>
        <w:t xml:space="preserve">The same method, run honestly on two data environments, shows that elevation-data resolution is not a minor parameter but a primary driver of rooftop-solar estimates. High-resolution LiDAR supports per-roof design; a coarse open DSM supports only a screening-level assessment and, if used naively, over-estimates potential by flattening roofs and dropping small buildings. The practical takeaway for any energy or planning analysis in data-scarce regions is to treat open-DSM solar estimates as a relative screen, to report the resolution explicitly, and to validate against higher-resolution data wherever it can be obtained.</w:t>
      </w:r>
    </w:p>
    <w:p>
      <w:pPr>
        <w:pBdr>
          <w:top w:val="single" w:color="CCCCCC" w:sz="4" w:space="1"/>
        </w:pBdr>
        <w:spacing w:before="240"/>
      </w:pPr>
      <w:r>
        <w:rPr>
          <w:i/>
          <w:iCs/>
          <w:color w:val="595959"/>
          <w:sz w:val="17"/>
          <w:szCs w:val="17"/>
        </w:rPr>
        <w:t xml:space="preserve">Data: USGS 3DEP (TX Central B1 2017); European Space Agency (2024), Copernicus GLO-30 DEM, distributed by OpenTopography; OpenStreetMap contributors (ODbL). Analysis reproducible from the project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46f3a4db7e9662e06ff2411cb5ebe58a50b242.png"/><Relationship Id="rId8" Type="http://schemas.openxmlformats.org/officeDocument/2006/relationships/image" Target="media/40c1246b071d5b7f5e67386fe7d4d4cfd55421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2026-06-16T15:34:49.683Z</dcterms:created>
  <dcterms:modified xsi:type="dcterms:W3CDTF">2026-06-16T15:34:49.683Z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