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59" w:lineRule="auto"/>
        <w:jc w:val="center"/>
      </w:pPr>
      <w:r>
        <w:rPr>
          <w:rFonts w:ascii="Times New Roman" w:hAnsi="Times New Roman" w:eastAsia="Times New Roman"/>
          <w:b/>
          <w:color w:val="000000"/>
          <w:sz w:val="28"/>
        </w:rPr>
        <w:t>Tribhuvan University</w:t>
      </w:r>
    </w:p>
    <w:p>
      <w:pPr>
        <w:spacing w:after="120" w:before="0" w:line="259" w:lineRule="auto"/>
        <w:jc w:val="center"/>
      </w:pPr>
      <w:r>
        <w:rPr>
          <w:rFonts w:ascii="Times New Roman" w:hAnsi="Times New Roman" w:eastAsia="Times New Roman"/>
          <w:b/>
          <w:color w:val="000000"/>
          <w:sz w:val="28"/>
        </w:rPr>
        <w:t>Institute of Science and Technology</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60" w:before="0" w:line="259" w:lineRule="auto"/>
        <w:jc w:val="center"/>
      </w:pPr>
      <w:r>
        <w:drawing>
          <wp:inline xmlns:a="http://schemas.openxmlformats.org/drawingml/2006/main" xmlns:pic="http://schemas.openxmlformats.org/drawingml/2006/picture">
            <wp:extent cx="1271016" cy="1507134"/>
            <wp:docPr id="1" name="Picture 1"/>
            <wp:cNvGraphicFramePr>
              <a:graphicFrameLocks noChangeAspect="1"/>
            </wp:cNvGraphicFramePr>
            <a:graphic>
              <a:graphicData uri="http://schemas.openxmlformats.org/drawingml/2006/picture">
                <pic:pic>
                  <pic:nvPicPr>
                    <pic:cNvPr id="0" name="tu_logo.jpg"/>
                    <pic:cNvPicPr/>
                  </pic:nvPicPr>
                  <pic:blipFill>
                    <a:blip r:embed="rId9"/>
                    <a:stretch>
                      <a:fillRect/>
                    </a:stretch>
                  </pic:blipFill>
                  <pic:spPr>
                    <a:xfrm>
                      <a:off x="0" y="0"/>
                      <a:ext cx="1271016" cy="1507134"/>
                    </a:xfrm>
                    <a:prstGeom prst="rect"/>
                  </pic:spPr>
                </pic:pic>
              </a:graphicData>
            </a:graphic>
          </wp:inline>
        </w:drawing>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A Dissertation Proposal on</w:t>
      </w:r>
    </w:p>
    <w:p>
      <w:pPr>
        <w:spacing w:after="120" w:before="0" w:line="259" w:lineRule="auto"/>
        <w:jc w:val="center"/>
      </w:pPr>
      <w:r>
        <w:rPr>
          <w:rFonts w:ascii="Times New Roman" w:hAnsi="Times New Roman" w:eastAsia="Times New Roman"/>
          <w:b/>
          <w:color w:val="000000"/>
          <w:sz w:val="28"/>
        </w:rPr>
        <w:t>“Comparing CatBoost, TabPFN, and TabFM for Explainable Hair Fall Risk Prediction”</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Supervised by</w:t>
      </w:r>
    </w:p>
    <w:p>
      <w:pPr>
        <w:spacing w:after="120" w:before="0" w:line="259" w:lineRule="auto"/>
        <w:jc w:val="center"/>
      </w:pPr>
      <w:r>
        <w:rPr>
          <w:rFonts w:ascii="Times New Roman" w:hAnsi="Times New Roman" w:eastAsia="Times New Roman"/>
          <w:b/>
          <w:color w:val="000000"/>
          <w:sz w:val="28"/>
        </w:rPr>
        <w:t>Asst. Prof. Jagadish Bhatta</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by</w:t>
      </w:r>
    </w:p>
    <w:p>
      <w:pPr>
        <w:spacing w:after="120" w:before="0" w:line="259" w:lineRule="auto"/>
        <w:jc w:val="center"/>
      </w:pPr>
      <w:r>
        <w:rPr>
          <w:rFonts w:ascii="Times New Roman" w:hAnsi="Times New Roman" w:eastAsia="Times New Roman"/>
          <w:b/>
          <w:color w:val="000000"/>
          <w:sz w:val="28"/>
        </w:rPr>
        <w:t>Nirajan Shahi</w:t>
      </w:r>
    </w:p>
    <w:p>
      <w:pPr>
        <w:spacing w:after="120" w:before="0" w:line="259" w:lineRule="auto"/>
        <w:jc w:val="center"/>
      </w:pPr>
      <w:r>
        <w:rPr>
          <w:rFonts w:ascii="Times New Roman" w:hAnsi="Times New Roman" w:eastAsia="Times New Roman"/>
          <w:b/>
          <w:color w:val="000000"/>
          <w:sz w:val="28"/>
        </w:rPr>
        <w:t>Roll no. 49/079</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to</w:t>
      </w:r>
    </w:p>
    <w:p>
      <w:pPr>
        <w:spacing w:after="120" w:before="0" w:line="259" w:lineRule="auto"/>
        <w:jc w:val="center"/>
      </w:pPr>
      <w:r>
        <w:rPr>
          <w:rFonts w:ascii="Times New Roman" w:hAnsi="Times New Roman" w:eastAsia="Times New Roman"/>
          <w:b/>
          <w:color w:val="000000"/>
          <w:sz w:val="28"/>
        </w:rPr>
        <w:t>Central Department of Computer Science and Information Technology</w:t>
      </w:r>
    </w:p>
    <w:p>
      <w:pPr>
        <w:spacing w:after="120" w:before="0" w:line="259" w:lineRule="auto"/>
        <w:jc w:val="center"/>
      </w:pPr>
      <w:r>
        <w:rPr>
          <w:rFonts w:ascii="Times New Roman" w:hAnsi="Times New Roman" w:eastAsia="Times New Roman"/>
          <w:b/>
          <w:color w:val="000000"/>
          <w:sz w:val="28"/>
        </w:rPr>
        <w:t>Tribhuvan University, Kirtipur</w:t>
      </w:r>
    </w:p>
    <w:p>
      <w:pPr>
        <w:spacing w:after="120" w:before="0" w:line="259" w:lineRule="auto"/>
        <w:jc w:val="center"/>
      </w:pPr>
      <w:r>
        <w:rPr>
          <w:rFonts w:ascii="Times New Roman" w:hAnsi="Times New Roman" w:eastAsia="Times New Roman"/>
          <w:b/>
          <w:color w:val="000000"/>
          <w:sz w:val="28"/>
        </w:rPr>
        <w:t>Kathmandu, Nepal</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In partial fulfillment of the requirement for Master’s Degree in Computer Science and Information technology (M.Sc. CSIT)</w:t>
      </w:r>
    </w:p>
    <w:p>
      <w:pPr>
        <w:sectPr>
          <w:pgSz w:w="11909" w:h="16834"/>
          <w:pgMar w:top="1440" w:right="1440" w:bottom="1440" w:left="1440" w:header="720" w:footer="720" w:gutter="0"/>
          <w:cols w:space="720"/>
          <w:docGrid w:linePitch="360"/>
        </w:sectPr>
      </w:pPr>
    </w:p>
    <w:p>
      <w:pPr>
        <w:keepNext/>
        <w:spacing w:after="280" w:before="0" w:line="360" w:lineRule="auto"/>
        <w:jc w:val="center"/>
      </w:pPr>
      <w:r>
        <w:rPr>
          <w:rFonts w:ascii="Times New Roman" w:hAnsi="Times New Roman" w:eastAsia="Times New Roman"/>
          <w:b/>
          <w:color w:val="000000"/>
          <w:sz w:val="32"/>
        </w:rPr>
        <w:t>Table of Contents</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1: Introduction</w:t>
      </w:r>
      <w:r>
        <w:rPr>
          <w:rFonts w:ascii="Times New Roman" w:hAnsi="Times New Roman" w:eastAsia="Times New Roman"/>
          <w:b/>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1.1 Introduction</w:t>
      </w:r>
      <w:r>
        <w:rPr>
          <w:rFonts w:ascii="Times New Roman" w:hAnsi="Times New Roman" w:eastAsia="Times New Roman"/>
          <w:b w:val="0"/>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1.2 Problem Statement</w:t>
      </w:r>
      <w:r>
        <w:rPr>
          <w:rFonts w:ascii="Times New Roman" w:hAnsi="Times New Roman" w:eastAsia="Times New Roman"/>
          <w:b w:val="0"/>
          <w:color w:val="000000"/>
          <w:sz w:val="24"/>
        </w:rPr>
        <w:tab/>
        <w:t>2</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1.3 Objectives</w:t>
      </w:r>
      <w:r>
        <w:rPr>
          <w:rFonts w:ascii="Times New Roman" w:hAnsi="Times New Roman" w:eastAsia="Times New Roman"/>
          <w:b w:val="0"/>
          <w:color w:val="000000"/>
          <w:sz w:val="24"/>
        </w:rPr>
        <w:tab/>
        <w:t>3</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2: Background Study and Literature Review</w:t>
      </w:r>
      <w:r>
        <w:rPr>
          <w:rFonts w:ascii="Times New Roman" w:hAnsi="Times New Roman" w:eastAsia="Times New Roman"/>
          <w:b/>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2.1 Background Study</w:t>
      </w:r>
      <w:r>
        <w:rPr>
          <w:rFonts w:ascii="Times New Roman" w:hAnsi="Times New Roman" w:eastAsia="Times New Roman"/>
          <w:b w:val="0"/>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2.2 Literature Review</w:t>
      </w:r>
      <w:r>
        <w:rPr>
          <w:rFonts w:ascii="Times New Roman" w:hAnsi="Times New Roman" w:eastAsia="Times New Roman"/>
          <w:b w:val="0"/>
          <w:color w:val="000000"/>
          <w:sz w:val="24"/>
        </w:rPr>
        <w:tab/>
        <w:t>6</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2.2.1 Research Gap</w:t>
      </w:r>
      <w:r>
        <w:rPr>
          <w:rFonts w:ascii="Times New Roman" w:hAnsi="Times New Roman" w:eastAsia="Times New Roman"/>
          <w:b w:val="0"/>
          <w:color w:val="000000"/>
          <w:sz w:val="24"/>
        </w:rPr>
        <w:tab/>
        <w:t>8</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3: Methodology</w:t>
      </w:r>
      <w:r>
        <w:rPr>
          <w:rFonts w:ascii="Times New Roman" w:hAnsi="Times New Roman" w:eastAsia="Times New Roman"/>
          <w:b/>
          <w:color w:val="000000"/>
          <w:sz w:val="24"/>
        </w:rPr>
        <w:tab/>
        <w:t>10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3.1 Research Framework</w:t>
      </w:r>
      <w:r>
        <w:rPr>
          <w:rFonts w:ascii="Times New Roman" w:hAnsi="Times New Roman" w:eastAsia="Times New Roman"/>
          <w:b w:val="0"/>
          <w:color w:val="000000"/>
          <w:sz w:val="24"/>
        </w:rPr>
        <w:tab/>
        <w:t>10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3.2 Dataset Description</w:t>
      </w:r>
      <w:r>
        <w:rPr>
          <w:rFonts w:ascii="Times New Roman" w:hAnsi="Times New Roman" w:eastAsia="Times New Roman"/>
          <w:b w:val="0"/>
          <w:color w:val="000000"/>
          <w:sz w:val="24"/>
        </w:rPr>
        <w:tab/>
        <w:t>10</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3.2.1 Source datasets and how they are related</w:t>
      </w:r>
      <w:r>
        <w:rPr>
          <w:rFonts w:ascii="Times New Roman" w:hAnsi="Times New Roman" w:eastAsia="Times New Roman"/>
          <w:b w:val="0"/>
          <w:color w:val="000000"/>
          <w:sz w:val="24"/>
        </w:rPr>
        <w:tab/>
        <w:t>10</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3.2.2 What the comparison showed</w:t>
      </w:r>
      <w:r>
        <w:rPr>
          <w:rFonts w:ascii="Times New Roman" w:hAnsi="Times New Roman" w:eastAsia="Times New Roman"/>
          <w:b w:val="0"/>
          <w:color w:val="000000"/>
          <w:sz w:val="24"/>
        </w:rPr>
        <w:tab/>
        <w:t>13</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3.2.3 The final dataset</w:t>
      </w:r>
      <w:r>
        <w:rPr>
          <w:rFonts w:ascii="Times New Roman" w:hAnsi="Times New Roman" w:eastAsia="Times New Roman"/>
          <w:b w:val="0"/>
          <w:color w:val="000000"/>
          <w:sz w:val="24"/>
        </w:rPr>
        <w:tab/>
        <w:t>15</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3.3 Data Preprocessing</w:t>
      </w:r>
      <w:r>
        <w:rPr>
          <w:rFonts w:ascii="Times New Roman" w:hAnsi="Times New Roman" w:eastAsia="Times New Roman"/>
          <w:b w:val="0"/>
          <w:color w:val="000000"/>
          <w:sz w:val="24"/>
        </w:rPr>
        <w:tab/>
        <w:t>15</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3.4 Model Selection</w:t>
      </w:r>
      <w:r>
        <w:rPr>
          <w:rFonts w:ascii="Times New Roman" w:hAnsi="Times New Roman" w:eastAsia="Times New Roman"/>
          <w:b w:val="0"/>
          <w:color w:val="000000"/>
          <w:sz w:val="24"/>
        </w:rPr>
        <w:tab/>
        <w:t>16</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3.4.1 CatBoost</w:t>
      </w:r>
      <w:r>
        <w:rPr>
          <w:rFonts w:ascii="Times New Roman" w:hAnsi="Times New Roman" w:eastAsia="Times New Roman"/>
          <w:b w:val="0"/>
          <w:color w:val="000000"/>
          <w:sz w:val="24"/>
        </w:rPr>
        <w:tab/>
        <w:t>17</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3.4.2 TabPFN</w:t>
      </w:r>
      <w:r>
        <w:rPr>
          <w:rFonts w:ascii="Times New Roman" w:hAnsi="Times New Roman" w:eastAsia="Times New Roman"/>
          <w:b w:val="0"/>
          <w:color w:val="000000"/>
          <w:sz w:val="24"/>
        </w:rPr>
        <w:tab/>
        <w:t>18</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3.4.3 TabFM</w:t>
      </w:r>
      <w:r>
        <w:rPr>
          <w:rFonts w:ascii="Times New Roman" w:hAnsi="Times New Roman" w:eastAsia="Times New Roman"/>
          <w:b w:val="0"/>
          <w:color w:val="000000"/>
          <w:sz w:val="24"/>
        </w:rPr>
        <w:tab/>
        <w:t>19</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3.5 Explainability with SHAP</w:t>
      </w:r>
      <w:r>
        <w:rPr>
          <w:rFonts w:ascii="Times New Roman" w:hAnsi="Times New Roman" w:eastAsia="Times New Roman"/>
          <w:b w:val="0"/>
          <w:color w:val="000000"/>
          <w:sz w:val="24"/>
        </w:rPr>
        <w:tab/>
        <w:t>20</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3.6 Tools and Technologies</w:t>
      </w:r>
      <w:r>
        <w:rPr>
          <w:rFonts w:ascii="Times New Roman" w:hAnsi="Times New Roman" w:eastAsia="Times New Roman"/>
          <w:b w:val="0"/>
          <w:color w:val="000000"/>
          <w:sz w:val="24"/>
        </w:rPr>
        <w:tab/>
        <w:t>21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3.7 Experimental Environment</w:t>
      </w:r>
      <w:r>
        <w:rPr>
          <w:rFonts w:ascii="Times New Roman" w:hAnsi="Times New Roman" w:eastAsia="Times New Roman"/>
          <w:b w:val="0"/>
          <w:color w:val="000000"/>
          <w:sz w:val="24"/>
        </w:rPr>
        <w:tab/>
        <w:t>21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3.8 Performance Evaluation Metrics</w:t>
      </w:r>
      <w:r>
        <w:rPr>
          <w:rFonts w:ascii="Times New Roman" w:hAnsi="Times New Roman" w:eastAsia="Times New Roman"/>
          <w:b w:val="0"/>
          <w:color w:val="000000"/>
          <w:sz w:val="24"/>
        </w:rPr>
        <w:tab/>
        <w:t>22</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4: Expected Outcome and Working Schedule</w:t>
      </w:r>
      <w:r>
        <w:rPr>
          <w:rFonts w:ascii="Times New Roman" w:hAnsi="Times New Roman" w:eastAsia="Times New Roman"/>
          <w:b/>
          <w:color w:val="000000"/>
          <w:sz w:val="24"/>
        </w:rPr>
        <w:tab/>
        <w:t>25</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4.1 Expected Outcomes</w:t>
      </w:r>
      <w:r>
        <w:rPr>
          <w:rFonts w:ascii="Times New Roman" w:hAnsi="Times New Roman" w:eastAsia="Times New Roman"/>
          <w:b w:val="0"/>
          <w:color w:val="000000"/>
          <w:sz w:val="24"/>
        </w:rPr>
        <w:tab/>
        <w:t>25</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4.2 Working Schedule</w:t>
      </w:r>
      <w:r>
        <w:rPr>
          <w:rFonts w:ascii="Times New Roman" w:hAnsi="Times New Roman" w:eastAsia="Times New Roman"/>
          <w:b w:val="0"/>
          <w:color w:val="000000"/>
          <w:sz w:val="24"/>
        </w:rPr>
        <w:tab/>
        <w:t>26</w:t>
      </w:r>
    </w:p>
    <w:p>
      <w:pPr>
        <w:tabs>
          <w:tab w:pos="9029" w:val="right" w:leader="dot"/>
        </w:tabs>
        <w:spacing w:after="80" w:before="0" w:line="360" w:lineRule="auto"/>
        <w:ind w:left="0" w:right="0"/>
        <w:jc w:val="left"/>
      </w:pPr>
      <w:r>
        <w:rPr>
          <w:rFonts w:ascii="Times New Roman" w:hAnsi="Times New Roman" w:eastAsia="Times New Roman"/>
          <w:b/>
          <w:color w:val="000000"/>
          <w:sz w:val="24"/>
        </w:rPr>
        <w:t>References</w:t>
      </w:r>
      <w:r>
        <w:rPr>
          <w:rFonts w:ascii="Times New Roman" w:hAnsi="Times New Roman" w:eastAsia="Times New Roman"/>
          <w:b/>
          <w:color w:val="000000"/>
          <w:sz w:val="24"/>
        </w:rPr>
        <w:tab/>
        <w:t>28</w:t>
      </w:r>
    </w:p>
    <w:p>
      <w:pPr>
        <w:keepNext/>
        <w:pageBreakBefore/>
        <w:spacing w:after="280" w:before="0" w:line="360" w:lineRule="auto"/>
        <w:jc w:val="center"/>
      </w:pPr>
      <w:r>
        <w:rPr>
          <w:rFonts w:ascii="Times New Roman" w:hAnsi="Times New Roman" w:eastAsia="Times New Roman"/>
          <w:b/>
          <w:color w:val="000000"/>
          <w:sz w:val="32"/>
        </w:rPr>
        <w:t>List of Figures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3.1: Overall research framework</w:t>
      </w:r>
      <w:r>
        <w:rPr>
          <w:rFonts w:ascii="Times New Roman" w:hAnsi="Times New Roman" w:eastAsia="Times New Roman"/>
          <w:b w:val="0"/>
          <w:color w:val="000000"/>
          <w:sz w:val="24"/>
        </w:rPr>
        <w:tab/>
        <w:t>10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3.2: Relationship between the source datasets and the final dataset</w:t>
      </w:r>
      <w:r>
        <w:rPr>
          <w:rFonts w:ascii="Times New Roman" w:hAnsi="Times New Roman" w:eastAsia="Times New Roman"/>
          <w:b w:val="0"/>
          <w:color w:val="000000"/>
          <w:sz w:val="24"/>
        </w:rPr>
        <w:tab/>
        <w:t>12</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3.3: CatBoost model (gradient boosted symmetric trees)</w:t>
      </w:r>
      <w:r>
        <w:rPr>
          <w:rFonts w:ascii="Times New Roman" w:hAnsi="Times New Roman" w:eastAsia="Times New Roman"/>
          <w:b w:val="0"/>
          <w:color w:val="000000"/>
          <w:sz w:val="24"/>
        </w:rPr>
        <w:tab/>
        <w:t>17</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3.4: TabPFN model (in-context learning)</w:t>
      </w:r>
      <w:r>
        <w:rPr>
          <w:rFonts w:ascii="Times New Roman" w:hAnsi="Times New Roman" w:eastAsia="Times New Roman"/>
          <w:b w:val="0"/>
          <w:color w:val="000000"/>
          <w:sz w:val="24"/>
        </w:rPr>
        <w:tab/>
        <w:t>18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3.5: TabFM model (zero-shot tabular foundation model)</w:t>
      </w:r>
      <w:r>
        <w:rPr>
          <w:rFonts w:ascii="Times New Roman" w:hAnsi="Times New Roman" w:eastAsia="Times New Roman"/>
          <w:b w:val="0"/>
          <w:color w:val="000000"/>
          <w:sz w:val="24"/>
        </w:rPr>
        <w:tab/>
        <w:t>19</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3.6: SHAP explainability workflow</w:t>
      </w:r>
      <w:r>
        <w:rPr>
          <w:rFonts w:ascii="Times New Roman" w:hAnsi="Times New Roman" w:eastAsia="Times New Roman"/>
          <w:b w:val="0"/>
          <w:color w:val="000000"/>
          <w:sz w:val="24"/>
        </w:rPr>
        <w:tab/>
        <w:t>20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3.7: Experimental environment</w:t>
      </w:r>
      <w:r>
        <w:rPr>
          <w:rFonts w:ascii="Times New Roman" w:hAnsi="Times New Roman" w:eastAsia="Times New Roman"/>
          <w:b w:val="0"/>
          <w:color w:val="000000"/>
          <w:sz w:val="24"/>
        </w:rPr>
        <w:tab/>
        <w:t>22</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4.1: Working schedule (Gantt chart)</w:t>
      </w:r>
      <w:r>
        <w:rPr>
          <w:rFonts w:ascii="Times New Roman" w:hAnsi="Times New Roman" w:eastAsia="Times New Roman"/>
          <w:b w:val="0"/>
          <w:color w:val="000000"/>
          <w:sz w:val="24"/>
        </w:rPr>
        <w:tab/>
        <w:t>27</w:t>
      </w:r>
    </w:p>
    <w:p>
      <w:pPr>
        <w:keepNext/>
        <w:pageBreakBefore/>
        <w:spacing w:after="280" w:before="0" w:line="360" w:lineRule="auto"/>
        <w:jc w:val="center"/>
      </w:pPr>
      <w:r>
        <w:rPr>
          <w:rFonts w:ascii="Times New Roman" w:hAnsi="Times New Roman" w:eastAsia="Times New Roman"/>
          <w:b/>
          <w:color w:val="000000"/>
          <w:sz w:val="32"/>
        </w:rPr>
        <w:t>List of Tables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2.1: Summary of reviewed studies</w:t>
      </w:r>
      <w:r>
        <w:rPr>
          <w:rFonts w:ascii="Times New Roman" w:hAnsi="Times New Roman" w:eastAsia="Times New Roman"/>
          <w:b w:val="0"/>
          <w:color w:val="000000"/>
          <w:sz w:val="24"/>
        </w:rPr>
        <w:tab/>
        <w:t>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3.1: The source datasets, the super dataset, and the final dataset</w:t>
      </w:r>
      <w:r>
        <w:rPr>
          <w:rFonts w:ascii="Times New Roman" w:hAnsi="Times New Roman" w:eastAsia="Times New Roman"/>
          <w:b w:val="0"/>
          <w:color w:val="000000"/>
          <w:sz w:val="24"/>
        </w:rPr>
        <w:tab/>
        <w:t>12</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3.2: Where each column of the final dataset comes from</w:t>
      </w:r>
      <w:r>
        <w:rPr>
          <w:rFonts w:ascii="Times New Roman" w:hAnsi="Times New Roman" w:eastAsia="Times New Roman"/>
          <w:b w:val="0"/>
          <w:color w:val="000000"/>
          <w:sz w:val="24"/>
        </w:rPr>
        <w:tab/>
        <w:t>13</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3.3: Risk factors in Dataset 2 and in the final dataset (percentage points)</w:t>
      </w:r>
      <w:r>
        <w:rPr>
          <w:rFonts w:ascii="Times New Roman" w:hAnsi="Times New Roman" w:eastAsia="Times New Roman"/>
          <w:b w:val="0"/>
          <w:color w:val="000000"/>
          <w:sz w:val="24"/>
        </w:rPr>
        <w:tab/>
        <w:t>14</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3.4: Clinical range check of the final dataset</w:t>
      </w:r>
      <w:r>
        <w:rPr>
          <w:rFonts w:ascii="Times New Roman" w:hAnsi="Times New Roman" w:eastAsia="Times New Roman"/>
          <w:b w:val="0"/>
          <w:color w:val="000000"/>
          <w:sz w:val="24"/>
        </w:rPr>
        <w:tab/>
        <w:t>16</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3.5: Software tools</w:t>
      </w:r>
      <w:r>
        <w:rPr>
          <w:rFonts w:ascii="Times New Roman" w:hAnsi="Times New Roman" w:eastAsia="Times New Roman"/>
          <w:b w:val="0"/>
          <w:color w:val="000000"/>
          <w:sz w:val="24"/>
        </w:rPr>
        <w:tab/>
        <w:t>21</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4.1: Expected outcomes and how they will be checked</w:t>
      </w:r>
      <w:r>
        <w:rPr>
          <w:rFonts w:ascii="Times New Roman" w:hAnsi="Times New Roman" w:eastAsia="Times New Roman"/>
          <w:b w:val="0"/>
          <w:color w:val="000000"/>
          <w:sz w:val="24"/>
        </w:rPr>
        <w:tab/>
        <w:t>26</w:t>
      </w:r>
    </w:p>
    <w:p>
      <w:pPr>
        <w:keepNext/>
        <w:pageBreakBefore/>
        <w:spacing w:after="280" w:before="0" w:line="360" w:lineRule="auto"/>
        <w:jc w:val="center"/>
      </w:pPr>
      <w:r>
        <w:rPr>
          <w:rFonts w:ascii="Times New Roman" w:hAnsi="Times New Roman" w:eastAsia="Times New Roman"/>
          <w:b/>
          <w:color w:val="000000"/>
          <w:sz w:val="32"/>
        </w:rPr>
        <w:t>List of Abbreviations</w:t>
      </w:r>
    </w:p>
    <w:p>
      <w:pPr>
        <w:tabs>
          <w:tab w:pos="2016" w:val="left"/>
        </w:tabs>
        <w:spacing w:after="80" w:before="0" w:line="360" w:lineRule="auto"/>
        <w:ind w:left="2016" w:hanging="2016"/>
        <w:jc w:val="left"/>
      </w:pPr>
      <w:r>
        <w:rPr>
          <w:rFonts w:ascii="Times New Roman" w:hAnsi="Times New Roman" w:eastAsia="Times New Roman"/>
          <w:color w:val="000000"/>
          <w:sz w:val="24"/>
        </w:rPr>
        <w:t>ALT</w:t>
        <w:tab/>
        <w:t>Alanine Aminotransferase</w:t>
      </w:r>
    </w:p>
    <w:p>
      <w:pPr>
        <w:tabs>
          <w:tab w:pos="2016" w:val="left"/>
        </w:tabs>
        <w:spacing w:after="80" w:before="0" w:line="360" w:lineRule="auto"/>
        <w:ind w:left="2016" w:hanging="2016"/>
        <w:jc w:val="left"/>
      </w:pPr>
      <w:r>
        <w:rPr>
          <w:rFonts w:ascii="Times New Roman" w:hAnsi="Times New Roman" w:eastAsia="Times New Roman"/>
          <w:color w:val="000000"/>
          <w:sz w:val="24"/>
        </w:rPr>
        <w:t>ARIMAX</w:t>
        <w:tab/>
        <w:t>Autoregressive Integrated Moving Average with Exogenous Variables</w:t>
      </w:r>
    </w:p>
    <w:p>
      <w:pPr>
        <w:tabs>
          <w:tab w:pos="2016" w:val="left"/>
        </w:tabs>
        <w:spacing w:after="80" w:before="0" w:line="360" w:lineRule="auto"/>
        <w:ind w:left="2016" w:hanging="2016"/>
        <w:jc w:val="left"/>
      </w:pPr>
      <w:r>
        <w:rPr>
          <w:rFonts w:ascii="Times New Roman" w:hAnsi="Times New Roman" w:eastAsia="Times New Roman"/>
          <w:color w:val="000000"/>
          <w:sz w:val="24"/>
        </w:rPr>
        <w:t>AUC</w:t>
        <w:tab/>
        <w:t>Area Under the Curve</w:t>
      </w:r>
    </w:p>
    <w:p>
      <w:pPr>
        <w:tabs>
          <w:tab w:pos="2016" w:val="left"/>
        </w:tabs>
        <w:spacing w:after="80" w:before="0" w:line="360" w:lineRule="auto"/>
        <w:ind w:left="2016" w:hanging="2016"/>
        <w:jc w:val="left"/>
      </w:pPr>
      <w:r>
        <w:rPr>
          <w:rFonts w:ascii="Times New Roman" w:hAnsi="Times New Roman" w:eastAsia="Times New Roman"/>
          <w:color w:val="000000"/>
          <w:sz w:val="24"/>
        </w:rPr>
        <w:t>AutoML</w:t>
        <w:tab/>
        <w:t>Automated Machine Learning</w:t>
      </w:r>
    </w:p>
    <w:p>
      <w:pPr>
        <w:tabs>
          <w:tab w:pos="2016" w:val="left"/>
        </w:tabs>
        <w:spacing w:after="80" w:before="0" w:line="360" w:lineRule="auto"/>
        <w:ind w:left="2016" w:hanging="2016"/>
        <w:jc w:val="left"/>
      </w:pPr>
      <w:r>
        <w:rPr>
          <w:rFonts w:ascii="Times New Roman" w:hAnsi="Times New Roman" w:eastAsia="Times New Roman"/>
          <w:color w:val="000000"/>
          <w:sz w:val="24"/>
        </w:rPr>
        <w:t>CNN</w:t>
        <w:tab/>
        <w:t>Convolutional Neural Network</w:t>
      </w:r>
    </w:p>
    <w:p>
      <w:pPr>
        <w:tabs>
          <w:tab w:pos="2016" w:val="left"/>
        </w:tabs>
        <w:spacing w:after="80" w:before="0" w:line="360" w:lineRule="auto"/>
        <w:ind w:left="2016" w:hanging="2016"/>
        <w:jc w:val="left"/>
      </w:pPr>
      <w:r>
        <w:rPr>
          <w:rFonts w:ascii="Times New Roman" w:hAnsi="Times New Roman" w:eastAsia="Times New Roman"/>
          <w:color w:val="000000"/>
          <w:sz w:val="24"/>
        </w:rPr>
        <w:t>COVID-19</w:t>
        <w:tab/>
        <w:t>Coronavirus Disease 2019</w:t>
      </w:r>
    </w:p>
    <w:p>
      <w:pPr>
        <w:tabs>
          <w:tab w:pos="2016" w:val="left"/>
        </w:tabs>
        <w:spacing w:after="80" w:before="0" w:line="360" w:lineRule="auto"/>
        <w:ind w:left="2016" w:hanging="2016"/>
        <w:jc w:val="left"/>
      </w:pPr>
      <w:r>
        <w:rPr>
          <w:rFonts w:ascii="Times New Roman" w:hAnsi="Times New Roman" w:eastAsia="Times New Roman"/>
          <w:color w:val="000000"/>
          <w:sz w:val="24"/>
        </w:rPr>
        <w:t>DT</w:t>
        <w:tab/>
        <w:t>Decision Tree</w:t>
      </w:r>
    </w:p>
    <w:p>
      <w:pPr>
        <w:tabs>
          <w:tab w:pos="2016" w:val="left"/>
        </w:tabs>
        <w:spacing w:after="80" w:before="0" w:line="360" w:lineRule="auto"/>
        <w:ind w:left="2016" w:hanging="2016"/>
        <w:jc w:val="left"/>
      </w:pPr>
      <w:r>
        <w:rPr>
          <w:rFonts w:ascii="Times New Roman" w:hAnsi="Times New Roman" w:eastAsia="Times New Roman"/>
          <w:color w:val="000000"/>
          <w:sz w:val="24"/>
        </w:rPr>
        <w:t>EHR</w:t>
        <w:tab/>
        <w:t>Electronic Health Record</w:t>
      </w:r>
    </w:p>
    <w:p>
      <w:pPr>
        <w:tabs>
          <w:tab w:pos="2016" w:val="left"/>
        </w:tabs>
        <w:spacing w:after="80" w:before="0" w:line="360" w:lineRule="auto"/>
        <w:ind w:left="2016" w:hanging="2016"/>
        <w:jc w:val="left"/>
      </w:pPr>
      <w:r>
        <w:rPr>
          <w:rFonts w:ascii="Times New Roman" w:hAnsi="Times New Roman" w:eastAsia="Times New Roman"/>
          <w:color w:val="000000"/>
          <w:sz w:val="24"/>
        </w:rPr>
        <w:t>GB</w:t>
        <w:tab/>
        <w:t>Gradient Boosting</w:t>
      </w:r>
    </w:p>
    <w:p>
      <w:pPr>
        <w:tabs>
          <w:tab w:pos="2016" w:val="left"/>
        </w:tabs>
        <w:spacing w:after="80" w:before="0" w:line="360" w:lineRule="auto"/>
        <w:ind w:left="2016" w:hanging="2016"/>
        <w:jc w:val="left"/>
      </w:pPr>
      <w:r>
        <w:rPr>
          <w:rFonts w:ascii="Times New Roman" w:hAnsi="Times New Roman" w:eastAsia="Times New Roman"/>
          <w:color w:val="000000"/>
          <w:sz w:val="24"/>
        </w:rPr>
        <w:t>GPU</w:t>
        <w:tab/>
        <w:t>Graphics Processing Unit</w:t>
      </w:r>
    </w:p>
    <w:p>
      <w:pPr>
        <w:tabs>
          <w:tab w:pos="2016" w:val="left"/>
        </w:tabs>
        <w:spacing w:after="80" w:before="0" w:line="360" w:lineRule="auto"/>
        <w:ind w:left="2016" w:hanging="2016"/>
        <w:jc w:val="left"/>
      </w:pPr>
      <w:r>
        <w:rPr>
          <w:rFonts w:ascii="Times New Roman" w:hAnsi="Times New Roman" w:eastAsia="Times New Roman"/>
          <w:color w:val="000000"/>
          <w:sz w:val="24"/>
        </w:rPr>
        <w:t>KNN</w:t>
        <w:tab/>
        <w:t>k-Nearest Neighbours</w:t>
      </w:r>
    </w:p>
    <w:p>
      <w:pPr>
        <w:tabs>
          <w:tab w:pos="2016" w:val="left"/>
        </w:tabs>
        <w:spacing w:after="80" w:before="0" w:line="360" w:lineRule="auto"/>
        <w:ind w:left="2016" w:hanging="2016"/>
        <w:jc w:val="left"/>
      </w:pPr>
      <w:r>
        <w:rPr>
          <w:rFonts w:ascii="Times New Roman" w:hAnsi="Times New Roman" w:eastAsia="Times New Roman"/>
          <w:color w:val="000000"/>
          <w:sz w:val="24"/>
        </w:rPr>
        <w:t>LR</w:t>
        <w:tab/>
        <w:t>Logistic Regression</w:t>
      </w:r>
    </w:p>
    <w:p>
      <w:pPr>
        <w:tabs>
          <w:tab w:pos="2016" w:val="left"/>
        </w:tabs>
        <w:spacing w:after="80" w:before="0" w:line="360" w:lineRule="auto"/>
        <w:ind w:left="2016" w:hanging="2016"/>
        <w:jc w:val="left"/>
      </w:pPr>
      <w:r>
        <w:rPr>
          <w:rFonts w:ascii="Times New Roman" w:hAnsi="Times New Roman" w:eastAsia="Times New Roman"/>
          <w:color w:val="000000"/>
          <w:sz w:val="24"/>
        </w:rPr>
        <w:t>LSTM</w:t>
        <w:tab/>
        <w:t>Long Short-Term Memory</w:t>
      </w:r>
    </w:p>
    <w:p>
      <w:pPr>
        <w:tabs>
          <w:tab w:pos="2016" w:val="left"/>
        </w:tabs>
        <w:spacing w:after="80" w:before="0" w:line="360" w:lineRule="auto"/>
        <w:ind w:left="2016" w:hanging="2016"/>
        <w:jc w:val="left"/>
      </w:pPr>
      <w:r>
        <w:rPr>
          <w:rFonts w:ascii="Times New Roman" w:hAnsi="Times New Roman" w:eastAsia="Times New Roman"/>
          <w:color w:val="000000"/>
          <w:sz w:val="24"/>
        </w:rPr>
        <w:t>RF</w:t>
        <w:tab/>
        <w:t>Random Forest</w:t>
      </w:r>
    </w:p>
    <w:p>
      <w:pPr>
        <w:tabs>
          <w:tab w:pos="2016" w:val="left"/>
        </w:tabs>
        <w:spacing w:after="80" w:before="0" w:line="360" w:lineRule="auto"/>
        <w:ind w:left="2016" w:hanging="2016"/>
        <w:jc w:val="left"/>
      </w:pPr>
      <w:r>
        <w:rPr>
          <w:rFonts w:ascii="Times New Roman" w:hAnsi="Times New Roman" w:eastAsia="Times New Roman"/>
          <w:color w:val="000000"/>
          <w:sz w:val="24"/>
        </w:rPr>
        <w:t>ROC</w:t>
        <w:tab/>
        <w:t>Receiver Operating Characteristic</w:t>
      </w:r>
    </w:p>
    <w:p>
      <w:pPr>
        <w:tabs>
          <w:tab w:pos="2016" w:val="left"/>
        </w:tabs>
        <w:spacing w:after="80" w:before="0" w:line="360" w:lineRule="auto"/>
        <w:ind w:left="2016" w:hanging="2016"/>
        <w:jc w:val="left"/>
      </w:pPr>
      <w:r>
        <w:rPr>
          <w:rFonts w:ascii="Times New Roman" w:hAnsi="Times New Roman" w:eastAsia="Times New Roman"/>
          <w:color w:val="000000"/>
          <w:sz w:val="24"/>
        </w:rPr>
        <w:t>ROC-AUC</w:t>
        <w:tab/>
        <w:t>Area Under the Receiver Operating Characteristic Curve</w:t>
      </w:r>
    </w:p>
    <w:p>
      <w:pPr>
        <w:tabs>
          <w:tab w:pos="2016" w:val="left"/>
        </w:tabs>
        <w:spacing w:after="80" w:before="0" w:line="360" w:lineRule="auto"/>
        <w:ind w:left="2016" w:hanging="2016"/>
        <w:jc w:val="left"/>
      </w:pPr>
      <w:r>
        <w:rPr>
          <w:rFonts w:ascii="Times New Roman" w:hAnsi="Times New Roman" w:eastAsia="Times New Roman"/>
          <w:color w:val="000000"/>
          <w:sz w:val="24"/>
        </w:rPr>
        <w:t>SHAP</w:t>
        <w:tab/>
        <w:t>Shapley Additive Explanations</w:t>
      </w:r>
    </w:p>
    <w:p>
      <w:pPr>
        <w:tabs>
          <w:tab w:pos="2016" w:val="left"/>
        </w:tabs>
        <w:spacing w:after="80" w:before="0" w:line="360" w:lineRule="auto"/>
        <w:ind w:left="2016" w:hanging="2016"/>
        <w:jc w:val="left"/>
      </w:pPr>
      <w:r>
        <w:rPr>
          <w:rFonts w:ascii="Times New Roman" w:hAnsi="Times New Roman" w:eastAsia="Times New Roman"/>
          <w:color w:val="000000"/>
          <w:sz w:val="24"/>
        </w:rPr>
        <w:t>SVM</w:t>
        <w:tab/>
        <w:t>Support Vector Machine</w:t>
      </w:r>
    </w:p>
    <w:p>
      <w:pPr>
        <w:tabs>
          <w:tab w:pos="2016" w:val="left"/>
        </w:tabs>
        <w:spacing w:after="80" w:before="0" w:line="360" w:lineRule="auto"/>
        <w:ind w:left="2016" w:hanging="2016"/>
        <w:jc w:val="left"/>
      </w:pPr>
      <w:r>
        <w:rPr>
          <w:rFonts w:ascii="Times New Roman" w:hAnsi="Times New Roman" w:eastAsia="Times New Roman"/>
          <w:color w:val="000000"/>
          <w:sz w:val="24"/>
        </w:rPr>
        <w:t>TabFM</w:t>
        <w:tab/>
        <w:t>Tabular Foundation Model</w:t>
      </w:r>
    </w:p>
    <w:p>
      <w:pPr>
        <w:tabs>
          <w:tab w:pos="2016" w:val="left"/>
        </w:tabs>
        <w:spacing w:after="80" w:before="0" w:line="360" w:lineRule="auto"/>
        <w:ind w:left="2016" w:hanging="2016"/>
        <w:jc w:val="left"/>
      </w:pPr>
      <w:r>
        <w:rPr>
          <w:rFonts w:ascii="Times New Roman" w:hAnsi="Times New Roman" w:eastAsia="Times New Roman"/>
          <w:color w:val="000000"/>
          <w:sz w:val="24"/>
        </w:rPr>
        <w:t>TabPFN</w:t>
        <w:tab/>
        <w:t>Tabular Prior-Data Fitted Network</w:t>
      </w:r>
    </w:p>
    <w:p>
      <w:pPr>
        <w:tabs>
          <w:tab w:pos="2016" w:val="left"/>
        </w:tabs>
        <w:spacing w:after="80" w:before="0" w:line="360" w:lineRule="auto"/>
        <w:ind w:left="2016" w:hanging="2016"/>
        <w:jc w:val="left"/>
      </w:pPr>
      <w:r>
        <w:rPr>
          <w:rFonts w:ascii="Times New Roman" w:hAnsi="Times New Roman" w:eastAsia="Times New Roman"/>
          <w:color w:val="000000"/>
          <w:sz w:val="24"/>
        </w:rPr>
        <w:t>TFT</w:t>
        <w:tab/>
        <w:t>Temporal Fusion Transformer</w:t>
      </w:r>
    </w:p>
    <w:p>
      <w:pPr>
        <w:tabs>
          <w:tab w:pos="2016" w:val="left"/>
        </w:tabs>
        <w:spacing w:after="80" w:before="0" w:line="360" w:lineRule="auto"/>
        <w:ind w:left="2016" w:hanging="2016"/>
        <w:jc w:val="left"/>
      </w:pPr>
      <w:r>
        <w:rPr>
          <w:rFonts w:ascii="Times New Roman" w:hAnsi="Times New Roman" w:eastAsia="Times New Roman"/>
          <w:color w:val="000000"/>
          <w:sz w:val="24"/>
        </w:rPr>
        <w:t>XGBoost</w:t>
        <w:tab/>
        <w:t>Extreme Gradient Boosting</w:t>
      </w:r>
    </w:p>
    <w:p>
      <w:pPr>
        <w:sectPr>
          <w:footerReference w:type="default" r:id="rId10"/>
          <w:pgSz w:w="11909" w:h="16834"/>
          <w:pgMar w:top="1440" w:right="1440" w:bottom="1440" w:left="1440" w:header="720" w:footer="720" w:gutter="0"/>
          <w:cols w:space="720"/>
          <w:docGrid w:linePitch="360"/>
          <w:pgNumType w:fmt="lowerRoman" w:start="2"/>
        </w:sectPr>
      </w:pPr>
    </w:p>
    <w:p>
      <w:pPr>
        <w:pStyle w:val="Heading1"/>
        <w:keepNext/>
        <w:pageBreakBefore/>
        <w:spacing w:after="360" w:before="0" w:line="360" w:lineRule="auto"/>
        <w:jc w:val="center"/>
      </w:pPr>
      <w:r>
        <w:rPr>
          <w:rFonts w:ascii="Times New Roman" w:hAnsi="Times New Roman" w:eastAsia="Times New Roman"/>
          <w:b/>
          <w:color w:val="000000"/>
          <w:sz w:val="32"/>
        </w:rPr>
        <w:t>Chapter 1: Introduction</w:t>
      </w:r>
    </w:p>
    <w:p>
      <w:pPr>
        <w:pStyle w:val="Heading2"/>
        <w:keepNext/>
        <w:spacing w:after="240" w:before="120" w:line="360" w:lineRule="auto"/>
        <w:jc w:val="left"/>
      </w:pPr>
      <w:r>
        <w:rPr>
          <w:rFonts w:ascii="Times New Roman" w:hAnsi="Times New Roman" w:eastAsia="Times New Roman"/>
          <w:b/>
          <w:color w:val="000000"/>
          <w:sz w:val="28"/>
        </w:rPr>
        <w:t>1.1 Introduction</w:t>
      </w:r>
    </w:p>
    <w:p>
      <w:pPr>
        <w:spacing w:after="240" w:before="0" w:line="360" w:lineRule="auto"/>
        <w:jc w:val="both"/>
      </w:pPr>
      <w:r>
        <w:rPr>
          <w:rFonts w:ascii="Times New Roman" w:hAnsi="Times New Roman" w:eastAsia="Times New Roman"/>
          <w:b w:val="0"/>
          <w:i w:val="0"/>
          <w:color w:val="000000"/>
          <w:sz w:val="24"/>
        </w:rPr>
        <w:t>Alopecia, the clinical term for pathological hair loss, affects individuals across a broad range of ages and demographic backgrounds worldwide. Some degree of hair shedding is a normal part of the follicular growth cycle, but a marked or sudden increase in shedding often points to an underlying disturbance in the body's systems, commonly hormonal imbalance, significant nutrient depletion, prolonged physical strain, or sustained psychological stress (Bai et al., 2026; Guo &amp; Katta, 2017; Hussein et al., 2023). Beyond its visible effects, noticeable hair loss frequently carries a real emotional cost, contributing to lowered self-confidence, elevated anxiety, and a reduced sense of overall well-being. In this proposal, "hair loss" and "hair fall" are used with the same meaning, and "hair fall" is also the name of the target variable in the dataset.</w:t>
      </w:r>
    </w:p>
    <w:p>
      <w:pPr>
        <w:spacing w:after="240" w:before="0" w:line="360" w:lineRule="auto"/>
        <w:jc w:val="both"/>
      </w:pPr>
      <w:r>
        <w:rPr>
          <w:rFonts w:ascii="Times New Roman" w:hAnsi="Times New Roman" w:eastAsia="Times New Roman"/>
          <w:b w:val="0"/>
          <w:i w:val="0"/>
          <w:color w:val="000000"/>
          <w:sz w:val="24"/>
        </w:rPr>
        <w:t>Determining an individual's likelihood of experiencing hair loss is inherently difficult because no single biomarker reliably predicts it. Risk instead emerges from the combined, non-linear interaction of physiological traits, everyday habits, environmental factors, and pre-existing health conditions. Elements such as diet quality, sleep regularity, scalp care practices, thyroid activity, iron levels, and hereditary predisposition all interact at once, making it impractical for clinicians or individuals to gauge overall risk through observation alone.</w:t>
      </w:r>
    </w:p>
    <w:p>
      <w:pPr>
        <w:spacing w:after="240" w:before="0" w:line="360" w:lineRule="auto"/>
        <w:jc w:val="both"/>
      </w:pPr>
      <w:r>
        <w:rPr>
          <w:rFonts w:ascii="Times New Roman" w:hAnsi="Times New Roman" w:eastAsia="Times New Roman"/>
          <w:b w:val="0"/>
          <w:i w:val="0"/>
          <w:color w:val="000000"/>
          <w:sz w:val="24"/>
        </w:rPr>
        <w:t>Healthcare systems today generate large volumes of patient data through Electronic Health Records (EHRs), capturing detailed clinical histories over time. A substantial share of this clinical data is inherently tabular in structure: laboratory results, vital signs, diagnostic codes, medication histories, and patient demographics are all naturally represented as structured rows and columns rather than as free text or medical imagery. Consequently, tabular data forms the backbone of a large fraction of real-world clinical prediction tasks, including disease risk stratification, treatment outcome prediction, and, as in this study, early screening for conditions such as hair loss. Machine learning offers a way to surface patterns within this dense, multi-source tabular data that would otherwise go unnoticed. Gradient boosting methods have long been the standard tool for prediction on structured, tabular data (Prokhorenkova et al., 2018). More recently, however, tabular foundation models, which are transformer architectures pretrained to perform prediction directly from context without task-specific training, have begun to reshape this space. Prior Labs' TabPFN (Hollmann et al., 2025) and Google's TabFM (Kong et al., 2026) both represent this newer generation of zero-shot tabular models, offering predictions through a single forward pass rather than the conventional train-and-tune cycle.</w:t>
      </w:r>
    </w:p>
    <w:p>
      <w:pPr>
        <w:spacing w:after="240" w:before="0" w:line="360" w:lineRule="auto"/>
        <w:jc w:val="both"/>
      </w:pPr>
      <w:r>
        <w:rPr>
          <w:rFonts w:ascii="Times New Roman" w:hAnsi="Times New Roman" w:eastAsia="Times New Roman"/>
          <w:b w:val="0"/>
          <w:i w:val="0"/>
          <w:color w:val="000000"/>
          <w:sz w:val="24"/>
        </w:rPr>
        <w:t>A persistent limitation of both gradient boosting and transformer-based approaches, however, is their tendency to operate as opaque, uninterpretable systems. This research addresses that limitation by building a comparative machine learning framework for evaluating and explaining multi-tier hair fall risk, using structured clinical and lifestyle data. The study benchmarks three distinct modelling paradigms: CatBoost, a gradient-boosted decision tree architecture purpose-built for categorical data; TabPFN, an established prior-fitted transformer foundation model for tabular in-context learning; and TabFM, Google Research's more recently released zero-shot tabular foundation model. Post-hoc explainability is layered across all three models via Shapley Additive Explanations (SHAP; Lundberg &amp; Lee, 2017), giving each prediction a transparent, feature-level justification grounded in the underlying medical and lifestyle indicators.</w:t>
      </w:r>
    </w:p>
    <w:p>
      <w:pPr>
        <w:pStyle w:val="Heading2"/>
        <w:keepNext/>
        <w:spacing w:after="240" w:before="120" w:line="360" w:lineRule="auto"/>
        <w:jc w:val="left"/>
      </w:pPr>
      <w:r>
        <w:rPr>
          <w:rFonts w:ascii="Times New Roman" w:hAnsi="Times New Roman" w:eastAsia="Times New Roman"/>
          <w:b/>
          <w:color w:val="000000"/>
          <w:sz w:val="28"/>
        </w:rPr>
        <w:t>1.2 Problem Statement</w:t>
      </w:r>
    </w:p>
    <w:p>
      <w:pPr>
        <w:spacing w:after="240" w:before="0" w:line="360" w:lineRule="auto"/>
        <w:jc w:val="both"/>
      </w:pPr>
      <w:r>
        <w:rPr>
          <w:rFonts w:ascii="Times New Roman" w:hAnsi="Times New Roman" w:eastAsia="Times New Roman"/>
          <w:b w:val="0"/>
          <w:i w:val="0"/>
          <w:color w:val="000000"/>
          <w:sz w:val="24"/>
        </w:rPr>
        <w:t>Determining hair loss risk remains a genuinely difficult clinical problem, shaped by the interplay of hormonal shifts, metabolic irregularities, chronic stress, nutritional gaps, and hair care habits. Current practice leans heavily on subjective self-reporting or delayed clinical evaluation, both of which are vulnerable to observer bias, inconsistent standards, and limited reach in under-resourced settings.</w:t>
      </w:r>
    </w:p>
    <w:p>
      <w:pPr>
        <w:spacing w:after="240" w:before="0" w:line="360" w:lineRule="auto"/>
        <w:jc w:val="both"/>
      </w:pPr>
      <w:r>
        <w:rPr>
          <w:rFonts w:ascii="Times New Roman" w:hAnsi="Times New Roman" w:eastAsia="Times New Roman"/>
          <w:b w:val="0"/>
          <w:i w:val="0"/>
          <w:color w:val="000000"/>
          <w:sz w:val="24"/>
        </w:rPr>
        <w:t>Machine learning can, in principle, model these interacting risk factors systematically, but the literature reviewed in Chapter 2 leaves five problems open. First, studies that predict hair loss from survey and clinical tables have compared only classical algorithms such as Logistic Regression, Random Forest, and Extreme Gradient Boosting (XGBoost), on different datasets, and their reported accuracies range from about 50% to 100% (Khatun et al., 2022; Kumar et al., 2025; Siami &amp; Azis, 2025), so it is not clear which type of model suits this problem. Second, CatBoost, which was designed for categorical data, appeared in only one hair loss study as a side comparison with a low score, apparently without tuning (Kumar et al., 2025). Third, tabular foundation models such as TabPFN and TabFM have been evaluated only on general benchmarks (Hollmann et al., 2025; Kong et al., 2026), and none has been tested on hair loss data. Fourth, TabFM is very new and has been reproduced independently only once, with software and memory problems reported (Pandey, 2026), so its practical limits are unclear. Fifth, the hair loss studies concentrate on accuracy, and none compares how a boosted-tree model and foundation models explain their predictions.</w:t>
      </w:r>
    </w:p>
    <w:p>
      <w:pPr>
        <w:spacing w:after="240" w:before="0" w:line="360" w:lineRule="auto"/>
        <w:jc w:val="both"/>
      </w:pPr>
      <w:r>
        <w:rPr>
          <w:rFonts w:ascii="Times New Roman" w:hAnsi="Times New Roman" w:eastAsia="Times New Roman"/>
          <w:b w:val="0"/>
          <w:i w:val="0"/>
          <w:color w:val="000000"/>
          <w:sz w:val="24"/>
        </w:rPr>
        <w:t>These gaps matter because a risk tier is useful to a clinician or a patient only if it is reliable and can be explained. This study therefore builds and benchmarks an explainable machine learning framework for multi-tier hair fall risk classification. By evaluating CatBoost against two independently developed tabular foundation models, TabPFN and TabFM, alongside SHAP-based feature attribution, it examines whether zero-shot, prior-fitted transformer approaches can match a carefully tuned gradient-boosted tree on tabular health data, while keeping every predicted risk tier traceable to specific, interpretable indicators.</w:t>
      </w:r>
    </w:p>
    <w:p>
      <w:pPr>
        <w:pStyle w:val="Heading2"/>
        <w:keepNext/>
        <w:spacing w:after="240" w:before="120" w:line="360" w:lineRule="auto"/>
        <w:jc w:val="left"/>
      </w:pPr>
      <w:r>
        <w:rPr>
          <w:rFonts w:ascii="Times New Roman" w:hAnsi="Times New Roman" w:eastAsia="Times New Roman"/>
          <w:b/>
          <w:color w:val="000000"/>
          <w:sz w:val="28"/>
        </w:rPr>
        <w:t>1.3 Objectives</w:t>
      </w:r>
    </w:p>
    <w:p>
      <w:pPr>
        <w:spacing w:after="240" w:before="0" w:line="360" w:lineRule="auto"/>
        <w:jc w:val="both"/>
      </w:pPr>
      <w:r>
        <w:rPr>
          <w:rFonts w:ascii="Times New Roman" w:hAnsi="Times New Roman" w:eastAsia="Times New Roman"/>
          <w:b w:val="0"/>
          <w:i w:val="0"/>
          <w:color w:val="000000"/>
          <w:sz w:val="24"/>
        </w:rPr>
        <w:t>This dissertation has two objectives:</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val="0"/>
          <w:i w:val="0"/>
          <w:color w:val="000000"/>
          <w:sz w:val="24"/>
        </w:rPr>
        <w:t>To implement and benchmark CatBoost, TabPFN, and TabFM for predicting multi-tier hair fall risk from structured clinical and lifestyle data.</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val="0"/>
          <w:i w:val="0"/>
          <w:color w:val="000000"/>
          <w:sz w:val="24"/>
        </w:rPr>
        <w:t>To provide transparent, feature-level decision-support insights for every model through SHAP-based explainability, so that each predicted risk tier can be traced to specific clinical and lifestyle indicators.</w:t>
      </w:r>
    </w:p>
    <w:p>
      <w:pPr>
        <w:pStyle w:val="Heading1"/>
        <w:keepNext/>
        <w:pageBreakBefore/>
        <w:spacing w:after="360" w:before="0" w:line="360" w:lineRule="auto"/>
        <w:jc w:val="center"/>
      </w:pPr>
      <w:r>
        <w:rPr>
          <w:rFonts w:ascii="Times New Roman" w:hAnsi="Times New Roman" w:eastAsia="Times New Roman"/>
          <w:b/>
          <w:color w:val="000000"/>
          <w:sz w:val="32"/>
        </w:rPr>
        <w:t>Chapter 2: Background Study and Literature Review</w:t>
      </w:r>
    </w:p>
    <w:p>
      <w:pPr>
        <w:pStyle w:val="Heading2"/>
        <w:keepNext/>
        <w:spacing w:after="240" w:before="120" w:line="360" w:lineRule="auto"/>
        <w:jc w:val="left"/>
      </w:pPr>
      <w:r>
        <w:rPr>
          <w:rFonts w:ascii="Times New Roman" w:hAnsi="Times New Roman" w:eastAsia="Times New Roman"/>
          <w:b/>
          <w:color w:val="000000"/>
          <w:sz w:val="28"/>
        </w:rPr>
        <w:t>2.1 Background Study</w:t>
      </w:r>
    </w:p>
    <w:p>
      <w:pPr>
        <w:spacing w:after="240" w:before="0" w:line="360" w:lineRule="auto"/>
        <w:jc w:val="both"/>
      </w:pPr>
      <w:r>
        <w:rPr>
          <w:rFonts w:ascii="Times New Roman" w:hAnsi="Times New Roman" w:eastAsia="Times New Roman"/>
          <w:b w:val="0"/>
          <w:i w:val="0"/>
          <w:color w:val="000000"/>
          <w:sz w:val="24"/>
        </w:rPr>
        <w:t>Human hair grows in a repeating cycle of three phases: a growth phase (anagen), a short regression phase (catagen), and a resting phase (telogen) after which the hair is shed. Losing some hair every day is therefore normal. Hair loss becomes a medical problem when this cycle is disturbed, so that too many follicles enter the resting phase early or the follicles shrink and stop producing thick hair. Clinically, the most common forms are androgenetic alopecia (pattern hair loss driven by hormones and inheritance), telogen effluvium (a temporary but heavy shedding that follows a physical or emotional trigger), and alopecia areata (patchy loss caused by an autoimmune reaction).</w:t>
      </w:r>
    </w:p>
    <w:p>
      <w:pPr>
        <w:spacing w:after="240" w:before="0" w:line="360" w:lineRule="auto"/>
        <w:jc w:val="both"/>
      </w:pPr>
      <w:r>
        <w:rPr>
          <w:rFonts w:ascii="Times New Roman" w:hAnsi="Times New Roman" w:eastAsia="Times New Roman"/>
          <w:b w:val="0"/>
          <w:i w:val="0"/>
          <w:color w:val="000000"/>
          <w:sz w:val="24"/>
        </w:rPr>
        <w:t>The biological factors that disturb the hair cycle are well documented, and they usually act together rather than alone. The main ones are described below.</w:t>
      </w:r>
    </w:p>
    <w:p>
      <w:pPr>
        <w:spacing w:after="240" w:before="0" w:line="360" w:lineRule="auto"/>
        <w:jc w:val="both"/>
      </w:pPr>
      <w:r>
        <w:rPr>
          <w:rFonts w:ascii="Times New Roman" w:hAnsi="Times New Roman" w:eastAsia="Times New Roman"/>
          <w:b/>
          <w:i w:val="0"/>
          <w:color w:val="000000"/>
          <w:sz w:val="24"/>
        </w:rPr>
        <w:t>Hormones and heredity.</w:t>
      </w:r>
      <w:r>
        <w:rPr>
          <w:rFonts w:ascii="Times New Roman" w:hAnsi="Times New Roman" w:eastAsia="Times New Roman"/>
          <w:b w:val="0"/>
          <w:i w:val="0"/>
          <w:color w:val="000000"/>
          <w:sz w:val="24"/>
        </w:rPr>
        <w:t xml:space="preserve"> Androgenetic alopecia depends on inherited sensitivity of the follicles to androgen hormones, which is why family history is one of the strongest risk indicators. Agaoglu et al. (2021) studied how common early-onset androgenetic alopecia is and how it relates to lifestyle and dietary habits.</w:t>
      </w:r>
    </w:p>
    <w:p>
      <w:pPr>
        <w:spacing w:after="240" w:before="0" w:line="360" w:lineRule="auto"/>
        <w:jc w:val="both"/>
      </w:pPr>
      <w:r>
        <w:rPr>
          <w:rFonts w:ascii="Times New Roman" w:hAnsi="Times New Roman" w:eastAsia="Times New Roman"/>
          <w:b/>
          <w:i w:val="0"/>
          <w:color w:val="000000"/>
          <w:sz w:val="24"/>
        </w:rPr>
        <w:t>Nutrition and iron status.</w:t>
      </w:r>
      <w:r>
        <w:rPr>
          <w:rFonts w:ascii="Times New Roman" w:hAnsi="Times New Roman" w:eastAsia="Times New Roman"/>
          <w:b w:val="0"/>
          <w:i w:val="0"/>
          <w:color w:val="000000"/>
          <w:sz w:val="24"/>
        </w:rPr>
        <w:t xml:space="preserve"> Hair follicles are among the most active tissues in the body, so they are sensitive to shortages of iron, zinc, and some vitamins. Guo and Katta (2017) reviewed the evidence on nutrient deficiency, supplement use, and hair loss. Lin et al. (2023) focused on iron-deficiency-related alopecia in women, and Treister-Goltzman et al. (2022) combined the available studies in a systematic review and meta-analysis of iron deficiency and non-scarring alopecia in women. These studies are why blood indicators such as haemoglobin and iron are treated as important risk markers.</w:t>
      </w:r>
    </w:p>
    <w:p>
      <w:pPr>
        <w:spacing w:after="240" w:before="0" w:line="360" w:lineRule="auto"/>
        <w:jc w:val="both"/>
      </w:pPr>
      <w:r>
        <w:rPr>
          <w:rFonts w:ascii="Times New Roman" w:hAnsi="Times New Roman" w:eastAsia="Times New Roman"/>
          <w:b/>
          <w:i w:val="0"/>
          <w:color w:val="000000"/>
          <w:sz w:val="24"/>
        </w:rPr>
        <w:t>Thyroid function.</w:t>
      </w:r>
      <w:r>
        <w:rPr>
          <w:rFonts w:ascii="Times New Roman" w:hAnsi="Times New Roman" w:eastAsia="Times New Roman"/>
          <w:b w:val="0"/>
          <w:i w:val="0"/>
          <w:color w:val="000000"/>
          <w:sz w:val="24"/>
        </w:rPr>
        <w:t xml:space="preserve"> Thyroid hormones help regulate the hair cycle, and both an underactive and an overactive thyroid are linked with hair disorders (Hussein et al., 2023). In Nepal, Marahatta et al. (2018) reported on the association between alopecia areata and thyroid dysfunction in patients from eastern Nepal.</w:t>
      </w:r>
    </w:p>
    <w:p>
      <w:pPr>
        <w:spacing w:after="240" w:before="0" w:line="360" w:lineRule="auto"/>
        <w:jc w:val="both"/>
      </w:pPr>
      <w:r>
        <w:rPr>
          <w:rFonts w:ascii="Times New Roman" w:hAnsi="Times New Roman" w:eastAsia="Times New Roman"/>
          <w:b/>
          <w:i w:val="0"/>
          <w:color w:val="000000"/>
          <w:sz w:val="24"/>
        </w:rPr>
        <w:t>Psychological stress.</w:t>
      </w:r>
      <w:r>
        <w:rPr>
          <w:rFonts w:ascii="Times New Roman" w:hAnsi="Times New Roman" w:eastAsia="Times New Roman"/>
          <w:b w:val="0"/>
          <w:i w:val="0"/>
          <w:color w:val="000000"/>
          <w:sz w:val="24"/>
        </w:rPr>
        <w:t xml:space="preserve"> Stress is thought to push follicles out of the growth phase too early, which leads to increased shedding some weeks later (Bai et al., 2026). Stress can also make an existing condition worse, so it is both a cause and a consequence of hair loss.</w:t>
      </w:r>
    </w:p>
    <w:p>
      <w:pPr>
        <w:spacing w:after="240" w:before="0" w:line="360" w:lineRule="auto"/>
        <w:jc w:val="both"/>
      </w:pPr>
      <w:r>
        <w:rPr>
          <w:rFonts w:ascii="Times New Roman" w:hAnsi="Times New Roman" w:eastAsia="Times New Roman"/>
          <w:b/>
          <w:i w:val="0"/>
          <w:color w:val="000000"/>
          <w:sz w:val="24"/>
        </w:rPr>
        <w:t>Infection and physical illness.</w:t>
      </w:r>
      <w:r>
        <w:rPr>
          <w:rFonts w:ascii="Times New Roman" w:hAnsi="Times New Roman" w:eastAsia="Times New Roman"/>
          <w:b w:val="0"/>
          <w:i w:val="0"/>
          <w:color w:val="000000"/>
          <w:sz w:val="24"/>
        </w:rPr>
        <w:t xml:space="preserve"> A sudden illness, fever, or major physical strain can trigger telogen effluvium. Cline et al. (2021) documented a surge in telogen effluvium in communities heavily affected by coronavirus disease 2019 (COVID-19), showing how a large health event can raise the number of people who present with hair loss.</w:t>
      </w:r>
    </w:p>
    <w:p>
      <w:pPr>
        <w:spacing w:after="240" w:before="0" w:line="360" w:lineRule="auto"/>
        <w:jc w:val="both"/>
      </w:pPr>
      <w:r>
        <w:rPr>
          <w:rFonts w:ascii="Times New Roman" w:hAnsi="Times New Roman" w:eastAsia="Times New Roman"/>
          <w:b/>
          <w:i w:val="0"/>
          <w:color w:val="000000"/>
          <w:sz w:val="24"/>
        </w:rPr>
        <w:t>How people are affected in real life.</w:t>
      </w:r>
      <w:r>
        <w:rPr>
          <w:rFonts w:ascii="Times New Roman" w:hAnsi="Times New Roman" w:eastAsia="Times New Roman"/>
          <w:b w:val="0"/>
          <w:i w:val="0"/>
          <w:color w:val="000000"/>
          <w:sz w:val="24"/>
        </w:rPr>
        <w:t xml:space="preserve"> Hair loss is rarely only a cosmetic matter. It is linked with lower self-confidence, anxiety, and a poorer quality of life, and in many cases the person does not know which of the factors above is responsible. Survey evidence shows that young people are affected too. In a survey of 610 participants in Bangladesh, most respondents were aged 18 to 24, and stress, allergies, dandruff, and family history were the main causes they reported (Khatun et al., 2022). Worldwide, the burden of alopecia areata has been analysed over three decades using the Global Burden of Disease data, including differences in lifetime risk between women and men (Sun et al., 2025).</w:t>
      </w:r>
    </w:p>
    <w:p>
      <w:pPr>
        <w:spacing w:after="240" w:before="0" w:line="360" w:lineRule="auto"/>
        <w:jc w:val="both"/>
      </w:pPr>
      <w:r>
        <w:rPr>
          <w:rFonts w:ascii="Times New Roman" w:hAnsi="Times New Roman" w:eastAsia="Times New Roman"/>
          <w:b/>
          <w:i w:val="0"/>
          <w:color w:val="000000"/>
          <w:sz w:val="24"/>
        </w:rPr>
        <w:t>Current trend.</w:t>
      </w:r>
      <w:r>
        <w:rPr>
          <w:rFonts w:ascii="Times New Roman" w:hAnsi="Times New Roman" w:eastAsia="Times New Roman"/>
          <w:b w:val="0"/>
          <w:i w:val="0"/>
          <w:color w:val="000000"/>
          <w:sz w:val="24"/>
        </w:rPr>
        <w:t xml:space="preserve"> Reports suggest that hair loss is being seen more often and at a younger age. Early-onset androgenetic alopecia has been linked to lifestyle and dietary habits (Agaoglu et al., 2021), and post-infection shedding rose sharply during the COVID-19 period (Cline et al., 2021). Research and public interest have followed the same direction: bibliometric work has mapped global research trends and emerging topics in hair loss treatment (Wang et al., 2026), and Google search patterns have been used to track worldwide interest in hair loss treatments (Todorova &amp; Kluger, 2026).</w:t>
      </w:r>
    </w:p>
    <w:p>
      <w:pPr>
        <w:spacing w:after="240" w:before="0" w:line="360" w:lineRule="auto"/>
        <w:jc w:val="both"/>
      </w:pPr>
      <w:r>
        <w:rPr>
          <w:rFonts w:ascii="Times New Roman" w:hAnsi="Times New Roman" w:eastAsia="Times New Roman"/>
          <w:b/>
          <w:i w:val="0"/>
          <w:color w:val="000000"/>
          <w:sz w:val="24"/>
        </w:rPr>
        <w:t>From biology to machine learning.</w:t>
      </w:r>
      <w:r>
        <w:rPr>
          <w:rFonts w:ascii="Times New Roman" w:hAnsi="Times New Roman" w:eastAsia="Times New Roman"/>
          <w:b w:val="0"/>
          <w:i w:val="0"/>
          <w:color w:val="000000"/>
          <w:sz w:val="24"/>
        </w:rPr>
        <w:t xml:space="preserve"> Because the causes above overlap and interact, no single test can predict hair loss risk. Diagnosis today relies mostly on clinical examination and the patient's own history, which is slow, subjective, and hard to reach in rural areas. This has led researchers to apply machine learning to hair loss. Earlier work mainly used scalp or hair images (Shakeel et al., 2021; Sayyad et al., 2022), and more recent work uses survey and clinical tables with classical algorithms such as Random Forest and XGBoost (Khatun et al., 2022; Kumar et al., 2025; Sai et al., 2023). The newest direction is tabular foundation models such as TabPFN (Hollmann et al., 2025) and TabFM (Kong et al., 2026), which have not yet been tested on hair loss.</w:t>
      </w:r>
    </w:p>
    <w:p>
      <w:pPr>
        <w:pStyle w:val="Heading2"/>
        <w:keepNext/>
        <w:spacing w:after="240" w:before="120" w:line="360" w:lineRule="auto"/>
        <w:jc w:val="left"/>
      </w:pPr>
      <w:r>
        <w:rPr>
          <w:rFonts w:ascii="Times New Roman" w:hAnsi="Times New Roman" w:eastAsia="Times New Roman"/>
          <w:b/>
          <w:color w:val="000000"/>
          <w:sz w:val="28"/>
        </w:rPr>
        <w:t>2.2 Literature Review</w:t>
      </w:r>
    </w:p>
    <w:p>
      <w:pPr>
        <w:spacing w:after="240" w:before="0" w:line="360" w:lineRule="auto"/>
        <w:jc w:val="both"/>
      </w:pPr>
      <w:r>
        <w:rPr>
          <w:rFonts w:ascii="Times New Roman" w:hAnsi="Times New Roman" w:eastAsia="Times New Roman"/>
          <w:b/>
          <w:i w:val="0"/>
          <w:color w:val="000000"/>
          <w:sz w:val="24"/>
        </w:rPr>
        <w:t>Hair loss prediction from survey and lifestyle data.</w:t>
      </w:r>
      <w:r>
        <w:rPr>
          <w:rFonts w:ascii="Times New Roman" w:hAnsi="Times New Roman" w:eastAsia="Times New Roman"/>
          <w:b w:val="0"/>
          <w:i w:val="0"/>
          <w:color w:val="000000"/>
          <w:sz w:val="24"/>
        </w:rPr>
        <w:t xml:space="preserve"> Khatun et al. (2022) surveyed 610 people in Bangladesh and trained a Support Vector Machine (SVM), k-Nearest Neighbours (KNN), Logistic Regression, Random Forest, and XGBoost to diagnose hair fall disorder. XGBoost gave the best accuracy of 92.62%. The study shows that questionnaire data can carry a useful signal, but it tested only classical models and did not explain individual predictions.</w:t>
      </w:r>
    </w:p>
    <w:p>
      <w:pPr>
        <w:spacing w:after="240" w:before="0" w:line="360" w:lineRule="auto"/>
        <w:jc w:val="both"/>
      </w:pPr>
      <w:r>
        <w:rPr>
          <w:rFonts w:ascii="Times New Roman" w:hAnsi="Times New Roman" w:eastAsia="Times New Roman"/>
          <w:b w:val="0"/>
          <w:i w:val="0"/>
          <w:color w:val="000000"/>
          <w:sz w:val="24"/>
        </w:rPr>
        <w:t>Sai et al. (2023) compared SVM, KNN, decision tree, random forest, and logistic regression with an ensemble method for hair fall prediction. The ensemble was better than every single algorithm in accuracy, precision, and recall. The study did not include boosting models designed for categorical data or any explanation method.</w:t>
      </w:r>
    </w:p>
    <w:p>
      <w:pPr>
        <w:spacing w:after="240" w:before="0" w:line="360" w:lineRule="auto"/>
        <w:jc w:val="both"/>
      </w:pPr>
      <w:r>
        <w:rPr>
          <w:rFonts w:ascii="Times New Roman" w:hAnsi="Times New Roman" w:eastAsia="Times New Roman"/>
          <w:b w:val="0"/>
          <w:i w:val="0"/>
          <w:color w:val="000000"/>
          <w:sz w:val="24"/>
        </w:rPr>
        <w:t>Kumar et al. (2025) built a Random Forest hair loss predictor on a dataset of 2,000 records with 10 features (genetics, hormones, medical history, nutrition, stress) and added a web interface built with Django. Random Forest reached 100% accuracy, while XGBoost (67.5%), CatBoost (49.5%), and LightGBM (47.5%) scored much lower. A score of 100% on a real health problem is unusual and may point to an easy or synthetic-looking dataset, so it is better read as a result on that one dataset than as proof that Random Forest is best. The very low CatBoost score also suggests that the boosting models were not tuned, which is an open question this study tests properly.</w:t>
      </w:r>
    </w:p>
    <w:p>
      <w:pPr>
        <w:spacing w:after="240" w:before="0" w:line="360" w:lineRule="auto"/>
        <w:jc w:val="both"/>
      </w:pPr>
      <w:r>
        <w:rPr>
          <w:rFonts w:ascii="Times New Roman" w:hAnsi="Times New Roman" w:eastAsia="Times New Roman"/>
          <w:b w:val="0"/>
          <w:i w:val="0"/>
          <w:color w:val="000000"/>
          <w:sz w:val="24"/>
        </w:rPr>
        <w:t>Siami and Azis (2025) compared Logistic Regression, Decision Tree, Random Forest, Gradient Boosting, XGBoost, and a voting ensemble on a balanced dataset of genetic, hormonal, lifestyle, and environmental indicators. Accuracy and F1-score stayed at about 50% at best, although age, stress, and nutritional deficiency were identified as important factors. The authors concluded that richer clinical inputs were needed.</w:t>
      </w:r>
    </w:p>
    <w:p>
      <w:pPr>
        <w:spacing w:after="240" w:before="0" w:line="360" w:lineRule="auto"/>
        <w:jc w:val="both"/>
      </w:pPr>
      <w:r>
        <w:rPr>
          <w:rFonts w:ascii="Times New Roman" w:hAnsi="Times New Roman" w:eastAsia="Times New Roman"/>
          <w:b w:val="0"/>
          <w:i w:val="0"/>
          <w:color w:val="000000"/>
          <w:sz w:val="24"/>
        </w:rPr>
        <w:t>Leema et al. (2025) collected questionnaire data from 750 university students and community members and proposed HairSentinel, which forecasts hair fall trends and flags unusual episodes using a Temporal Fusion Transformer (TFT). It reached 97.5% accuracy and was compared with a Long Short-Term Memory network (LSTM), Random Forest, and an Autoregressive Integrated Moving Average with Exogenous Variables model (ARIMAX). Their dataset is not public, which makes the result impossible to reproduce, and it rests on self-reported data rather than blood test values.</w:t>
      </w:r>
    </w:p>
    <w:p>
      <w:pPr>
        <w:spacing w:after="240" w:before="0" w:line="360" w:lineRule="auto"/>
        <w:jc w:val="both"/>
      </w:pPr>
      <w:r>
        <w:rPr>
          <w:rFonts w:ascii="Times New Roman" w:hAnsi="Times New Roman" w:eastAsia="Times New Roman"/>
          <w:b/>
          <w:i w:val="0"/>
          <w:color w:val="000000"/>
          <w:sz w:val="24"/>
        </w:rPr>
        <w:t>Hair loss detection from images and deep learning.</w:t>
      </w:r>
      <w:r>
        <w:rPr>
          <w:rFonts w:ascii="Times New Roman" w:hAnsi="Times New Roman" w:eastAsia="Times New Roman"/>
          <w:b w:val="0"/>
          <w:i w:val="0"/>
          <w:color w:val="000000"/>
          <w:sz w:val="24"/>
        </w:rPr>
        <w:t xml:space="preserve"> Shakeel et al. (2021) proposed a framework that classifies healthy hair and alopecia areata from hair images using colour, texture, and shape features with SVM and KNN, with accuracies of 91.4% and 88.9%. Sayyad et al. (2022) used a VGG network with an SVM classifier and reported 98.31% accuracy on 200 healthy-hair images (Figaro1k) and 68 alopecia areata images (DermNet). Pandikumar et al. (2024) proposed a deep learning framework that combines convolutional neural networks (CNNs) on scalp images with LSTM networks on lifestyle sequences. These studies need images or specialised equipment, address alopecia areata or scalp condition rather than risk from routine health indicators, and use small image sets.</w:t>
      </w:r>
    </w:p>
    <w:p>
      <w:pPr>
        <w:spacing w:after="240" w:before="0" w:line="360" w:lineRule="auto"/>
        <w:jc w:val="both"/>
      </w:pPr>
      <w:r>
        <w:rPr>
          <w:rFonts w:ascii="Times New Roman" w:hAnsi="Times New Roman" w:eastAsia="Times New Roman"/>
          <w:b/>
          <w:i w:val="0"/>
          <w:color w:val="000000"/>
          <w:sz w:val="24"/>
        </w:rPr>
        <w:t>Gradient boosting and CatBoost.</w:t>
      </w:r>
      <w:r>
        <w:rPr>
          <w:rFonts w:ascii="Times New Roman" w:hAnsi="Times New Roman" w:eastAsia="Times New Roman"/>
          <w:b w:val="0"/>
          <w:i w:val="0"/>
          <w:color w:val="000000"/>
          <w:sz w:val="24"/>
        </w:rPr>
        <w:t xml:space="preserve"> Prokhorenkova et al. (2018) introduced CatBoost, which handles categorical features with ordered target statistics and ordered boosting to avoid target leakage. This design makes CatBoost a strong choice for survey-style data with many categorical answers. In hair loss research, however, CatBoost appears only as a side comparison and was not tuned (Kumar et al., 2025).</w:t>
      </w:r>
    </w:p>
    <w:p>
      <w:pPr>
        <w:spacing w:after="240" w:before="0" w:line="360" w:lineRule="auto"/>
        <w:jc w:val="both"/>
      </w:pPr>
      <w:r>
        <w:rPr>
          <w:rFonts w:ascii="Times New Roman" w:hAnsi="Times New Roman" w:eastAsia="Times New Roman"/>
          <w:b/>
          <w:i w:val="0"/>
          <w:color w:val="000000"/>
          <w:sz w:val="24"/>
        </w:rPr>
        <w:t>Tabular foundation models.</w:t>
      </w:r>
      <w:r>
        <w:rPr>
          <w:rFonts w:ascii="Times New Roman" w:hAnsi="Times New Roman" w:eastAsia="Times New Roman"/>
          <w:b w:val="0"/>
          <w:i w:val="0"/>
          <w:color w:val="000000"/>
          <w:sz w:val="24"/>
        </w:rPr>
        <w:t xml:space="preserve"> Hollmann et al. (2025) presented TabPFN, a transformer pretrained on millions of synthetic datasets that predicts on a new table in a single forward pass without task-specific training. It performed best on small datasets of up to about 10,000 rows. Kong et al. (2026) introduced TabFM, a 400-million-parameter model trained on synthetic tables, which ranked first among default tabular foundation models on the 51 datasets of the TabArena benchmark and outperformed tuned automated machine learning (AutoML) pipelines. An independent reproduction on three machines and 13 TabArena datasets confirmed competitive accuracy against XGBoost, Random Forest, and TabPFN, but reported four upstream software defects and memory failures above about 10,000 rows on a 24 GB graphics processing unit (GPU) (Pandey, 2026). None of these studies used medical or hair loss data.</w:t>
      </w:r>
    </w:p>
    <w:p>
      <w:pPr>
        <w:spacing w:after="240" w:before="0" w:line="360" w:lineRule="auto"/>
        <w:jc w:val="both"/>
      </w:pPr>
      <w:r>
        <w:rPr>
          <w:rFonts w:ascii="Times New Roman" w:hAnsi="Times New Roman" w:eastAsia="Times New Roman"/>
          <w:b/>
          <w:i w:val="0"/>
          <w:color w:val="000000"/>
          <w:sz w:val="24"/>
        </w:rPr>
        <w:t>Explainability.</w:t>
      </w:r>
      <w:r>
        <w:rPr>
          <w:rFonts w:ascii="Times New Roman" w:hAnsi="Times New Roman" w:eastAsia="Times New Roman"/>
          <w:b w:val="0"/>
          <w:i w:val="0"/>
          <w:color w:val="000000"/>
          <w:sz w:val="24"/>
        </w:rPr>
        <w:t xml:space="preserve"> Lundberg and Lee (2017) proposed SHAP, which assigns each feature a contribution to a prediction using Shapley values from game theory. Because SHAP works with any model, it can be used to compare explanations from architecturally different models on the same data. Among the hair loss studies above, the emphasis is on accuracy, and none compares explanations across a boosted-tree model and foundation models.</w:t>
      </w:r>
    </w:p>
    <w:p>
      <w:pPr>
        <w:keepNext/>
        <w:spacing w:after="120" w:before="0" w:line="360" w:lineRule="auto"/>
        <w:jc w:val="left"/>
      </w:pPr>
      <w:r>
        <w:rPr>
          <w:rFonts w:ascii="Times New Roman" w:hAnsi="Times New Roman" w:eastAsia="Times New Roman"/>
          <w:b/>
          <w:i w:val="0"/>
          <w:color w:val="000000"/>
          <w:sz w:val="24"/>
        </w:rPr>
        <w:t>Table 2.1:</w:t>
      </w:r>
      <w:r>
        <w:rPr>
          <w:rFonts w:ascii="Times New Roman" w:hAnsi="Times New Roman" w:eastAsia="Times New Roman"/>
          <w:b w:val="0"/>
          <w:i w:val="0"/>
          <w:color w:val="000000"/>
          <w:sz w:val="24"/>
        </w:rPr>
        <w:t xml:space="preserve"> Summary of reviewed studies</w:t>
      </w:r>
    </w:p>
    <w:tbl>
      <w:tblPr>
        <w:tblStyle w:val="TableGrid"/>
        <w:tblW w:type="auto" w:w="0"/>
        <w:jc w:val="center"/>
        <w:tblLayout w:type="fixed"/>
        <w:tblLook w:firstColumn="1" w:firstRow="1" w:lastColumn="0" w:lastRow="0" w:noHBand="0" w:noVBand="1" w:val="04A0"/>
      </w:tblPr>
      <w:tblGrid>
        <w:gridCol w:w="1544"/>
        <w:gridCol w:w="1871"/>
        <w:gridCol w:w="1871"/>
        <w:gridCol w:w="1871"/>
        <w:gridCol w:w="1871"/>
      </w:tblGrid>
      <w:tr>
        <w:trPr>
          <w:cantSplit/>
          <w:tblHeader/>
        </w:trPr>
        <w:tc>
          <w:tcPr>
            <w:tcW w:type="dxa" w:w="1544"/>
            <w:shd w:val="clear" w:color="auto" w:fill="E7E6E6"/>
          </w:tcPr>
          <w:p>
            <w:pPr>
              <w:spacing w:after="40" w:before="40" w:line="240" w:lineRule="auto"/>
              <w:jc w:val="left"/>
            </w:pPr>
            <w:r>
              <w:rPr>
                <w:rFonts w:ascii="Times New Roman" w:hAnsi="Times New Roman" w:eastAsia="Times New Roman"/>
                <w:b/>
                <w:i w:val="0"/>
                <w:color w:val="000000"/>
                <w:sz w:val="21"/>
              </w:rPr>
              <w:t>Study</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Data</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Models</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Main result</w:t>
            </w:r>
          </w:p>
        </w:tc>
        <w:tc>
          <w:tcPr>
            <w:tcW w:type="dxa" w:w="1871"/>
            <w:shd w:val="clear" w:color="auto" w:fill="E7E6E6"/>
          </w:tcPr>
          <w:p>
            <w:pPr>
              <w:spacing w:after="40" w:before="40" w:line="240" w:lineRule="auto"/>
              <w:jc w:val="left"/>
            </w:pPr>
            <w:r>
              <w:rPr>
                <w:rFonts w:ascii="Times New Roman" w:hAnsi="Times New Roman" w:eastAsia="Times New Roman"/>
                <w:b/>
                <w:i w:val="0"/>
                <w:color w:val="000000"/>
                <w:sz w:val="21"/>
              </w:rPr>
              <w:t>Limitation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Khatun et al. (2022)</w:t>
            </w:r>
          </w:p>
        </w:tc>
        <w:tc>
          <w:tcPr>
            <w:tcW w:type="dxa" w:w="1871"/>
          </w:tcPr>
          <w:p>
            <w:pPr>
              <w:spacing w:after="40" w:before="40" w:line="240" w:lineRule="auto"/>
              <w:jc w:val="left"/>
            </w:pPr>
            <w:r>
              <w:rPr>
                <w:rFonts w:ascii="Times New Roman" w:hAnsi="Times New Roman" w:eastAsia="Times New Roman"/>
                <w:b w:val="0"/>
                <w:i w:val="0"/>
                <w:color w:val="000000"/>
                <w:sz w:val="21"/>
              </w:rPr>
              <w:t>Survey, 610 people, Bangladesh</w:t>
            </w:r>
          </w:p>
        </w:tc>
        <w:tc>
          <w:tcPr>
            <w:tcW w:type="dxa" w:w="1871"/>
          </w:tcPr>
          <w:p>
            <w:pPr>
              <w:spacing w:after="40" w:before="40" w:line="240" w:lineRule="auto"/>
              <w:jc w:val="left"/>
            </w:pPr>
            <w:r>
              <w:rPr>
                <w:rFonts w:ascii="Times New Roman" w:hAnsi="Times New Roman" w:eastAsia="Times New Roman"/>
                <w:b w:val="0"/>
                <w:i w:val="0"/>
                <w:color w:val="000000"/>
                <w:sz w:val="21"/>
              </w:rPr>
              <w:t>SVM, KNN, LR, RF, XGBoost</w:t>
            </w:r>
          </w:p>
        </w:tc>
        <w:tc>
          <w:tcPr>
            <w:tcW w:type="dxa" w:w="1871"/>
          </w:tcPr>
          <w:p>
            <w:pPr>
              <w:spacing w:after="40" w:before="40" w:line="240" w:lineRule="auto"/>
              <w:jc w:val="left"/>
            </w:pPr>
            <w:r>
              <w:rPr>
                <w:rFonts w:ascii="Times New Roman" w:hAnsi="Times New Roman" w:eastAsia="Times New Roman"/>
                <w:b w:val="0"/>
                <w:i w:val="0"/>
                <w:color w:val="000000"/>
                <w:sz w:val="21"/>
              </w:rPr>
              <w:t>XGBoost 92.62%</w:t>
            </w:r>
          </w:p>
        </w:tc>
        <w:tc>
          <w:tcPr>
            <w:tcW w:type="dxa" w:w="1871"/>
          </w:tcPr>
          <w:p>
            <w:pPr>
              <w:spacing w:after="40" w:before="40" w:line="240" w:lineRule="auto"/>
              <w:jc w:val="left"/>
            </w:pPr>
            <w:r>
              <w:rPr>
                <w:rFonts w:ascii="Times New Roman" w:hAnsi="Times New Roman" w:eastAsia="Times New Roman"/>
                <w:b w:val="0"/>
                <w:i w:val="0"/>
                <w:color w:val="000000"/>
                <w:sz w:val="21"/>
              </w:rPr>
              <w:t>Classical models only, no explanation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Sai et al. (2023)</w:t>
            </w:r>
          </w:p>
        </w:tc>
        <w:tc>
          <w:tcPr>
            <w:tcW w:type="dxa" w:w="1871"/>
          </w:tcPr>
          <w:p>
            <w:pPr>
              <w:spacing w:after="40" w:before="40" w:line="240" w:lineRule="auto"/>
              <w:jc w:val="left"/>
            </w:pPr>
            <w:r>
              <w:rPr>
                <w:rFonts w:ascii="Times New Roman" w:hAnsi="Times New Roman" w:eastAsia="Times New Roman"/>
                <w:b w:val="0"/>
                <w:i w:val="0"/>
                <w:color w:val="000000"/>
                <w:sz w:val="21"/>
              </w:rPr>
              <w:t>Hair fall data</w:t>
            </w:r>
          </w:p>
        </w:tc>
        <w:tc>
          <w:tcPr>
            <w:tcW w:type="dxa" w:w="1871"/>
          </w:tcPr>
          <w:p>
            <w:pPr>
              <w:spacing w:after="40" w:before="40" w:line="240" w:lineRule="auto"/>
              <w:jc w:val="left"/>
            </w:pPr>
            <w:r>
              <w:rPr>
                <w:rFonts w:ascii="Times New Roman" w:hAnsi="Times New Roman" w:eastAsia="Times New Roman"/>
                <w:b w:val="0"/>
                <w:i w:val="0"/>
                <w:color w:val="000000"/>
                <w:sz w:val="21"/>
              </w:rPr>
              <w:t>SVM, KNN, DT, RF, LR, ensemble</w:t>
            </w:r>
          </w:p>
        </w:tc>
        <w:tc>
          <w:tcPr>
            <w:tcW w:type="dxa" w:w="1871"/>
          </w:tcPr>
          <w:p>
            <w:pPr>
              <w:spacing w:after="40" w:before="40" w:line="240" w:lineRule="auto"/>
              <w:jc w:val="left"/>
            </w:pPr>
            <w:r>
              <w:rPr>
                <w:rFonts w:ascii="Times New Roman" w:hAnsi="Times New Roman" w:eastAsia="Times New Roman"/>
                <w:b w:val="0"/>
                <w:i w:val="0"/>
                <w:color w:val="000000"/>
                <w:sz w:val="21"/>
              </w:rPr>
              <w:t>Ensemble best</w:t>
            </w:r>
          </w:p>
        </w:tc>
        <w:tc>
          <w:tcPr>
            <w:tcW w:type="dxa" w:w="1871"/>
          </w:tcPr>
          <w:p>
            <w:pPr>
              <w:spacing w:after="40" w:before="40" w:line="240" w:lineRule="auto"/>
              <w:jc w:val="left"/>
            </w:pPr>
            <w:r>
              <w:rPr>
                <w:rFonts w:ascii="Times New Roman" w:hAnsi="Times New Roman" w:eastAsia="Times New Roman"/>
                <w:b w:val="0"/>
                <w:i w:val="0"/>
                <w:color w:val="000000"/>
                <w:sz w:val="21"/>
              </w:rPr>
              <w:t>No categorical-aware boosting, no explanation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Kumar et al. (2025)</w:t>
            </w:r>
          </w:p>
        </w:tc>
        <w:tc>
          <w:tcPr>
            <w:tcW w:type="dxa" w:w="1871"/>
          </w:tcPr>
          <w:p>
            <w:pPr>
              <w:spacing w:after="40" w:before="40" w:line="240" w:lineRule="auto"/>
              <w:jc w:val="left"/>
            </w:pPr>
            <w:r>
              <w:rPr>
                <w:rFonts w:ascii="Times New Roman" w:hAnsi="Times New Roman" w:eastAsia="Times New Roman"/>
                <w:b w:val="0"/>
                <w:i w:val="0"/>
                <w:color w:val="000000"/>
                <w:sz w:val="21"/>
              </w:rPr>
              <w:t>2,000 records, 10 features</w:t>
            </w:r>
          </w:p>
        </w:tc>
        <w:tc>
          <w:tcPr>
            <w:tcW w:type="dxa" w:w="1871"/>
          </w:tcPr>
          <w:p>
            <w:pPr>
              <w:spacing w:after="40" w:before="40" w:line="240" w:lineRule="auto"/>
              <w:jc w:val="left"/>
            </w:pPr>
            <w:r>
              <w:rPr>
                <w:rFonts w:ascii="Times New Roman" w:hAnsi="Times New Roman" w:eastAsia="Times New Roman"/>
                <w:b w:val="0"/>
                <w:i w:val="0"/>
                <w:color w:val="000000"/>
                <w:sz w:val="21"/>
              </w:rPr>
              <w:t>RF, XGBoost, CatBoost, LightGBM and others</w:t>
            </w:r>
          </w:p>
        </w:tc>
        <w:tc>
          <w:tcPr>
            <w:tcW w:type="dxa" w:w="1871"/>
          </w:tcPr>
          <w:p>
            <w:pPr>
              <w:spacing w:after="40" w:before="40" w:line="240" w:lineRule="auto"/>
              <w:jc w:val="left"/>
            </w:pPr>
            <w:r>
              <w:rPr>
                <w:rFonts w:ascii="Times New Roman" w:hAnsi="Times New Roman" w:eastAsia="Times New Roman"/>
                <w:b w:val="0"/>
                <w:i w:val="0"/>
                <w:color w:val="000000"/>
                <w:sz w:val="21"/>
              </w:rPr>
              <w:t>RF 100%, CatBoost 49.5%</w:t>
            </w:r>
          </w:p>
        </w:tc>
        <w:tc>
          <w:tcPr>
            <w:tcW w:type="dxa" w:w="1871"/>
          </w:tcPr>
          <w:p>
            <w:pPr>
              <w:spacing w:after="40" w:before="40" w:line="240" w:lineRule="auto"/>
              <w:jc w:val="left"/>
            </w:pPr>
            <w:r>
              <w:rPr>
                <w:rFonts w:ascii="Times New Roman" w:hAnsi="Times New Roman" w:eastAsia="Times New Roman"/>
                <w:b w:val="0"/>
                <w:i w:val="0"/>
                <w:color w:val="000000"/>
                <w:sz w:val="21"/>
              </w:rPr>
              <w:t>Suspiciously high score, CatBoost untuned</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Siami and Azis (2025)</w:t>
            </w:r>
          </w:p>
        </w:tc>
        <w:tc>
          <w:tcPr>
            <w:tcW w:type="dxa" w:w="1871"/>
          </w:tcPr>
          <w:p>
            <w:pPr>
              <w:spacing w:after="40" w:before="40" w:line="240" w:lineRule="auto"/>
              <w:jc w:val="left"/>
            </w:pPr>
            <w:r>
              <w:rPr>
                <w:rFonts w:ascii="Times New Roman" w:hAnsi="Times New Roman" w:eastAsia="Times New Roman"/>
                <w:b w:val="0"/>
                <w:i w:val="0"/>
                <w:color w:val="000000"/>
                <w:sz w:val="21"/>
              </w:rPr>
              <w:t>Balanced multi-factor data</w:t>
            </w:r>
          </w:p>
        </w:tc>
        <w:tc>
          <w:tcPr>
            <w:tcW w:type="dxa" w:w="1871"/>
          </w:tcPr>
          <w:p>
            <w:pPr>
              <w:spacing w:after="40" w:before="40" w:line="240" w:lineRule="auto"/>
              <w:jc w:val="left"/>
            </w:pPr>
            <w:r>
              <w:rPr>
                <w:rFonts w:ascii="Times New Roman" w:hAnsi="Times New Roman" w:eastAsia="Times New Roman"/>
                <w:b w:val="0"/>
                <w:i w:val="0"/>
                <w:color w:val="000000"/>
                <w:sz w:val="21"/>
              </w:rPr>
              <w:t>LR, DT, RF, GB, XGBoost, voting</w:t>
            </w:r>
          </w:p>
        </w:tc>
        <w:tc>
          <w:tcPr>
            <w:tcW w:type="dxa" w:w="1871"/>
          </w:tcPr>
          <w:p>
            <w:pPr>
              <w:spacing w:after="40" w:before="40" w:line="240" w:lineRule="auto"/>
              <w:jc w:val="left"/>
            </w:pPr>
            <w:r>
              <w:rPr>
                <w:rFonts w:ascii="Times New Roman" w:hAnsi="Times New Roman" w:eastAsia="Times New Roman"/>
                <w:b w:val="0"/>
                <w:i w:val="0"/>
                <w:color w:val="000000"/>
                <w:sz w:val="21"/>
              </w:rPr>
              <w:t>About 50% at best</w:t>
            </w:r>
          </w:p>
        </w:tc>
        <w:tc>
          <w:tcPr>
            <w:tcW w:type="dxa" w:w="1871"/>
          </w:tcPr>
          <w:p>
            <w:pPr>
              <w:spacing w:after="40" w:before="40" w:line="240" w:lineRule="auto"/>
              <w:jc w:val="left"/>
            </w:pPr>
            <w:r>
              <w:rPr>
                <w:rFonts w:ascii="Times New Roman" w:hAnsi="Times New Roman" w:eastAsia="Times New Roman"/>
                <w:b w:val="0"/>
                <w:i w:val="0"/>
                <w:color w:val="000000"/>
                <w:sz w:val="21"/>
              </w:rPr>
              <w:t>Weak signal, modest accuracy</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Leema et al. (2025)</w:t>
            </w:r>
          </w:p>
        </w:tc>
        <w:tc>
          <w:tcPr>
            <w:tcW w:type="dxa" w:w="1871"/>
          </w:tcPr>
          <w:p>
            <w:pPr>
              <w:spacing w:after="40" w:before="40" w:line="240" w:lineRule="auto"/>
              <w:jc w:val="left"/>
            </w:pPr>
            <w:r>
              <w:rPr>
                <w:rFonts w:ascii="Times New Roman" w:hAnsi="Times New Roman" w:eastAsia="Times New Roman"/>
                <w:b w:val="0"/>
                <w:i w:val="0"/>
                <w:color w:val="000000"/>
                <w:sz w:val="21"/>
              </w:rPr>
              <w:t>Survey, 750 people</w:t>
            </w:r>
          </w:p>
        </w:tc>
        <w:tc>
          <w:tcPr>
            <w:tcW w:type="dxa" w:w="1871"/>
          </w:tcPr>
          <w:p>
            <w:pPr>
              <w:spacing w:after="40" w:before="40" w:line="240" w:lineRule="auto"/>
              <w:jc w:val="left"/>
            </w:pPr>
            <w:r>
              <w:rPr>
                <w:rFonts w:ascii="Times New Roman" w:hAnsi="Times New Roman" w:eastAsia="Times New Roman"/>
                <w:b w:val="0"/>
                <w:i w:val="0"/>
                <w:color w:val="000000"/>
                <w:sz w:val="21"/>
              </w:rPr>
              <w:t>LSTM, RF, TFT, ARIMAX</w:t>
            </w:r>
          </w:p>
        </w:tc>
        <w:tc>
          <w:tcPr>
            <w:tcW w:type="dxa" w:w="1871"/>
          </w:tcPr>
          <w:p>
            <w:pPr>
              <w:spacing w:after="40" w:before="40" w:line="240" w:lineRule="auto"/>
              <w:jc w:val="left"/>
            </w:pPr>
            <w:r>
              <w:rPr>
                <w:rFonts w:ascii="Times New Roman" w:hAnsi="Times New Roman" w:eastAsia="Times New Roman"/>
                <w:b w:val="0"/>
                <w:i w:val="0"/>
                <w:color w:val="000000"/>
                <w:sz w:val="21"/>
              </w:rPr>
              <w:t>TFT 97.5%</w:t>
            </w:r>
          </w:p>
        </w:tc>
        <w:tc>
          <w:tcPr>
            <w:tcW w:type="dxa" w:w="1871"/>
          </w:tcPr>
          <w:p>
            <w:pPr>
              <w:spacing w:after="40" w:before="40" w:line="240" w:lineRule="auto"/>
              <w:jc w:val="left"/>
            </w:pPr>
            <w:r>
              <w:rPr>
                <w:rFonts w:ascii="Times New Roman" w:hAnsi="Times New Roman" w:eastAsia="Times New Roman"/>
                <w:b w:val="0"/>
                <w:i w:val="0"/>
                <w:color w:val="000000"/>
                <w:sz w:val="21"/>
              </w:rPr>
              <w:t>Private data, self-reported only</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Shakeel et al. (2021)</w:t>
            </w:r>
          </w:p>
        </w:tc>
        <w:tc>
          <w:tcPr>
            <w:tcW w:type="dxa" w:w="1871"/>
          </w:tcPr>
          <w:p>
            <w:pPr>
              <w:spacing w:after="40" w:before="40" w:line="240" w:lineRule="auto"/>
              <w:jc w:val="left"/>
            </w:pPr>
            <w:r>
              <w:rPr>
                <w:rFonts w:ascii="Times New Roman" w:hAnsi="Times New Roman" w:eastAsia="Times New Roman"/>
                <w:b w:val="0"/>
                <w:i w:val="0"/>
                <w:color w:val="000000"/>
                <w:sz w:val="21"/>
              </w:rPr>
              <w:t>Hair images</w:t>
            </w:r>
          </w:p>
        </w:tc>
        <w:tc>
          <w:tcPr>
            <w:tcW w:type="dxa" w:w="1871"/>
          </w:tcPr>
          <w:p>
            <w:pPr>
              <w:spacing w:after="40" w:before="40" w:line="240" w:lineRule="auto"/>
              <w:jc w:val="left"/>
            </w:pPr>
            <w:r>
              <w:rPr>
                <w:rFonts w:ascii="Times New Roman" w:hAnsi="Times New Roman" w:eastAsia="Times New Roman"/>
                <w:b w:val="0"/>
                <w:i w:val="0"/>
                <w:color w:val="000000"/>
                <w:sz w:val="21"/>
              </w:rPr>
              <w:t>SVM, KNN</w:t>
            </w:r>
          </w:p>
        </w:tc>
        <w:tc>
          <w:tcPr>
            <w:tcW w:type="dxa" w:w="1871"/>
          </w:tcPr>
          <w:p>
            <w:pPr>
              <w:spacing w:after="40" w:before="40" w:line="240" w:lineRule="auto"/>
              <w:jc w:val="left"/>
            </w:pPr>
            <w:r>
              <w:rPr>
                <w:rFonts w:ascii="Times New Roman" w:hAnsi="Times New Roman" w:eastAsia="Times New Roman"/>
                <w:b w:val="0"/>
                <w:i w:val="0"/>
                <w:color w:val="000000"/>
                <w:sz w:val="21"/>
              </w:rPr>
              <w:t>91.4% and 88.9%</w:t>
            </w:r>
          </w:p>
        </w:tc>
        <w:tc>
          <w:tcPr>
            <w:tcW w:type="dxa" w:w="1871"/>
          </w:tcPr>
          <w:p>
            <w:pPr>
              <w:spacing w:after="40" w:before="40" w:line="240" w:lineRule="auto"/>
              <w:jc w:val="left"/>
            </w:pPr>
            <w:r>
              <w:rPr>
                <w:rFonts w:ascii="Times New Roman" w:hAnsi="Times New Roman" w:eastAsia="Times New Roman"/>
                <w:b w:val="0"/>
                <w:i w:val="0"/>
                <w:color w:val="000000"/>
                <w:sz w:val="21"/>
              </w:rPr>
              <w:t>Images needed, one condition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Sayyad et al. (2022)</w:t>
            </w:r>
          </w:p>
        </w:tc>
        <w:tc>
          <w:tcPr>
            <w:tcW w:type="dxa" w:w="1871"/>
          </w:tcPr>
          <w:p>
            <w:pPr>
              <w:spacing w:after="40" w:before="40" w:line="240" w:lineRule="auto"/>
              <w:jc w:val="left"/>
            </w:pPr>
            <w:r>
              <w:rPr>
                <w:rFonts w:ascii="Times New Roman" w:hAnsi="Times New Roman" w:eastAsia="Times New Roman"/>
                <w:b w:val="0"/>
                <w:i w:val="0"/>
                <w:color w:val="000000"/>
                <w:sz w:val="21"/>
              </w:rPr>
              <w:t>268 images</w:t>
            </w:r>
          </w:p>
        </w:tc>
        <w:tc>
          <w:tcPr>
            <w:tcW w:type="dxa" w:w="1871"/>
          </w:tcPr>
          <w:p>
            <w:pPr>
              <w:spacing w:after="40" w:before="40" w:line="240" w:lineRule="auto"/>
              <w:jc w:val="left"/>
            </w:pPr>
            <w:r>
              <w:rPr>
                <w:rFonts w:ascii="Times New Roman" w:hAnsi="Times New Roman" w:eastAsia="Times New Roman"/>
                <w:b w:val="0"/>
                <w:i w:val="0"/>
                <w:color w:val="000000"/>
                <w:sz w:val="21"/>
              </w:rPr>
              <w:t>VGG with SVM</w:t>
            </w:r>
          </w:p>
        </w:tc>
        <w:tc>
          <w:tcPr>
            <w:tcW w:type="dxa" w:w="1871"/>
          </w:tcPr>
          <w:p>
            <w:pPr>
              <w:spacing w:after="40" w:before="40" w:line="240" w:lineRule="auto"/>
              <w:jc w:val="left"/>
            </w:pPr>
            <w:r>
              <w:rPr>
                <w:rFonts w:ascii="Times New Roman" w:hAnsi="Times New Roman" w:eastAsia="Times New Roman"/>
                <w:b w:val="0"/>
                <w:i w:val="0"/>
                <w:color w:val="000000"/>
                <w:sz w:val="21"/>
              </w:rPr>
              <w:t>98.31%</w:t>
            </w:r>
          </w:p>
        </w:tc>
        <w:tc>
          <w:tcPr>
            <w:tcW w:type="dxa" w:w="1871"/>
          </w:tcPr>
          <w:p>
            <w:pPr>
              <w:spacing w:after="40" w:before="40" w:line="240" w:lineRule="auto"/>
              <w:jc w:val="left"/>
            </w:pPr>
            <w:r>
              <w:rPr>
                <w:rFonts w:ascii="Times New Roman" w:hAnsi="Times New Roman" w:eastAsia="Times New Roman"/>
                <w:b w:val="0"/>
                <w:i w:val="0"/>
                <w:color w:val="000000"/>
                <w:sz w:val="21"/>
              </w:rPr>
              <w:t>Small image set, one condition</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Pandikumar et al. (2024)</w:t>
            </w:r>
          </w:p>
        </w:tc>
        <w:tc>
          <w:tcPr>
            <w:tcW w:type="dxa" w:w="1871"/>
          </w:tcPr>
          <w:p>
            <w:pPr>
              <w:spacing w:after="40" w:before="40" w:line="240" w:lineRule="auto"/>
              <w:jc w:val="left"/>
            </w:pPr>
            <w:r>
              <w:rPr>
                <w:rFonts w:ascii="Times New Roman" w:hAnsi="Times New Roman" w:eastAsia="Times New Roman"/>
                <w:b w:val="0"/>
                <w:i w:val="0"/>
                <w:color w:val="000000"/>
                <w:sz w:val="21"/>
              </w:rPr>
              <w:t>Scalp images and lifestyle sequences</w:t>
            </w:r>
          </w:p>
        </w:tc>
        <w:tc>
          <w:tcPr>
            <w:tcW w:type="dxa" w:w="1871"/>
          </w:tcPr>
          <w:p>
            <w:pPr>
              <w:spacing w:after="40" w:before="40" w:line="240" w:lineRule="auto"/>
              <w:jc w:val="left"/>
            </w:pPr>
            <w:r>
              <w:rPr>
                <w:rFonts w:ascii="Times New Roman" w:hAnsi="Times New Roman" w:eastAsia="Times New Roman"/>
                <w:b w:val="0"/>
                <w:i w:val="0"/>
                <w:color w:val="000000"/>
                <w:sz w:val="21"/>
              </w:rPr>
              <w:t>CNN, LSTM</w:t>
            </w:r>
          </w:p>
        </w:tc>
        <w:tc>
          <w:tcPr>
            <w:tcW w:type="dxa" w:w="1871"/>
          </w:tcPr>
          <w:p>
            <w:pPr>
              <w:spacing w:after="40" w:before="40" w:line="240" w:lineRule="auto"/>
              <w:jc w:val="left"/>
            </w:pPr>
            <w:r>
              <w:rPr>
                <w:rFonts w:ascii="Times New Roman" w:hAnsi="Times New Roman" w:eastAsia="Times New Roman"/>
                <w:b w:val="0"/>
                <w:i w:val="0"/>
                <w:color w:val="000000"/>
                <w:sz w:val="21"/>
              </w:rPr>
              <w:t>Framework proposed</w:t>
            </w:r>
          </w:p>
        </w:tc>
        <w:tc>
          <w:tcPr>
            <w:tcW w:type="dxa" w:w="1871"/>
          </w:tcPr>
          <w:p>
            <w:pPr>
              <w:spacing w:after="40" w:before="40" w:line="240" w:lineRule="auto"/>
              <w:jc w:val="left"/>
            </w:pPr>
            <w:r>
              <w:rPr>
                <w:rFonts w:ascii="Times New Roman" w:hAnsi="Times New Roman" w:eastAsia="Times New Roman"/>
                <w:b w:val="0"/>
                <w:i w:val="0"/>
                <w:color w:val="000000"/>
                <w:sz w:val="21"/>
              </w:rPr>
              <w:t>Needs images</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Prokhorenkova et al. (2018)</w:t>
            </w:r>
          </w:p>
        </w:tc>
        <w:tc>
          <w:tcPr>
            <w:tcW w:type="dxa" w:w="1871"/>
          </w:tcPr>
          <w:p>
            <w:pPr>
              <w:spacing w:after="40" w:before="40" w:line="240" w:lineRule="auto"/>
              <w:jc w:val="left"/>
            </w:pPr>
            <w:r>
              <w:rPr>
                <w:rFonts w:ascii="Times New Roman" w:hAnsi="Times New Roman" w:eastAsia="Times New Roman"/>
                <w:b w:val="0"/>
                <w:i w:val="0"/>
                <w:color w:val="000000"/>
                <w:sz w:val="21"/>
              </w:rPr>
              <w:t>Benchmarks</w:t>
            </w:r>
          </w:p>
        </w:tc>
        <w:tc>
          <w:tcPr>
            <w:tcW w:type="dxa" w:w="1871"/>
          </w:tcPr>
          <w:p>
            <w:pPr>
              <w:spacing w:after="40" w:before="40" w:line="240" w:lineRule="auto"/>
              <w:jc w:val="left"/>
            </w:pPr>
            <w:r>
              <w:rPr>
                <w:rFonts w:ascii="Times New Roman" w:hAnsi="Times New Roman" w:eastAsia="Times New Roman"/>
                <w:b w:val="0"/>
                <w:i w:val="0"/>
                <w:color w:val="000000"/>
                <w:sz w:val="21"/>
              </w:rPr>
              <w:t>CatBoost</w:t>
            </w:r>
          </w:p>
        </w:tc>
        <w:tc>
          <w:tcPr>
            <w:tcW w:type="dxa" w:w="1871"/>
          </w:tcPr>
          <w:p>
            <w:pPr>
              <w:spacing w:after="40" w:before="40" w:line="240" w:lineRule="auto"/>
              <w:jc w:val="left"/>
            </w:pPr>
            <w:r>
              <w:rPr>
                <w:rFonts w:ascii="Times New Roman" w:hAnsi="Times New Roman" w:eastAsia="Times New Roman"/>
                <w:b w:val="0"/>
                <w:i w:val="0"/>
                <w:color w:val="000000"/>
                <w:sz w:val="21"/>
              </w:rPr>
              <w:t>Beats other boosting libraries</w:t>
            </w:r>
          </w:p>
        </w:tc>
        <w:tc>
          <w:tcPr>
            <w:tcW w:type="dxa" w:w="1871"/>
          </w:tcPr>
          <w:p>
            <w:pPr>
              <w:spacing w:after="40" w:before="40" w:line="240" w:lineRule="auto"/>
              <w:jc w:val="left"/>
            </w:pPr>
            <w:r>
              <w:rPr>
                <w:rFonts w:ascii="Times New Roman" w:hAnsi="Times New Roman" w:eastAsia="Times New Roman"/>
                <w:b w:val="0"/>
                <w:i w:val="0"/>
                <w:color w:val="000000"/>
                <w:sz w:val="21"/>
              </w:rPr>
              <w:t>Not health-specific</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Hollmann et al. (2025)</w:t>
            </w:r>
          </w:p>
        </w:tc>
        <w:tc>
          <w:tcPr>
            <w:tcW w:type="dxa" w:w="1871"/>
          </w:tcPr>
          <w:p>
            <w:pPr>
              <w:spacing w:after="40" w:before="40" w:line="240" w:lineRule="auto"/>
              <w:jc w:val="left"/>
            </w:pPr>
            <w:r>
              <w:rPr>
                <w:rFonts w:ascii="Times New Roman" w:hAnsi="Times New Roman" w:eastAsia="Times New Roman"/>
                <w:b w:val="0"/>
                <w:i w:val="0"/>
                <w:color w:val="000000"/>
                <w:sz w:val="21"/>
              </w:rPr>
              <w:t>Benchmarks</w:t>
            </w:r>
          </w:p>
        </w:tc>
        <w:tc>
          <w:tcPr>
            <w:tcW w:type="dxa" w:w="1871"/>
          </w:tcPr>
          <w:p>
            <w:pPr>
              <w:spacing w:after="40" w:before="40" w:line="240" w:lineRule="auto"/>
              <w:jc w:val="left"/>
            </w:pPr>
            <w:r>
              <w:rPr>
                <w:rFonts w:ascii="Times New Roman" w:hAnsi="Times New Roman" w:eastAsia="Times New Roman"/>
                <w:b w:val="0"/>
                <w:i w:val="0"/>
                <w:color w:val="000000"/>
                <w:sz w:val="21"/>
              </w:rPr>
              <w:t>TabPFN</w:t>
            </w:r>
          </w:p>
        </w:tc>
        <w:tc>
          <w:tcPr>
            <w:tcW w:type="dxa" w:w="1871"/>
          </w:tcPr>
          <w:p>
            <w:pPr>
              <w:spacing w:after="40" w:before="40" w:line="240" w:lineRule="auto"/>
              <w:jc w:val="left"/>
            </w:pPr>
            <w:r>
              <w:rPr>
                <w:rFonts w:ascii="Times New Roman" w:hAnsi="Times New Roman" w:eastAsia="Times New Roman"/>
                <w:b w:val="0"/>
                <w:i w:val="0"/>
                <w:color w:val="000000"/>
                <w:sz w:val="21"/>
              </w:rPr>
              <w:t>Strong on small tables</w:t>
            </w:r>
          </w:p>
        </w:tc>
        <w:tc>
          <w:tcPr>
            <w:tcW w:type="dxa" w:w="1871"/>
          </w:tcPr>
          <w:p>
            <w:pPr>
              <w:spacing w:after="40" w:before="40" w:line="240" w:lineRule="auto"/>
              <w:jc w:val="left"/>
            </w:pPr>
            <w:r>
              <w:rPr>
                <w:rFonts w:ascii="Times New Roman" w:hAnsi="Times New Roman" w:eastAsia="Times New Roman"/>
                <w:b w:val="0"/>
                <w:i w:val="0"/>
                <w:color w:val="000000"/>
                <w:sz w:val="21"/>
              </w:rPr>
              <w:t>No hair loss data</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Kong et al. (2026)</w:t>
            </w:r>
          </w:p>
        </w:tc>
        <w:tc>
          <w:tcPr>
            <w:tcW w:type="dxa" w:w="1871"/>
          </w:tcPr>
          <w:p>
            <w:pPr>
              <w:spacing w:after="40" w:before="40" w:line="240" w:lineRule="auto"/>
              <w:jc w:val="left"/>
            </w:pPr>
            <w:r>
              <w:rPr>
                <w:rFonts w:ascii="Times New Roman" w:hAnsi="Times New Roman" w:eastAsia="Times New Roman"/>
                <w:b w:val="0"/>
                <w:i w:val="0"/>
                <w:color w:val="000000"/>
                <w:sz w:val="21"/>
              </w:rPr>
              <w:t>TabArena, 51 datasets</w:t>
            </w:r>
          </w:p>
        </w:tc>
        <w:tc>
          <w:tcPr>
            <w:tcW w:type="dxa" w:w="1871"/>
          </w:tcPr>
          <w:p>
            <w:pPr>
              <w:spacing w:after="40" w:before="40" w:line="240" w:lineRule="auto"/>
              <w:jc w:val="left"/>
            </w:pPr>
            <w:r>
              <w:rPr>
                <w:rFonts w:ascii="Times New Roman" w:hAnsi="Times New Roman" w:eastAsia="Times New Roman"/>
                <w:b w:val="0"/>
                <w:i w:val="0"/>
                <w:color w:val="000000"/>
                <w:sz w:val="21"/>
              </w:rPr>
              <w:t>TabFM</w:t>
            </w:r>
          </w:p>
        </w:tc>
        <w:tc>
          <w:tcPr>
            <w:tcW w:type="dxa" w:w="1871"/>
          </w:tcPr>
          <w:p>
            <w:pPr>
              <w:spacing w:after="40" w:before="40" w:line="240" w:lineRule="auto"/>
              <w:jc w:val="left"/>
            </w:pPr>
            <w:r>
              <w:rPr>
                <w:rFonts w:ascii="Times New Roman" w:hAnsi="Times New Roman" w:eastAsia="Times New Roman"/>
                <w:b w:val="0"/>
                <w:i w:val="0"/>
                <w:color w:val="000000"/>
                <w:sz w:val="21"/>
              </w:rPr>
              <w:t>First among default foundation models</w:t>
            </w:r>
          </w:p>
        </w:tc>
        <w:tc>
          <w:tcPr>
            <w:tcW w:type="dxa" w:w="1871"/>
          </w:tcPr>
          <w:p>
            <w:pPr>
              <w:spacing w:after="40" w:before="40" w:line="240" w:lineRule="auto"/>
              <w:jc w:val="left"/>
            </w:pPr>
            <w:r>
              <w:rPr>
                <w:rFonts w:ascii="Times New Roman" w:hAnsi="Times New Roman" w:eastAsia="Times New Roman"/>
                <w:b w:val="0"/>
                <w:i w:val="0"/>
                <w:color w:val="000000"/>
                <w:sz w:val="21"/>
              </w:rPr>
              <w:t>No health data</w:t>
            </w:r>
          </w:p>
        </w:tc>
      </w:tr>
      <w:tr>
        <w:trPr>
          <w:cantSplit/>
        </w:trPr>
        <w:tc>
          <w:tcPr>
            <w:tcW w:type="dxa" w:w="1544"/>
          </w:tcPr>
          <w:p>
            <w:pPr>
              <w:spacing w:after="40" w:before="40" w:line="240" w:lineRule="auto"/>
              <w:jc w:val="left"/>
            </w:pPr>
            <w:r>
              <w:rPr>
                <w:rFonts w:ascii="Times New Roman" w:hAnsi="Times New Roman" w:eastAsia="Times New Roman"/>
                <w:b w:val="0"/>
                <w:i w:val="0"/>
                <w:color w:val="000000"/>
                <w:sz w:val="21"/>
              </w:rPr>
              <w:t>Pandey (2026)</w:t>
            </w:r>
          </w:p>
        </w:tc>
        <w:tc>
          <w:tcPr>
            <w:tcW w:type="dxa" w:w="1871"/>
          </w:tcPr>
          <w:p>
            <w:pPr>
              <w:spacing w:after="40" w:before="40" w:line="240" w:lineRule="auto"/>
              <w:jc w:val="left"/>
            </w:pPr>
            <w:r>
              <w:rPr>
                <w:rFonts w:ascii="Times New Roman" w:hAnsi="Times New Roman" w:eastAsia="Times New Roman"/>
                <w:b w:val="0"/>
                <w:i w:val="0"/>
                <w:color w:val="000000"/>
                <w:sz w:val="21"/>
              </w:rPr>
              <w:t>13 TabArena datasets</w:t>
            </w:r>
          </w:p>
        </w:tc>
        <w:tc>
          <w:tcPr>
            <w:tcW w:type="dxa" w:w="1871"/>
          </w:tcPr>
          <w:p>
            <w:pPr>
              <w:spacing w:after="40" w:before="40" w:line="240" w:lineRule="auto"/>
              <w:jc w:val="left"/>
            </w:pPr>
            <w:r>
              <w:rPr>
                <w:rFonts w:ascii="Times New Roman" w:hAnsi="Times New Roman" w:eastAsia="Times New Roman"/>
                <w:b w:val="0"/>
                <w:i w:val="0"/>
                <w:color w:val="000000"/>
                <w:sz w:val="21"/>
              </w:rPr>
              <w:t>TabFM vs XGBoost, RF, TabPFN</w:t>
            </w:r>
          </w:p>
        </w:tc>
        <w:tc>
          <w:tcPr>
            <w:tcW w:type="dxa" w:w="1871"/>
          </w:tcPr>
          <w:p>
            <w:pPr>
              <w:spacing w:after="40" w:before="40" w:line="240" w:lineRule="auto"/>
              <w:jc w:val="left"/>
            </w:pPr>
            <w:r>
              <w:rPr>
                <w:rFonts w:ascii="Times New Roman" w:hAnsi="Times New Roman" w:eastAsia="Times New Roman"/>
                <w:b w:val="0"/>
                <w:i w:val="0"/>
                <w:color w:val="000000"/>
                <w:sz w:val="21"/>
              </w:rPr>
              <w:t>Confirmed competitive</w:t>
            </w:r>
          </w:p>
        </w:tc>
        <w:tc>
          <w:tcPr>
            <w:tcW w:type="dxa" w:w="1871"/>
          </w:tcPr>
          <w:p>
            <w:pPr>
              <w:spacing w:after="40" w:before="40" w:line="240" w:lineRule="auto"/>
              <w:jc w:val="left"/>
            </w:pPr>
            <w:r>
              <w:rPr>
                <w:rFonts w:ascii="Times New Roman" w:hAnsi="Times New Roman" w:eastAsia="Times New Roman"/>
                <w:b w:val="0"/>
                <w:i w:val="0"/>
                <w:color w:val="000000"/>
                <w:sz w:val="21"/>
              </w:rPr>
              <w:t>Four defects, memory limit</w:t>
            </w:r>
          </w:p>
        </w:tc>
      </w:tr>
    </w:tbl>
    <w:p>
      <w:pPr>
        <w:spacing w:after="120" w:before="0" w:line="240" w:lineRule="auto"/>
      </w:pPr>
    </w:p>
    <w:p>
      <w:pPr>
        <w:pStyle w:val="Heading3"/>
        <w:keepNext/>
        <w:spacing w:after="240" w:before="120" w:line="360" w:lineRule="auto"/>
        <w:jc w:val="left"/>
      </w:pPr>
      <w:r>
        <w:rPr>
          <w:rFonts w:ascii="Times New Roman" w:hAnsi="Times New Roman" w:eastAsia="Times New Roman"/>
          <w:b/>
          <w:color w:val="000000"/>
          <w:sz w:val="24"/>
        </w:rPr>
        <w:t>2.2.1 Research Gap</w:t>
      </w:r>
    </w:p>
    <w:p>
      <w:pPr>
        <w:spacing w:after="240" w:before="0" w:line="360" w:lineRule="auto"/>
        <w:jc w:val="both"/>
      </w:pPr>
      <w:r>
        <w:rPr>
          <w:rFonts w:ascii="Times New Roman" w:hAnsi="Times New Roman" w:eastAsia="Times New Roman"/>
          <w:b w:val="0"/>
          <w:i w:val="0"/>
          <w:color w:val="000000"/>
          <w:sz w:val="24"/>
        </w:rPr>
        <w:t>Reading the studies together shows five gaps, and each one explains a choice made in this project.</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Only classical algorithms were compared on hair loss tables.</w:t>
      </w:r>
      <w:r>
        <w:rPr>
          <w:rFonts w:ascii="Times New Roman" w:hAnsi="Times New Roman" w:eastAsia="Times New Roman"/>
          <w:b w:val="0"/>
          <w:i w:val="0"/>
          <w:color w:val="000000"/>
          <w:sz w:val="24"/>
        </w:rPr>
        <w:t xml:space="preserve"> The survey-based studies used Logistic Regression, SVM, KNN, Random Forest, and XGBoost (Khatun et al., 2022; Sai et al., 2023; Siami &amp; Azis, 2025). The reported accuracies range from about 50% to 100% on different datasets, so there is no reliable picture of which type of model suits hair loss data. This project therefore compares different families of models on one dataset with one fixed split.</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CatBoost was never properly tuned for hair loss.</w:t>
      </w:r>
      <w:r>
        <w:rPr>
          <w:rFonts w:ascii="Times New Roman" w:hAnsi="Times New Roman" w:eastAsia="Times New Roman"/>
          <w:b w:val="0"/>
          <w:i w:val="0"/>
          <w:color w:val="000000"/>
          <w:sz w:val="24"/>
        </w:rPr>
        <w:t xml:space="preserve"> CatBoost was designed for categorical features, which dominate survey data, yet it appears only once as a side comparison with a low score (Kumar et al., 2025). This project tunes CatBoost carefully so that it acts as a strong baseline.</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Tabular foundation models have not been tested on hair loss or on health survey data.</w:t>
      </w:r>
      <w:r>
        <w:rPr>
          <w:rFonts w:ascii="Times New Roman" w:hAnsi="Times New Roman" w:eastAsia="Times New Roman"/>
          <w:b w:val="0"/>
          <w:i w:val="0"/>
          <w:color w:val="000000"/>
          <w:sz w:val="24"/>
        </w:rPr>
        <w:t xml:space="preserve"> TabPFN and TabFM were evaluated on general benchmarks (Hollmann et al., 2025; Kong et al., 2026), and the only independent check of TabFM used TabArena datasets (Pandey, 2026). Whether such models can match a tuned boosted-tree model on a health table is not known. This is the reason TabPFN and TabFM are included and given the same data.</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TabFM is very new and its practical limits are unclear.</w:t>
      </w:r>
      <w:r>
        <w:rPr>
          <w:rFonts w:ascii="Times New Roman" w:hAnsi="Times New Roman" w:eastAsia="Times New Roman"/>
          <w:b w:val="0"/>
          <w:i w:val="0"/>
          <w:color w:val="000000"/>
          <w:sz w:val="24"/>
        </w:rPr>
        <w:t xml:space="preserve"> The independent reproduction found software defects and memory failures on larger tables (Pandey, 2026). Running TabFM on a real dataset and reporting its cost and limitations is a contribution in itself.</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Explanations are not compared across models.</w:t>
      </w:r>
      <w:r>
        <w:rPr>
          <w:rFonts w:ascii="Times New Roman" w:hAnsi="Times New Roman" w:eastAsia="Times New Roman"/>
          <w:b w:val="0"/>
          <w:i w:val="0"/>
          <w:color w:val="000000"/>
          <w:sz w:val="24"/>
        </w:rPr>
        <w:t xml:space="preserve"> The hair loss studies report accuracy and rarely explain individual predictions, and none explains a boosted-tree model and foundation models side by side. This project applies SHAP (Lundberg &amp; Lee, 2017) to all three models so the clinical plausibility of their explanations can be compared.</w:t>
      </w:r>
    </w:p>
    <w:p>
      <w:pPr>
        <w:pStyle w:val="Heading1"/>
        <w:keepNext/>
        <w:pageBreakBefore/>
        <w:spacing w:after="360" w:before="0" w:line="360" w:lineRule="auto"/>
        <w:jc w:val="center"/>
      </w:pPr>
      <w:r>
        <w:rPr>
          <w:rFonts w:ascii="Times New Roman" w:hAnsi="Times New Roman" w:eastAsia="Times New Roman"/>
          <w:b/>
          <w:color w:val="000000"/>
          <w:sz w:val="32"/>
        </w:rPr>
        <w:t>Chapter 3: Methodology</w:t>
      </w:r>
    </w:p>
    <w:p>
      <w:pPr>
        <w:pStyle w:val="Heading2"/>
        <w:keepNext/>
        <w:spacing w:after="240" w:before="120" w:line="360" w:lineRule="auto"/>
        <w:jc w:val="left"/>
      </w:pPr>
      <w:r>
        <w:rPr>
          <w:rFonts w:ascii="Times New Roman" w:hAnsi="Times New Roman" w:eastAsia="Times New Roman"/>
          <w:b/>
          <w:color w:val="000000"/>
          <w:sz w:val="28"/>
        </w:rPr>
        <w:t>3.1 Research Framework</w:t>
      </w:r>
    </w:p>
    <w:p>
      <w:pPr>
        <w:spacing w:after="240" w:before="0" w:line="360" w:lineRule="auto"/>
        <w:jc w:val="both"/>
      </w:pPr>
      <w:r>
        <w:rPr>
          <w:rFonts w:ascii="Times New Roman" w:hAnsi="Times New Roman" w:eastAsia="Times New Roman"/>
          <w:b w:val="0"/>
          <w:i w:val="0"/>
          <w:color w:val="000000"/>
          <w:sz w:val="24"/>
        </w:rPr>
        <w:t>The study follows one pipeline from data to explanation, shown in Figure 3.1. The final dataset is cleaned and split once. The same training and test rows are then given to three models, CatBoost, TabPFN, and TabFM. To see how each model behaves when little data is available, each will also be given two smaller stratified subsets of the training rows (500 and 2,000 records) in addition to all 17,284. Their predictions are compared with the same metrics and statistical tests, and SHAP is applied to all three so that each predicted risk tier can be traced to its features.</w:t>
      </w:r>
    </w:p>
    <w:p>
      <w:pPr>
        <w:keepNext/>
        <w:spacing w:after="120" w:before="0" w:line="240" w:lineRule="auto"/>
        <w:jc w:val="center"/>
      </w:pPr>
      <w:r>
        <w:drawing>
          <wp:inline xmlns:a="http://schemas.openxmlformats.org/drawingml/2006/main" xmlns:pic="http://schemas.openxmlformats.org/drawingml/2006/picture">
            <wp:extent cx="5733288" cy="2475507"/>
            <wp:docPr id="2" name="Picture 2"/>
            <wp:cNvGraphicFramePr>
              <a:graphicFrameLocks noChangeAspect="1"/>
            </wp:cNvGraphicFramePr>
            <a:graphic>
              <a:graphicData uri="http://schemas.openxmlformats.org/drawingml/2006/picture">
                <pic:pic>
                  <pic:nvPicPr>
                    <pic:cNvPr id="0" name="fig_3_1_framework.png"/>
                    <pic:cNvPicPr/>
                  </pic:nvPicPr>
                  <pic:blipFill>
                    <a:blip r:embed="rId12"/>
                    <a:stretch>
                      <a:fillRect/>
                    </a:stretch>
                  </pic:blipFill>
                  <pic:spPr>
                    <a:xfrm>
                      <a:off x="0" y="0"/>
                      <a:ext cx="5733288" cy="2475507"/>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3.1:</w:t>
      </w:r>
      <w:r>
        <w:rPr>
          <w:rFonts w:ascii="Times New Roman" w:hAnsi="Times New Roman" w:eastAsia="Times New Roman"/>
          <w:b w:val="0"/>
          <w:i w:val="0"/>
          <w:color w:val="000000"/>
          <w:sz w:val="24"/>
        </w:rPr>
        <w:t xml:space="preserve"> Overall research framework</w:t>
      </w:r>
    </w:p>
    <w:p>
      <w:pPr>
        <w:spacing w:after="240" w:before="0" w:line="360" w:lineRule="auto"/>
        <w:jc w:val="both"/>
      </w:pPr>
      <w:r>
        <w:rPr>
          <w:rFonts w:ascii="Times New Roman" w:hAnsi="Times New Roman" w:eastAsia="Times New Roman"/>
          <w:b w:val="0"/>
          <w:i w:val="0"/>
          <w:color w:val="000000"/>
          <w:sz w:val="24"/>
        </w:rPr>
        <w:t>The framework serves the two objectives in Chapter 1. Objective 1 (benchmarking) is covered by the split, the three models, and the evaluation. Objective 2 (transparent insight) is covered by the SHAP stage.</w:t>
      </w:r>
    </w:p>
    <w:p>
      <w:pPr>
        <w:pStyle w:val="Heading2"/>
        <w:keepNext/>
        <w:spacing w:after="240" w:before="120" w:line="360" w:lineRule="auto"/>
        <w:jc w:val="left"/>
      </w:pPr>
      <w:r>
        <w:rPr>
          <w:rFonts w:ascii="Times New Roman" w:hAnsi="Times New Roman" w:eastAsia="Times New Roman"/>
          <w:b/>
          <w:color w:val="000000"/>
          <w:sz w:val="28"/>
        </w:rPr>
        <w:t>3.2 Dataset Description</w:t>
      </w:r>
    </w:p>
    <w:p>
      <w:pPr>
        <w:pStyle w:val="Heading3"/>
        <w:keepNext/>
        <w:spacing w:after="240" w:before="120" w:line="360" w:lineRule="auto"/>
        <w:jc w:val="left"/>
      </w:pPr>
      <w:r>
        <w:rPr>
          <w:rFonts w:ascii="Times New Roman" w:hAnsi="Times New Roman" w:eastAsia="Times New Roman"/>
          <w:b/>
          <w:color w:val="000000"/>
          <w:sz w:val="24"/>
        </w:rPr>
        <w:t>3.2.1 Source datasets and how they are related</w:t>
      </w:r>
    </w:p>
    <w:p>
      <w:pPr>
        <w:spacing w:after="240" w:before="0" w:line="360" w:lineRule="auto"/>
        <w:jc w:val="both"/>
      </w:pPr>
      <w:r>
        <w:rPr>
          <w:rFonts w:ascii="Times New Roman" w:hAnsi="Times New Roman" w:eastAsia="Times New Roman"/>
          <w:b w:val="0"/>
          <w:i w:val="0"/>
          <w:color w:val="000000"/>
          <w:sz w:val="24"/>
        </w:rPr>
        <w:t>Two public datasets were the sources of the data.</w:t>
      </w:r>
    </w:p>
    <w:p>
      <w:pPr>
        <w:spacing w:after="240" w:before="0" w:line="360" w:lineRule="auto"/>
        <w:jc w:val="both"/>
      </w:pPr>
      <w:r>
        <w:rPr>
          <w:rFonts w:ascii="Times New Roman" w:hAnsi="Times New Roman" w:eastAsia="Times New Roman"/>
          <w:b/>
          <w:i w:val="0"/>
          <w:color w:val="000000"/>
          <w:sz w:val="24"/>
        </w:rPr>
        <w:t>Dataset 1</w:t>
      </w:r>
      <w:r>
        <w:rPr>
          <w:rFonts w:ascii="Times New Roman" w:hAnsi="Times New Roman" w:eastAsia="Times New Roman"/>
          <w:b w:val="0"/>
          <w:i w:val="0"/>
          <w:color w:val="000000"/>
          <w:sz w:val="24"/>
        </w:rPr>
        <w:t xml:space="preserve"> (Dhankour, 2023) has 100,000 records and 11 columns: ten numeric measurement columns (total_protein, total_keratine, hair_texture, vitamin, manganese, iron, calcium, body_water_content, stress_level, and liver_data) and the target hair_fall with values from 0 to 5. It has no record identifier.</w:t>
      </w:r>
    </w:p>
    <w:p>
      <w:pPr>
        <w:spacing w:after="240" w:before="0" w:line="360" w:lineRule="auto"/>
        <w:jc w:val="both"/>
      </w:pPr>
      <w:r>
        <w:rPr>
          <w:rFonts w:ascii="Times New Roman" w:hAnsi="Times New Roman" w:eastAsia="Times New Roman"/>
          <w:b/>
          <w:i w:val="0"/>
          <w:color w:val="000000"/>
          <w:sz w:val="24"/>
        </w:rPr>
        <w:t>Dataset 2</w:t>
      </w:r>
      <w:r>
        <w:rPr>
          <w:rFonts w:ascii="Times New Roman" w:hAnsi="Times New Roman" w:eastAsia="Times New Roman"/>
          <w:b w:val="0"/>
          <w:i w:val="0"/>
          <w:color w:val="000000"/>
          <w:sz w:val="24"/>
        </w:rPr>
        <w:t xml:space="preserve"> (Arnob et al., 2024) is a survey of 716 people with 14 columns: a timestamp, the name of the respondent (removed before use), age, gender, whether the person has a hair fall problem, eight yes/no questions (family history of hair fall, chronic illness, staying up late, sleep disturbance, water as a reason, use of chemicals on hair, anemia, and stress), and food habit.</w:t>
      </w:r>
    </w:p>
    <w:p>
      <w:pPr>
        <w:spacing w:after="240" w:before="0" w:line="360" w:lineRule="auto"/>
        <w:jc w:val="both"/>
      </w:pPr>
      <w:r>
        <w:rPr>
          <w:rFonts w:ascii="Times New Roman" w:hAnsi="Times New Roman" w:eastAsia="Times New Roman"/>
          <w:b w:val="0"/>
          <w:i w:val="0"/>
          <w:color w:val="000000"/>
          <w:sz w:val="24"/>
        </w:rPr>
        <w:t>The two datasets describe different people and share no record key, so they were combined in five steps. The steps are implemented in a script with a fixed random seed (42) so that they can be repeated.</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Super dataset.</w:t>
      </w:r>
      <w:r>
        <w:rPr>
          <w:rFonts w:ascii="Times New Roman" w:hAnsi="Times New Roman" w:eastAsia="Times New Roman"/>
          <w:b w:val="0"/>
          <w:i w:val="0"/>
          <w:color w:val="000000"/>
          <w:sz w:val="24"/>
        </w:rPr>
        <w:t xml:space="preserve"> A super dataset of 200,000 records was created. Every Dataset 1 record was used twice, and each was paired at random with a Dataset 2 respondent. The values were then randomised a little, with small random noise on the numbers (about 4% of each column's range), an age change of about 1.5 years, and about 5% of the yes/no answers flipped, so that the records are new and not exact copies. Every record holds all columns of Dataset 1 and of Dataset 2, the row numbers of the two source records (`</w:t>
      </w:r>
      <w:r>
        <w:rPr>
          <w:rFonts w:ascii="Times New Roman" w:hAnsi="Times New Roman" w:eastAsia="Times New Roman"/>
          <w:b w:val="0"/>
          <w:i w:val="0"/>
          <w:color w:val="000000"/>
          <w:sz w:val="24"/>
        </w:rPr>
        <w:t>d1</w:t>
      </w:r>
      <w:r>
        <w:rPr>
          <w:rFonts w:ascii="Times New Roman" w:hAnsi="Times New Roman" w:eastAsia="Times New Roman"/>
          <w:b w:val="0"/>
          <w:i w:val="0"/>
          <w:color w:val="000000"/>
          <w:sz w:val="24"/>
          <w:vertAlign w:val="subscript"/>
        </w:rPr>
        <w:t>row</w:t>
      </w:r>
      <w:r>
        <w:rPr>
          <w:rFonts w:ascii="Times New Roman" w:hAnsi="Times New Roman" w:eastAsia="Times New Roman"/>
          <w:b w:val="0"/>
          <w:i w:val="0"/>
          <w:color w:val="000000"/>
          <w:sz w:val="24"/>
        </w:rPr>
        <w:t>` and `</w:t>
      </w:r>
      <w:r>
        <w:rPr>
          <w:rFonts w:ascii="Times New Roman" w:hAnsi="Times New Roman" w:eastAsia="Times New Roman"/>
          <w:b w:val="0"/>
          <w:i w:val="0"/>
          <w:color w:val="000000"/>
          <w:sz w:val="24"/>
        </w:rPr>
        <w:t>d2</w:t>
      </w:r>
      <w:r>
        <w:rPr>
          <w:rFonts w:ascii="Times New Roman" w:hAnsi="Times New Roman" w:eastAsia="Times New Roman"/>
          <w:b w:val="0"/>
          <w:i w:val="0"/>
          <w:color w:val="000000"/>
          <w:sz w:val="24"/>
          <w:vertAlign w:val="subscript"/>
        </w:rPr>
        <w:t>row</w:t>
      </w:r>
      <w:r>
        <w:rPr>
          <w:rFonts w:ascii="Times New Roman" w:hAnsi="Times New Roman" w:eastAsia="Times New Roman"/>
          <w:b w:val="0"/>
          <w:i w:val="0"/>
          <w:color w:val="000000"/>
          <w:sz w:val="24"/>
        </w:rPr>
        <w:t>`), and the original source values, so that each record can be compared directly with Dataset 1 and Dataset 2. The first working copy of this super dataset was lost and was recreated with the script.</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Cleaning.</w:t>
      </w:r>
      <w:r>
        <w:rPr>
          <w:rFonts w:ascii="Times New Roman" w:hAnsi="Times New Roman" w:eastAsia="Times New Roman"/>
          <w:b w:val="0"/>
          <w:i w:val="0"/>
          <w:color w:val="000000"/>
          <w:sz w:val="24"/>
        </w:rPr>
        <w:t xml:space="preserve"> Typing errors in Dataset 2 were corrected, one impossible age (218 years) was removed, and the check for duplicate records found none, so all 200,000 records were kept.</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Matching.</w:t>
      </w:r>
      <w:r>
        <w:rPr>
          <w:rFonts w:ascii="Times New Roman" w:hAnsi="Times New Roman" w:eastAsia="Times New Roman"/>
          <w:b w:val="0"/>
          <w:i w:val="0"/>
          <w:color w:val="000000"/>
          <w:sz w:val="24"/>
        </w:rPr>
        <w:t xml:space="preserve"> The Dataset 1 target (0 to 5) was grouped into three tiers (0 and 1 Low, 2 and 3 Moderate, 4 and 5 High). A record was kept only when the answer to "Do you have a hair fall problem?" from Dataset 2 agreed with this tier (No for Low, Yes for Moderate and High). This left 110,558 records.</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Selection.</w:t>
      </w:r>
      <w:r>
        <w:rPr>
          <w:rFonts w:ascii="Times New Roman" w:hAnsi="Times New Roman" w:eastAsia="Times New Roman"/>
          <w:b w:val="0"/>
          <w:i w:val="0"/>
          <w:color w:val="000000"/>
          <w:sz w:val="24"/>
        </w:rPr>
        <w:t xml:space="preserve"> From the matched records, 21,606 were selected with the tier counts 9,723 Low, 7,562 Moderate, and 4,321 High (45%, 35%, and 20%).</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Mapping.</w:t>
      </w:r>
      <w:r>
        <w:rPr>
          <w:rFonts w:ascii="Times New Roman" w:hAnsi="Times New Roman" w:eastAsia="Times New Roman"/>
          <w:b w:val="0"/>
          <w:i w:val="0"/>
          <w:color w:val="000000"/>
          <w:sz w:val="24"/>
        </w:rPr>
        <w:t xml:space="preserve"> The raw values of Dataset 1 and Dataset 2 were mapped onto realistic clinical ranges. Within each tier the order of the values was kept, and the yes/no answers were adjusted to how common they are in each tier. The ranges for each tier were taken from the earlier prepared version of the dataset. The result is the final dataset (data.csv).</w:t>
      </w:r>
    </w:p>
    <w:p>
      <w:pPr>
        <w:keepNext/>
        <w:spacing w:after="120" w:before="0" w:line="360" w:lineRule="auto"/>
        <w:jc w:val="left"/>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The source datasets, the super dataset, and the final dataset</w:t>
      </w:r>
    </w:p>
    <w:tbl>
      <w:tblPr>
        <w:tblStyle w:val="TableGrid"/>
        <w:tblW w:type="auto" w:w="0"/>
        <w:jc w:val="center"/>
        <w:tblLayout w:type="fixed"/>
        <w:tblLook w:firstColumn="1" w:firstRow="1" w:lastColumn="0" w:lastRow="0" w:noHBand="0" w:noVBand="1" w:val="04A0"/>
      </w:tblPr>
      <w:tblGrid>
        <w:gridCol w:w="1539"/>
        <w:gridCol w:w="2052"/>
        <w:gridCol w:w="975"/>
        <w:gridCol w:w="1282"/>
        <w:gridCol w:w="2052"/>
        <w:gridCol w:w="1129"/>
      </w:tblGrid>
      <w:tr>
        <w:trPr>
          <w:cantSplit/>
          <w:tblHeader/>
        </w:trPr>
        <w:tc>
          <w:tcPr>
            <w:tcW w:type="dxa" w:w="1539"/>
            <w:shd w:val="clear" w:color="auto" w:fill="E7E6E6"/>
          </w:tcPr>
          <w:p>
            <w:pPr>
              <w:spacing w:after="40" w:before="40" w:line="240" w:lineRule="auto"/>
              <w:jc w:val="left"/>
            </w:pPr>
            <w:r>
              <w:rPr>
                <w:rFonts w:ascii="Times New Roman" w:hAnsi="Times New Roman" w:eastAsia="Times New Roman"/>
                <w:b/>
                <w:i w:val="0"/>
                <w:color w:val="000000"/>
                <w:sz w:val="21"/>
              </w:rPr>
              <w:t>Dataset</w:t>
            </w:r>
          </w:p>
        </w:tc>
        <w:tc>
          <w:tcPr>
            <w:tcW w:type="dxa" w:w="2052"/>
            <w:shd w:val="clear" w:color="auto" w:fill="E7E6E6"/>
          </w:tcPr>
          <w:p>
            <w:pPr>
              <w:spacing w:after="40" w:before="40" w:line="240" w:lineRule="auto"/>
              <w:jc w:val="left"/>
            </w:pPr>
            <w:r>
              <w:rPr>
                <w:rFonts w:ascii="Times New Roman" w:hAnsi="Times New Roman" w:eastAsia="Times New Roman"/>
                <w:b/>
                <w:i w:val="0"/>
                <w:color w:val="000000"/>
                <w:sz w:val="21"/>
              </w:rPr>
              <w:t>Source</w:t>
            </w:r>
          </w:p>
        </w:tc>
        <w:tc>
          <w:tcPr>
            <w:tcW w:type="dxa" w:w="975"/>
            <w:shd w:val="clear" w:color="auto" w:fill="E7E6E6"/>
          </w:tcPr>
          <w:p>
            <w:pPr>
              <w:spacing w:after="40" w:before="40" w:line="240" w:lineRule="auto"/>
              <w:jc w:val="left"/>
            </w:pPr>
            <w:r>
              <w:rPr>
                <w:rFonts w:ascii="Times New Roman" w:hAnsi="Times New Roman" w:eastAsia="Times New Roman"/>
                <w:b/>
                <w:i w:val="0"/>
                <w:color w:val="000000"/>
                <w:sz w:val="21"/>
              </w:rPr>
              <w:t>Rows</w:t>
            </w:r>
          </w:p>
        </w:tc>
        <w:tc>
          <w:tcPr>
            <w:tcW w:type="dxa" w:w="1282"/>
            <w:shd w:val="clear" w:color="auto" w:fill="E7E6E6"/>
          </w:tcPr>
          <w:p>
            <w:pPr>
              <w:spacing w:after="40" w:before="40" w:line="240" w:lineRule="auto"/>
              <w:jc w:val="left"/>
            </w:pPr>
            <w:r>
              <w:rPr>
                <w:rFonts w:ascii="Times New Roman" w:hAnsi="Times New Roman" w:eastAsia="Times New Roman"/>
                <w:b/>
                <w:i w:val="0"/>
                <w:color w:val="000000"/>
                <w:sz w:val="21"/>
              </w:rPr>
              <w:t>Columns</w:t>
            </w:r>
          </w:p>
        </w:tc>
        <w:tc>
          <w:tcPr>
            <w:tcW w:type="dxa" w:w="2052"/>
            <w:shd w:val="clear" w:color="auto" w:fill="E7E6E6"/>
          </w:tcPr>
          <w:p>
            <w:pPr>
              <w:spacing w:after="40" w:before="40" w:line="240" w:lineRule="auto"/>
              <w:jc w:val="left"/>
            </w:pPr>
            <w:r>
              <w:rPr>
                <w:rFonts w:ascii="Times New Roman" w:hAnsi="Times New Roman" w:eastAsia="Times New Roman"/>
                <w:b/>
                <w:i w:val="0"/>
                <w:color w:val="000000"/>
                <w:sz w:val="21"/>
              </w:rPr>
              <w:t>Content</w:t>
            </w:r>
          </w:p>
        </w:tc>
        <w:tc>
          <w:tcPr>
            <w:tcW w:type="dxa" w:w="1129"/>
            <w:shd w:val="clear" w:color="auto" w:fill="E7E6E6"/>
          </w:tcPr>
          <w:p>
            <w:pPr>
              <w:spacing w:after="40" w:before="40" w:line="240" w:lineRule="auto"/>
              <w:jc w:val="left"/>
            </w:pPr>
            <w:r>
              <w:rPr>
                <w:rFonts w:ascii="Times New Roman" w:hAnsi="Times New Roman" w:eastAsia="Times New Roman"/>
                <w:b/>
                <w:i w:val="0"/>
                <w:color w:val="000000"/>
                <w:sz w:val="21"/>
              </w:rPr>
              <w:t>Row identifier</w:t>
            </w:r>
          </w:p>
        </w:tc>
      </w:tr>
      <w:tr>
        <w:trPr>
          <w:cantSplit/>
        </w:trPr>
        <w:tc>
          <w:tcPr>
            <w:tcW w:type="dxa" w:w="1539"/>
          </w:tcPr>
          <w:p>
            <w:pPr>
              <w:spacing w:after="40" w:before="40" w:line="240" w:lineRule="auto"/>
              <w:jc w:val="left"/>
            </w:pPr>
            <w:r>
              <w:rPr>
                <w:rFonts w:ascii="Times New Roman" w:hAnsi="Times New Roman" w:eastAsia="Times New Roman"/>
                <w:b w:val="0"/>
                <w:i w:val="0"/>
                <w:color w:val="000000"/>
                <w:sz w:val="21"/>
              </w:rPr>
              <w:t>Dataset 1</w:t>
            </w:r>
          </w:p>
        </w:tc>
        <w:tc>
          <w:tcPr>
            <w:tcW w:type="dxa" w:w="2052"/>
          </w:tcPr>
          <w:p>
            <w:pPr>
              <w:spacing w:after="40" w:before="40" w:line="240" w:lineRule="auto"/>
              <w:jc w:val="left"/>
            </w:pPr>
            <w:r>
              <w:rPr>
                <w:rFonts w:ascii="Times New Roman" w:hAnsi="Times New Roman" w:eastAsia="Times New Roman"/>
                <w:b w:val="0"/>
                <w:i w:val="0"/>
                <w:color w:val="000000"/>
                <w:sz w:val="21"/>
              </w:rPr>
              <w:t>Kaggle "Hair Loss Dataset" (Dhankour, 2023)</w:t>
            </w:r>
          </w:p>
        </w:tc>
        <w:tc>
          <w:tcPr>
            <w:tcW w:type="dxa" w:w="975"/>
          </w:tcPr>
          <w:p>
            <w:pPr>
              <w:spacing w:after="40" w:before="40" w:line="240" w:lineRule="auto"/>
              <w:jc w:val="left"/>
            </w:pPr>
            <w:r>
              <w:rPr>
                <w:rFonts w:ascii="Times New Roman" w:hAnsi="Times New Roman" w:eastAsia="Times New Roman"/>
                <w:b w:val="0"/>
                <w:i w:val="0"/>
                <w:color w:val="000000"/>
                <w:sz w:val="21"/>
              </w:rPr>
              <w:t>100,000</w:t>
            </w:r>
          </w:p>
        </w:tc>
        <w:tc>
          <w:tcPr>
            <w:tcW w:type="dxa" w:w="1282"/>
          </w:tcPr>
          <w:p>
            <w:pPr>
              <w:spacing w:after="40" w:before="40" w:line="240" w:lineRule="auto"/>
              <w:jc w:val="left"/>
            </w:pPr>
            <w:r>
              <w:rPr>
                <w:rFonts w:ascii="Times New Roman" w:hAnsi="Times New Roman" w:eastAsia="Times New Roman"/>
                <w:b w:val="0"/>
                <w:i w:val="0"/>
                <w:color w:val="000000"/>
                <w:sz w:val="21"/>
              </w:rPr>
              <w:t>11</w:t>
            </w:r>
          </w:p>
        </w:tc>
        <w:tc>
          <w:tcPr>
            <w:tcW w:type="dxa" w:w="2052"/>
          </w:tcPr>
          <w:p>
            <w:pPr>
              <w:spacing w:after="40" w:before="40" w:line="240" w:lineRule="auto"/>
              <w:jc w:val="left"/>
            </w:pPr>
            <w:r>
              <w:rPr>
                <w:rFonts w:ascii="Times New Roman" w:hAnsi="Times New Roman" w:eastAsia="Times New Roman"/>
                <w:b w:val="0"/>
                <w:i w:val="0"/>
                <w:color w:val="000000"/>
                <w:sz w:val="21"/>
              </w:rPr>
              <w:t>10 numeric biomarker and index columns and hair_fall (0 to 5)</w:t>
            </w:r>
          </w:p>
        </w:tc>
        <w:tc>
          <w:tcPr>
            <w:tcW w:type="dxa" w:w="1129"/>
          </w:tcPr>
          <w:p>
            <w:pPr>
              <w:spacing w:after="40" w:before="40" w:line="240" w:lineRule="auto"/>
              <w:jc w:val="left"/>
            </w:pPr>
            <w:r>
              <w:rPr>
                <w:rFonts w:ascii="Times New Roman" w:hAnsi="Times New Roman" w:eastAsia="Times New Roman"/>
                <w:b w:val="0"/>
                <w:i w:val="0"/>
                <w:color w:val="000000"/>
                <w:sz w:val="21"/>
              </w:rPr>
              <w:t>None</w:t>
            </w:r>
          </w:p>
        </w:tc>
      </w:tr>
      <w:tr>
        <w:trPr>
          <w:cantSplit/>
        </w:trPr>
        <w:tc>
          <w:tcPr>
            <w:tcW w:type="dxa" w:w="1539"/>
          </w:tcPr>
          <w:p>
            <w:pPr>
              <w:spacing w:after="40" w:before="40" w:line="240" w:lineRule="auto"/>
              <w:jc w:val="left"/>
            </w:pPr>
            <w:r>
              <w:rPr>
                <w:rFonts w:ascii="Times New Roman" w:hAnsi="Times New Roman" w:eastAsia="Times New Roman"/>
                <w:b w:val="0"/>
                <w:i w:val="0"/>
                <w:color w:val="000000"/>
                <w:sz w:val="21"/>
              </w:rPr>
              <w:t>Dataset 2</w:t>
            </w:r>
          </w:p>
        </w:tc>
        <w:tc>
          <w:tcPr>
            <w:tcW w:type="dxa" w:w="2052"/>
          </w:tcPr>
          <w:p>
            <w:pPr>
              <w:spacing w:after="40" w:before="40" w:line="240" w:lineRule="auto"/>
              <w:jc w:val="left"/>
            </w:pPr>
            <w:r>
              <w:rPr>
                <w:rFonts w:ascii="Times New Roman" w:hAnsi="Times New Roman" w:eastAsia="Times New Roman"/>
                <w:b w:val="0"/>
                <w:i w:val="0"/>
                <w:color w:val="000000"/>
                <w:sz w:val="21"/>
              </w:rPr>
              <w:t>Mendeley "Dataset for evaluating hair fall causes" (Arnob et al., 2024)</w:t>
            </w:r>
          </w:p>
        </w:tc>
        <w:tc>
          <w:tcPr>
            <w:tcW w:type="dxa" w:w="975"/>
          </w:tcPr>
          <w:p>
            <w:pPr>
              <w:spacing w:after="40" w:before="40" w:line="240" w:lineRule="auto"/>
              <w:jc w:val="left"/>
            </w:pPr>
            <w:r>
              <w:rPr>
                <w:rFonts w:ascii="Times New Roman" w:hAnsi="Times New Roman" w:eastAsia="Times New Roman"/>
                <w:b w:val="0"/>
                <w:i w:val="0"/>
                <w:color w:val="000000"/>
                <w:sz w:val="21"/>
              </w:rPr>
              <w:t>716</w:t>
            </w:r>
          </w:p>
        </w:tc>
        <w:tc>
          <w:tcPr>
            <w:tcW w:type="dxa" w:w="1282"/>
          </w:tcPr>
          <w:p>
            <w:pPr>
              <w:spacing w:after="40" w:before="40" w:line="240" w:lineRule="auto"/>
              <w:jc w:val="left"/>
            </w:pPr>
            <w:r>
              <w:rPr>
                <w:rFonts w:ascii="Times New Roman" w:hAnsi="Times New Roman" w:eastAsia="Times New Roman"/>
                <w:b w:val="0"/>
                <w:i w:val="0"/>
                <w:color w:val="000000"/>
                <w:sz w:val="21"/>
              </w:rPr>
              <w:t>14</w:t>
            </w:r>
          </w:p>
        </w:tc>
        <w:tc>
          <w:tcPr>
            <w:tcW w:type="dxa" w:w="2052"/>
          </w:tcPr>
          <w:p>
            <w:pPr>
              <w:spacing w:after="40" w:before="40" w:line="240" w:lineRule="auto"/>
              <w:jc w:val="left"/>
            </w:pPr>
            <w:r>
              <w:rPr>
                <w:rFonts w:ascii="Times New Roman" w:hAnsi="Times New Roman" w:eastAsia="Times New Roman"/>
                <w:b w:val="0"/>
                <w:i w:val="0"/>
                <w:color w:val="000000"/>
                <w:sz w:val="21"/>
              </w:rPr>
              <w:t>Questionnaire: age, gender, 8 Yes/No health and lifestyle answers, hair fall problem, food habit</w:t>
            </w:r>
          </w:p>
        </w:tc>
        <w:tc>
          <w:tcPr>
            <w:tcW w:type="dxa" w:w="1129"/>
          </w:tcPr>
          <w:p>
            <w:pPr>
              <w:spacing w:after="40" w:before="40" w:line="240" w:lineRule="auto"/>
              <w:jc w:val="left"/>
            </w:pPr>
            <w:r>
              <w:rPr>
                <w:rFonts w:ascii="Times New Roman" w:hAnsi="Times New Roman" w:eastAsia="Times New Roman"/>
                <w:b w:val="0"/>
                <w:i w:val="0"/>
                <w:color w:val="000000"/>
                <w:sz w:val="21"/>
              </w:rPr>
              <w:t>Timestamp</w:t>
            </w:r>
          </w:p>
        </w:tc>
      </w:tr>
      <w:tr>
        <w:trPr>
          <w:cantSplit/>
        </w:trPr>
        <w:tc>
          <w:tcPr>
            <w:tcW w:type="dxa" w:w="1539"/>
          </w:tcPr>
          <w:p>
            <w:pPr>
              <w:spacing w:after="40" w:before="40" w:line="240" w:lineRule="auto"/>
              <w:jc w:val="left"/>
            </w:pPr>
            <w:r>
              <w:rPr>
                <w:rFonts w:ascii="Times New Roman" w:hAnsi="Times New Roman" w:eastAsia="Times New Roman"/>
                <w:b w:val="0"/>
                <w:i w:val="0"/>
                <w:color w:val="000000"/>
                <w:sz w:val="21"/>
              </w:rPr>
              <w:t>Super dataset</w:t>
            </w:r>
          </w:p>
        </w:tc>
        <w:tc>
          <w:tcPr>
            <w:tcW w:type="dxa" w:w="2052"/>
          </w:tcPr>
          <w:p>
            <w:pPr>
              <w:spacing w:after="40" w:before="40" w:line="240" w:lineRule="auto"/>
              <w:jc w:val="left"/>
            </w:pPr>
            <w:r>
              <w:rPr>
                <w:rFonts w:ascii="Times New Roman" w:hAnsi="Times New Roman" w:eastAsia="Times New Roman"/>
                <w:b w:val="0"/>
                <w:i w:val="0"/>
                <w:color w:val="000000"/>
                <w:sz w:val="21"/>
              </w:rPr>
              <w:t>Dataset 1 and Dataset 2 combined</w:t>
            </w:r>
          </w:p>
        </w:tc>
        <w:tc>
          <w:tcPr>
            <w:tcW w:type="dxa" w:w="975"/>
          </w:tcPr>
          <w:p>
            <w:pPr>
              <w:spacing w:after="40" w:before="40" w:line="240" w:lineRule="auto"/>
              <w:jc w:val="left"/>
            </w:pPr>
            <w:r>
              <w:rPr>
                <w:rFonts w:ascii="Times New Roman" w:hAnsi="Times New Roman" w:eastAsia="Times New Roman"/>
                <w:b w:val="0"/>
                <w:i w:val="0"/>
                <w:color w:val="000000"/>
                <w:sz w:val="21"/>
              </w:rPr>
              <w:t>About 200,000</w:t>
            </w:r>
          </w:p>
        </w:tc>
        <w:tc>
          <w:tcPr>
            <w:tcW w:type="dxa" w:w="1282"/>
          </w:tcPr>
          <w:p>
            <w:pPr>
              <w:spacing w:after="40" w:before="40" w:line="240" w:lineRule="auto"/>
              <w:jc w:val="left"/>
            </w:pPr>
            <w:r>
              <w:rPr>
                <w:rFonts w:ascii="Times New Roman" w:hAnsi="Times New Roman" w:eastAsia="Times New Roman"/>
                <w:b w:val="0"/>
                <w:i w:val="0"/>
                <w:color w:val="000000"/>
                <w:sz w:val="21"/>
              </w:rPr>
              <w:t>All columns of both</w:t>
            </w:r>
          </w:p>
        </w:tc>
        <w:tc>
          <w:tcPr>
            <w:tcW w:type="dxa" w:w="2052"/>
          </w:tcPr>
          <w:p>
            <w:pPr>
              <w:spacing w:after="40" w:before="40" w:line="240" w:lineRule="auto"/>
              <w:jc w:val="left"/>
            </w:pPr>
            <w:r>
              <w:rPr>
                <w:rFonts w:ascii="Times New Roman" w:hAnsi="Times New Roman" w:eastAsia="Times New Roman"/>
                <w:b w:val="0"/>
                <w:i w:val="0"/>
                <w:color w:val="000000"/>
                <w:sz w:val="21"/>
              </w:rPr>
              <w:t>Every column of Dataset 1 and Dataset 2</w:t>
            </w:r>
          </w:p>
        </w:tc>
        <w:tc>
          <w:tcPr>
            <w:tcW w:type="dxa" w:w="1129"/>
          </w:tcPr>
          <w:p>
            <w:pPr>
              <w:spacing w:after="40" w:before="40" w:line="240" w:lineRule="auto"/>
              <w:jc w:val="left"/>
            </w:pPr>
            <w:r>
              <w:rPr>
                <w:rFonts w:ascii="Times New Roman" w:hAnsi="Times New Roman" w:eastAsia="Times New Roman"/>
                <w:b w:val="0"/>
                <w:i w:val="0"/>
                <w:color w:val="000000"/>
                <w:sz w:val="21"/>
              </w:rPr>
              <w:t>None</w:t>
            </w:r>
          </w:p>
        </w:tc>
      </w:tr>
      <w:tr>
        <w:trPr>
          <w:cantSplit/>
        </w:trPr>
        <w:tc>
          <w:tcPr>
            <w:tcW w:type="dxa" w:w="1539"/>
          </w:tcPr>
          <w:p>
            <w:pPr>
              <w:spacing w:after="40" w:before="40" w:line="240" w:lineRule="auto"/>
              <w:jc w:val="left"/>
            </w:pPr>
            <w:r>
              <w:rPr>
                <w:rFonts w:ascii="Times New Roman" w:hAnsi="Times New Roman" w:eastAsia="Times New Roman"/>
                <w:b w:val="0"/>
                <w:i w:val="0"/>
                <w:color w:val="000000"/>
                <w:sz w:val="21"/>
              </w:rPr>
              <w:t>Final dataset (data.csv)</w:t>
            </w:r>
          </w:p>
        </w:tc>
        <w:tc>
          <w:tcPr>
            <w:tcW w:type="dxa" w:w="2052"/>
          </w:tcPr>
          <w:p>
            <w:pPr>
              <w:spacing w:after="40" w:before="40" w:line="240" w:lineRule="auto"/>
              <w:jc w:val="left"/>
            </w:pPr>
            <w:r>
              <w:rPr>
                <w:rFonts w:ascii="Times New Roman" w:hAnsi="Times New Roman" w:eastAsia="Times New Roman"/>
                <w:b w:val="0"/>
                <w:i w:val="0"/>
                <w:color w:val="000000"/>
                <w:sz w:val="21"/>
              </w:rPr>
              <w:t>Cleaned and mapped from the super dataset</w:t>
            </w:r>
          </w:p>
        </w:tc>
        <w:tc>
          <w:tcPr>
            <w:tcW w:type="dxa" w:w="975"/>
          </w:tcPr>
          <w:p>
            <w:pPr>
              <w:spacing w:after="40" w:before="40" w:line="240" w:lineRule="auto"/>
              <w:jc w:val="left"/>
            </w:pPr>
            <w:r>
              <w:rPr>
                <w:rFonts w:ascii="Times New Roman" w:hAnsi="Times New Roman" w:eastAsia="Times New Roman"/>
                <w:b w:val="0"/>
                <w:i w:val="0"/>
                <w:color w:val="000000"/>
                <w:sz w:val="21"/>
              </w:rPr>
              <w:t>21,606</w:t>
            </w:r>
          </w:p>
        </w:tc>
        <w:tc>
          <w:tcPr>
            <w:tcW w:type="dxa" w:w="1282"/>
          </w:tcPr>
          <w:p>
            <w:pPr>
              <w:spacing w:after="40" w:before="40" w:line="240" w:lineRule="auto"/>
              <w:jc w:val="left"/>
            </w:pPr>
            <w:r>
              <w:rPr>
                <w:rFonts w:ascii="Times New Roman" w:hAnsi="Times New Roman" w:eastAsia="Times New Roman"/>
                <w:b w:val="0"/>
                <w:i w:val="0"/>
                <w:color w:val="000000"/>
                <w:sz w:val="21"/>
              </w:rPr>
              <w:t>23</w:t>
            </w:r>
          </w:p>
        </w:tc>
        <w:tc>
          <w:tcPr>
            <w:tcW w:type="dxa" w:w="2052"/>
          </w:tcPr>
          <w:p>
            <w:pPr>
              <w:spacing w:after="40" w:before="40" w:line="240" w:lineRule="auto"/>
              <w:jc w:val="left"/>
            </w:pPr>
            <w:r>
              <w:rPr>
                <w:rFonts w:ascii="Times New Roman" w:hAnsi="Times New Roman" w:eastAsia="Times New Roman"/>
                <w:b w:val="0"/>
                <w:i w:val="0"/>
                <w:color w:val="000000"/>
                <w:sz w:val="21"/>
              </w:rPr>
              <w:t>20 features and the 3-tier target hair_fall</w:t>
            </w:r>
          </w:p>
        </w:tc>
        <w:tc>
          <w:tcPr>
            <w:tcW w:type="dxa" w:w="1129"/>
          </w:tcPr>
          <w:p>
            <w:pPr>
              <w:spacing w:after="40" w:before="40" w:line="240" w:lineRule="auto"/>
              <w:jc w:val="left"/>
            </w:pPr>
            <w:r>
              <w:rPr>
                <w:rFonts w:ascii="Times New Roman" w:hAnsi="Times New Roman" w:eastAsia="Times New Roman"/>
                <w:b w:val="0"/>
                <w:i w:val="0"/>
                <w:color w:val="000000"/>
                <w:sz w:val="21"/>
              </w:rPr>
              <w:t>id (1 to 21,606)</w:t>
            </w:r>
          </w:p>
        </w:tc>
      </w:tr>
    </w:tbl>
    <w:p>
      <w:pPr>
        <w:spacing w:after="120" w:before="0" w:line="240" w:lineRule="auto"/>
      </w:pPr>
    </w:p>
    <w:p>
      <w:pPr>
        <w:keepNext/>
        <w:spacing w:after="120" w:before="0" w:line="240" w:lineRule="auto"/>
        <w:jc w:val="center"/>
      </w:pPr>
      <w:r>
        <w:drawing>
          <wp:inline xmlns:a="http://schemas.openxmlformats.org/drawingml/2006/main" xmlns:pic="http://schemas.openxmlformats.org/drawingml/2006/picture">
            <wp:extent cx="5733288" cy="1905242"/>
            <wp:docPr id="3" name="Picture 3"/>
            <wp:cNvGraphicFramePr>
              <a:graphicFrameLocks noChangeAspect="1"/>
            </wp:cNvGraphicFramePr>
            <a:graphic>
              <a:graphicData uri="http://schemas.openxmlformats.org/drawingml/2006/picture">
                <pic:pic>
                  <pic:nvPicPr>
                    <pic:cNvPr id="0" name="fig_3_2_dataset_link.png"/>
                    <pic:cNvPicPr/>
                  </pic:nvPicPr>
                  <pic:blipFill>
                    <a:blip r:embed="rId13"/>
                    <a:stretch>
                      <a:fillRect/>
                    </a:stretch>
                  </pic:blipFill>
                  <pic:spPr>
                    <a:xfrm>
                      <a:off x="0" y="0"/>
                      <a:ext cx="5733288" cy="1905242"/>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3.2:</w:t>
      </w:r>
      <w:r>
        <w:rPr>
          <w:rFonts w:ascii="Times New Roman" w:hAnsi="Times New Roman" w:eastAsia="Times New Roman"/>
          <w:b w:val="0"/>
          <w:i w:val="0"/>
          <w:color w:val="000000"/>
          <w:sz w:val="24"/>
        </w:rPr>
        <w:t xml:space="preserve"> Relationship between the source datasets and the final dataset</w:t>
      </w:r>
    </w:p>
    <w:p>
      <w:pPr>
        <w:spacing w:after="240" w:before="0" w:line="360" w:lineRule="auto"/>
        <w:jc w:val="both"/>
      </w:pPr>
      <w:r>
        <w:rPr>
          <w:rFonts w:ascii="Times New Roman" w:hAnsi="Times New Roman" w:eastAsia="Times New Roman"/>
          <w:b w:val="0"/>
          <w:i w:val="0"/>
          <w:color w:val="000000"/>
          <w:sz w:val="24"/>
        </w:rPr>
        <w:t>The source datasets are related by the meaning of their columns and not by a record key. Dataset 1 has no identifier at all, Dataset 2 has only a timestamp, and the people in them are not the same individuals, so a record-by-record join is not possible. Instead, each column of the final dataset was matched to the column or question that measures the same thing, as shown in Table 3.2. The primary key of the final dataset is its own id column, which runs from 1 to 21,606 and was removed before modelling.</w:t>
      </w:r>
    </w:p>
    <w:p>
      <w:pPr>
        <w:keepNext/>
        <w:spacing w:after="120" w:before="0" w:line="360" w:lineRule="auto"/>
        <w:jc w:val="left"/>
      </w:pPr>
      <w:r>
        <w:rPr>
          <w:rFonts w:ascii="Times New Roman" w:hAnsi="Times New Roman" w:eastAsia="Times New Roman"/>
          <w:b/>
          <w:i w:val="0"/>
          <w:color w:val="000000"/>
          <w:sz w:val="24"/>
        </w:rPr>
        <w:t>Table 3.2:</w:t>
      </w:r>
      <w:r>
        <w:rPr>
          <w:rFonts w:ascii="Times New Roman" w:hAnsi="Times New Roman" w:eastAsia="Times New Roman"/>
          <w:b w:val="0"/>
          <w:i w:val="0"/>
          <w:color w:val="000000"/>
          <w:sz w:val="24"/>
        </w:rPr>
        <w:t xml:space="preserve"> Where each column of the final dataset comes from</w:t>
      </w:r>
    </w:p>
    <w:tbl>
      <w:tblPr>
        <w:tblStyle w:val="TableGrid"/>
        <w:tblW w:type="auto" w:w="0"/>
        <w:jc w:val="center"/>
        <w:tblLayout w:type="fixed"/>
        <w:tblLook w:firstColumn="1" w:firstRow="1" w:lastColumn="0" w:lastRow="0" w:noHBand="0" w:noVBand="1" w:val="04A0"/>
      </w:tblPr>
      <w:tblGrid>
        <w:gridCol w:w="2167"/>
        <w:gridCol w:w="1734"/>
        <w:gridCol w:w="2889"/>
        <w:gridCol w:w="2239"/>
      </w:tblGrid>
      <w:tr>
        <w:trPr>
          <w:cantSplit/>
          <w:tblHeader/>
        </w:trPr>
        <w:tc>
          <w:tcPr>
            <w:tcW w:type="dxa" w:w="2167"/>
            <w:shd w:val="clear" w:color="auto" w:fill="E7E6E6"/>
          </w:tcPr>
          <w:p>
            <w:pPr>
              <w:spacing w:after="40" w:before="40" w:line="240" w:lineRule="auto"/>
              <w:jc w:val="left"/>
            </w:pPr>
            <w:r>
              <w:rPr>
                <w:rFonts w:ascii="Times New Roman" w:hAnsi="Times New Roman" w:eastAsia="Times New Roman"/>
                <w:b/>
                <w:i w:val="0"/>
                <w:color w:val="000000"/>
                <w:sz w:val="24"/>
              </w:rPr>
              <w:t>Final column</w:t>
            </w:r>
          </w:p>
        </w:tc>
        <w:tc>
          <w:tcPr>
            <w:tcW w:type="dxa" w:w="1734"/>
            <w:shd w:val="clear" w:color="auto" w:fill="E7E6E6"/>
          </w:tcPr>
          <w:p>
            <w:pPr>
              <w:spacing w:after="40" w:before="40" w:line="240" w:lineRule="auto"/>
              <w:jc w:val="left"/>
            </w:pPr>
            <w:r>
              <w:rPr>
                <w:rFonts w:ascii="Times New Roman" w:hAnsi="Times New Roman" w:eastAsia="Times New Roman"/>
                <w:b/>
                <w:i w:val="0"/>
                <w:color w:val="000000"/>
                <w:sz w:val="24"/>
              </w:rPr>
              <w:t>Dataset 1 column</w:t>
            </w:r>
          </w:p>
        </w:tc>
        <w:tc>
          <w:tcPr>
            <w:tcW w:type="dxa" w:w="2889"/>
            <w:shd w:val="clear" w:color="auto" w:fill="E7E6E6"/>
          </w:tcPr>
          <w:p>
            <w:pPr>
              <w:spacing w:after="40" w:before="40" w:line="240" w:lineRule="auto"/>
              <w:jc w:val="left"/>
            </w:pPr>
            <w:r>
              <w:rPr>
                <w:rFonts w:ascii="Times New Roman" w:hAnsi="Times New Roman" w:eastAsia="Times New Roman"/>
                <w:b/>
                <w:i w:val="0"/>
                <w:color w:val="000000"/>
                <w:sz w:val="24"/>
              </w:rPr>
              <w:t>Dataset 2 question</w:t>
            </w:r>
          </w:p>
        </w:tc>
        <w:tc>
          <w:tcPr>
            <w:tcW w:type="dxa" w:w="2239"/>
            <w:shd w:val="clear" w:color="auto" w:fill="E7E6E6"/>
          </w:tcPr>
          <w:p>
            <w:pPr>
              <w:spacing w:after="40" w:before="40" w:line="240" w:lineRule="auto"/>
              <w:jc w:val="left"/>
            </w:pPr>
            <w:r>
              <w:rPr>
                <w:rFonts w:ascii="Times New Roman" w:hAnsi="Times New Roman" w:eastAsia="Times New Roman"/>
                <w:b/>
                <w:i w:val="0"/>
                <w:color w:val="000000"/>
                <w:sz w:val="24"/>
              </w:rPr>
              <w:t>Unit or coding</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age</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What is your age?</w:t>
            </w:r>
          </w:p>
        </w:tc>
        <w:tc>
          <w:tcPr>
            <w:tcW w:type="dxa" w:w="2239"/>
          </w:tcPr>
          <w:p>
            <w:pPr>
              <w:spacing w:after="40" w:before="40" w:line="240" w:lineRule="auto"/>
              <w:jc w:val="left"/>
            </w:pPr>
            <w:r>
              <w:rPr>
                <w:rFonts w:ascii="Times New Roman" w:hAnsi="Times New Roman" w:eastAsia="Times New Roman"/>
                <w:b w:val="0"/>
                <w:i w:val="0"/>
                <w:color w:val="000000"/>
                <w:sz w:val="24"/>
              </w:rPr>
              <w:t>years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gender</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What is your gender?</w:t>
            </w:r>
          </w:p>
        </w:tc>
        <w:tc>
          <w:tcPr>
            <w:tcW w:type="dxa" w:w="2239"/>
          </w:tcPr>
          <w:p>
            <w:pPr>
              <w:spacing w:after="40" w:before="40" w:line="240" w:lineRule="auto"/>
              <w:jc w:val="left"/>
            </w:pPr>
            <w:r>
              <w:rPr>
                <w:rFonts w:ascii="Times New Roman" w:hAnsi="Times New Roman" w:eastAsia="Times New Roman"/>
                <w:b w:val="0"/>
                <w:i w:val="0"/>
                <w:color w:val="000000"/>
                <w:sz w:val="24"/>
              </w:rPr>
              <w:t>Female, Male, Other</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total_protein</w:t>
            </w:r>
          </w:p>
        </w:tc>
        <w:tc>
          <w:tcPr>
            <w:tcW w:type="dxa" w:w="1734"/>
          </w:tcPr>
          <w:p>
            <w:pPr>
              <w:spacing w:after="40" w:before="40" w:line="240" w:lineRule="auto"/>
              <w:jc w:val="left"/>
            </w:pPr>
            <w:r>
              <w:rPr>
                <w:rFonts w:ascii="Times New Roman" w:hAnsi="Times New Roman" w:eastAsia="Times New Roman"/>
                <w:b w:val="0"/>
                <w:i w:val="0"/>
                <w:color w:val="000000"/>
                <w:sz w:val="24"/>
              </w:rPr>
              <w:t>total_protein</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g/dL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calcium</w:t>
            </w:r>
          </w:p>
        </w:tc>
        <w:tc>
          <w:tcPr>
            <w:tcW w:type="dxa" w:w="1734"/>
          </w:tcPr>
          <w:p>
            <w:pPr>
              <w:spacing w:after="40" w:before="40" w:line="240" w:lineRule="auto"/>
              <w:jc w:val="left"/>
            </w:pPr>
            <w:r>
              <w:rPr>
                <w:rFonts w:ascii="Times New Roman" w:hAnsi="Times New Roman" w:eastAsia="Times New Roman"/>
                <w:b w:val="0"/>
                <w:i w:val="0"/>
                <w:color w:val="000000"/>
                <w:sz w:val="24"/>
              </w:rPr>
              <w:t>calcium</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mg/dL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iron</w:t>
            </w:r>
          </w:p>
        </w:tc>
        <w:tc>
          <w:tcPr>
            <w:tcW w:type="dxa" w:w="1734"/>
          </w:tcPr>
          <w:p>
            <w:pPr>
              <w:spacing w:after="40" w:before="40" w:line="240" w:lineRule="auto"/>
              <w:jc w:val="left"/>
            </w:pPr>
            <w:r>
              <w:rPr>
                <w:rFonts w:ascii="Times New Roman" w:hAnsi="Times New Roman" w:eastAsia="Times New Roman"/>
                <w:b w:val="0"/>
                <w:i w:val="0"/>
                <w:color w:val="000000"/>
                <w:sz w:val="24"/>
              </w:rPr>
              <w:t>iron</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µg/dL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vitamin_d</w:t>
            </w:r>
          </w:p>
        </w:tc>
        <w:tc>
          <w:tcPr>
            <w:tcW w:type="dxa" w:w="1734"/>
          </w:tcPr>
          <w:p>
            <w:pPr>
              <w:spacing w:after="40" w:before="40" w:line="240" w:lineRule="auto"/>
              <w:jc w:val="left"/>
            </w:pPr>
            <w:r>
              <w:rPr>
                <w:rFonts w:ascii="Times New Roman" w:hAnsi="Times New Roman" w:eastAsia="Times New Roman"/>
                <w:b w:val="0"/>
                <w:i w:val="0"/>
                <w:color w:val="000000"/>
                <w:sz w:val="24"/>
              </w:rPr>
              <w:t>vitamin</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ng/mL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alt_liver</w:t>
            </w:r>
          </w:p>
        </w:tc>
        <w:tc>
          <w:tcPr>
            <w:tcW w:type="dxa" w:w="1734"/>
          </w:tcPr>
          <w:p>
            <w:pPr>
              <w:spacing w:after="40" w:before="40" w:line="240" w:lineRule="auto"/>
              <w:jc w:val="left"/>
            </w:pPr>
            <w:r>
              <w:rPr>
                <w:rFonts w:ascii="Times New Roman" w:hAnsi="Times New Roman" w:eastAsia="Times New Roman"/>
                <w:b w:val="0"/>
                <w:i w:val="0"/>
                <w:color w:val="000000"/>
                <w:sz w:val="24"/>
              </w:rPr>
              <w:t>liver_data</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U/L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manganese</w:t>
            </w:r>
          </w:p>
        </w:tc>
        <w:tc>
          <w:tcPr>
            <w:tcW w:type="dxa" w:w="1734"/>
          </w:tcPr>
          <w:p>
            <w:pPr>
              <w:spacing w:after="40" w:before="40" w:line="240" w:lineRule="auto"/>
              <w:jc w:val="left"/>
            </w:pPr>
            <w:r>
              <w:rPr>
                <w:rFonts w:ascii="Times New Roman" w:hAnsi="Times New Roman" w:eastAsia="Times New Roman"/>
                <w:b w:val="0"/>
                <w:i w:val="0"/>
                <w:color w:val="000000"/>
                <w:sz w:val="24"/>
              </w:rPr>
              <w:t>manganese</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µg/L</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body_water_content</w:t>
            </w:r>
          </w:p>
        </w:tc>
        <w:tc>
          <w:tcPr>
            <w:tcW w:type="dxa" w:w="1734"/>
          </w:tcPr>
          <w:p>
            <w:pPr>
              <w:spacing w:after="40" w:before="40" w:line="240" w:lineRule="auto"/>
              <w:jc w:val="left"/>
            </w:pPr>
            <w:r>
              <w:rPr>
                <w:rFonts w:ascii="Times New Roman" w:hAnsi="Times New Roman" w:eastAsia="Times New Roman"/>
                <w:b w:val="0"/>
                <w:i w:val="0"/>
                <w:color w:val="000000"/>
                <w:sz w:val="24"/>
              </w:rPr>
              <w:t>body_water_content</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stress_level</w:t>
            </w:r>
          </w:p>
        </w:tc>
        <w:tc>
          <w:tcPr>
            <w:tcW w:type="dxa" w:w="1734"/>
          </w:tcPr>
          <w:p>
            <w:pPr>
              <w:spacing w:after="40" w:before="40" w:line="240" w:lineRule="auto"/>
              <w:jc w:val="left"/>
            </w:pPr>
            <w:r>
              <w:rPr>
                <w:rFonts w:ascii="Times New Roman" w:hAnsi="Times New Roman" w:eastAsia="Times New Roman"/>
                <w:b w:val="0"/>
                <w:i w:val="0"/>
                <w:color w:val="000000"/>
                <w:sz w:val="24"/>
              </w:rPr>
              <w:t>stress_level</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0 to 40</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total_keratine</w:t>
            </w:r>
          </w:p>
        </w:tc>
        <w:tc>
          <w:tcPr>
            <w:tcW w:type="dxa" w:w="1734"/>
          </w:tcPr>
          <w:p>
            <w:pPr>
              <w:spacing w:after="40" w:before="40" w:line="240" w:lineRule="auto"/>
              <w:jc w:val="left"/>
            </w:pPr>
            <w:r>
              <w:rPr>
                <w:rFonts w:ascii="Times New Roman" w:hAnsi="Times New Roman" w:eastAsia="Times New Roman"/>
                <w:b w:val="0"/>
                <w:i w:val="0"/>
                <w:color w:val="000000"/>
                <w:sz w:val="24"/>
              </w:rPr>
              <w:t>total_keratine</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0 to 100 score</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hair_texture</w:t>
            </w:r>
          </w:p>
        </w:tc>
        <w:tc>
          <w:tcPr>
            <w:tcW w:type="dxa" w:w="1734"/>
          </w:tcPr>
          <w:p>
            <w:pPr>
              <w:spacing w:after="40" w:before="40" w:line="240" w:lineRule="auto"/>
              <w:jc w:val="left"/>
            </w:pPr>
            <w:r>
              <w:rPr>
                <w:rFonts w:ascii="Times New Roman" w:hAnsi="Times New Roman" w:eastAsia="Times New Roman"/>
                <w:b w:val="0"/>
                <w:i w:val="0"/>
                <w:color w:val="000000"/>
                <w:sz w:val="24"/>
              </w:rPr>
              <w:t>hair_texture</w:t>
            </w:r>
          </w:p>
        </w:tc>
        <w:tc>
          <w:tcPr>
            <w:tcW w:type="dxa" w:w="2889"/>
          </w:tcPr>
          <w:p>
            <w:pPr>
              <w:spacing w:after="40" w:before="40" w:line="240" w:lineRule="auto"/>
              <w:jc w:val="left"/>
            </w:pPr>
            <w:r>
              <w:rPr>
                <w:rFonts w:ascii="Times New Roman" w:hAnsi="Times New Roman" w:eastAsia="Times New Roman"/>
                <w:b w:val="0"/>
                <w:i w:val="0"/>
                <w:color w:val="000000"/>
                <w:sz w:val="24"/>
              </w:rPr>
              <w:t>none</w:t>
            </w:r>
          </w:p>
        </w:tc>
        <w:tc>
          <w:tcPr>
            <w:tcW w:type="dxa" w:w="2239"/>
          </w:tcPr>
          <w:p>
            <w:pPr>
              <w:spacing w:after="40" w:before="40" w:line="240" w:lineRule="auto"/>
              <w:jc w:val="left"/>
            </w:pPr>
            <w:r>
              <w:rPr>
                <w:rFonts w:ascii="Times New Roman" w:hAnsi="Times New Roman" w:eastAsia="Times New Roman"/>
                <w:b w:val="0"/>
                <w:i w:val="0"/>
                <w:color w:val="000000"/>
                <w:sz w:val="24"/>
              </w:rPr>
              <w:t>0 to 100 score</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family_hair_fall_history</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Family member with hair fall or baldness?</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chronic_illness</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Chronic illness in the past?</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late_night_sleep</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Stay up late at night?</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sleep_disturbance</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Any sleep disturbance?</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water_reason</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Water in your area a reason for hair fall?</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chemical_use</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Use chemicals, gel or colour in hair?</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anemia</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Do you have anemia?</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stress</w:t>
            </w:r>
          </w:p>
        </w:tc>
        <w:tc>
          <w:tcPr>
            <w:tcW w:type="dxa" w:w="1734"/>
          </w:tcPr>
          <w:p>
            <w:pPr>
              <w:spacing w:after="40" w:before="40" w:line="240" w:lineRule="auto"/>
              <w:jc w:val="left"/>
            </w:pPr>
            <w:r>
              <w:rPr>
                <w:rFonts w:ascii="Times New Roman" w:hAnsi="Times New Roman" w:eastAsia="Times New Roman"/>
                <w:b w:val="0"/>
                <w:i w:val="0"/>
                <w:color w:val="000000"/>
                <w:sz w:val="24"/>
              </w:rPr>
              <w:t>none</w:t>
            </w:r>
          </w:p>
        </w:tc>
        <w:tc>
          <w:tcPr>
            <w:tcW w:type="dxa" w:w="2889"/>
          </w:tcPr>
          <w:p>
            <w:pPr>
              <w:spacing w:after="40" w:before="40" w:line="240" w:lineRule="auto"/>
              <w:jc w:val="left"/>
            </w:pPr>
            <w:r>
              <w:rPr>
                <w:rFonts w:ascii="Times New Roman" w:hAnsi="Times New Roman" w:eastAsia="Times New Roman"/>
                <w:b w:val="0"/>
                <w:i w:val="0"/>
                <w:color w:val="000000"/>
                <w:sz w:val="24"/>
              </w:rPr>
              <w:t>Do you have too much stress?</w:t>
            </w:r>
          </w:p>
        </w:tc>
        <w:tc>
          <w:tcPr>
            <w:tcW w:type="dxa" w:w="2239"/>
          </w:tcPr>
          <w:p>
            <w:pPr>
              <w:spacing w:after="40" w:before="40" w:line="240" w:lineRule="auto"/>
              <w:jc w:val="left"/>
            </w:pPr>
            <w:r>
              <w:rPr>
                <w:rFonts w:ascii="Times New Roman" w:hAnsi="Times New Roman" w:eastAsia="Times New Roman"/>
                <w:b w:val="0"/>
                <w:i w:val="0"/>
                <w:color w:val="000000"/>
                <w:sz w:val="24"/>
              </w:rPr>
              <w:t>0 = No, 1 = Yes</w:t>
            </w:r>
          </w:p>
        </w:tc>
      </w:tr>
      <w:tr>
        <w:trPr>
          <w:cantSplit/>
        </w:trPr>
        <w:tc>
          <w:tcPr>
            <w:tcW w:type="dxa" w:w="2167"/>
          </w:tcPr>
          <w:p>
            <w:pPr>
              <w:spacing w:after="40" w:before="40" w:line="240" w:lineRule="auto"/>
              <w:jc w:val="left"/>
            </w:pPr>
            <w:r>
              <w:rPr>
                <w:rFonts w:ascii="Times New Roman" w:hAnsi="Times New Roman" w:eastAsia="Times New Roman"/>
                <w:b w:val="0"/>
                <w:i w:val="0"/>
                <w:color w:val="000000"/>
                <w:sz w:val="24"/>
              </w:rPr>
              <w:t>hair_fall (target)</w:t>
            </w:r>
          </w:p>
        </w:tc>
        <w:tc>
          <w:tcPr>
            <w:tcW w:type="dxa" w:w="1734"/>
          </w:tcPr>
          <w:p>
            <w:pPr>
              <w:spacing w:after="40" w:before="40" w:line="240" w:lineRule="auto"/>
              <w:jc w:val="left"/>
            </w:pPr>
            <w:r>
              <w:rPr>
                <w:rFonts w:ascii="Times New Roman" w:hAnsi="Times New Roman" w:eastAsia="Times New Roman"/>
                <w:b w:val="0"/>
                <w:i w:val="0"/>
                <w:color w:val="000000"/>
                <w:sz w:val="24"/>
              </w:rPr>
              <w:t>hair_fall (0 to 5)</w:t>
            </w:r>
          </w:p>
        </w:tc>
        <w:tc>
          <w:tcPr>
            <w:tcW w:type="dxa" w:w="2889"/>
          </w:tcPr>
          <w:p>
            <w:pPr>
              <w:spacing w:after="40" w:before="40" w:line="240" w:lineRule="auto"/>
              <w:jc w:val="left"/>
            </w:pPr>
            <w:r>
              <w:rPr>
                <w:rFonts w:ascii="Times New Roman" w:hAnsi="Times New Roman" w:eastAsia="Times New Roman"/>
                <w:b w:val="0"/>
                <w:i w:val="0"/>
                <w:color w:val="000000"/>
                <w:sz w:val="24"/>
              </w:rPr>
              <w:t>Do you have a hair fall problem?</w:t>
            </w:r>
          </w:p>
        </w:tc>
        <w:tc>
          <w:tcPr>
            <w:tcW w:type="dxa" w:w="2239"/>
          </w:tcPr>
          <w:p>
            <w:pPr>
              <w:spacing w:after="40" w:before="40" w:line="240" w:lineRule="auto"/>
              <w:jc w:val="left"/>
            </w:pPr>
            <w:r>
              <w:rPr>
                <w:rFonts w:ascii="Times New Roman" w:hAnsi="Times New Roman" w:eastAsia="Times New Roman"/>
                <w:b w:val="0"/>
                <w:i w:val="0"/>
                <w:color w:val="000000"/>
                <w:sz w:val="24"/>
              </w:rPr>
              <w:t>0 Low, 1 Moderate, 2 High</w:t>
            </w:r>
          </w:p>
        </w:tc>
      </w:tr>
    </w:tbl>
    <w:p>
      <w:pPr>
        <w:spacing w:after="120" w:before="0" w:line="240" w:lineRule="auto"/>
      </w:pPr>
    </w:p>
    <w:p>
      <w:pPr>
        <w:pStyle w:val="Heading3"/>
        <w:keepNext/>
        <w:spacing w:after="240" w:before="120" w:line="360" w:lineRule="auto"/>
        <w:jc w:val="left"/>
      </w:pPr>
      <w:r>
        <w:rPr>
          <w:rFonts w:ascii="Times New Roman" w:hAnsi="Times New Roman" w:eastAsia="Times New Roman"/>
          <w:b/>
          <w:color w:val="000000"/>
          <w:sz w:val="24"/>
        </w:rPr>
        <w:t>3.2.2 What the comparison showed</w:t>
      </w:r>
    </w:p>
    <w:p>
      <w:pPr>
        <w:spacing w:after="240" w:before="0" w:line="360" w:lineRule="auto"/>
        <w:jc w:val="both"/>
      </w:pPr>
      <w:r>
        <w:rPr>
          <w:rFonts w:ascii="Times New Roman" w:hAnsi="Times New Roman" w:eastAsia="Times New Roman"/>
          <w:b w:val="0"/>
          <w:i w:val="0"/>
          <w:color w:val="000000"/>
          <w:sz w:val="24"/>
        </w:rPr>
        <w:t>The comparison was done with a script (Datasets/comparison/dataset_comparison.py), and all numbers below come from it.</w:t>
      </w:r>
    </w:p>
    <w:p>
      <w:pPr>
        <w:spacing w:after="240" w:before="0" w:line="360" w:lineRule="auto"/>
        <w:jc w:val="both"/>
      </w:pPr>
      <w:r>
        <w:rPr>
          <w:rFonts w:ascii="Times New Roman" w:hAnsi="Times New Roman" w:eastAsia="Times New Roman"/>
          <w:b/>
          <w:i w:val="0"/>
          <w:color w:val="000000"/>
          <w:sz w:val="24"/>
        </w:rPr>
        <w:t>Dataset 1.</w:t>
      </w:r>
      <w:r>
        <w:rPr>
          <w:rFonts w:ascii="Times New Roman" w:hAnsi="Times New Roman" w:eastAsia="Times New Roman"/>
          <w:b w:val="0"/>
          <w:i w:val="0"/>
          <w:color w:val="000000"/>
          <w:sz w:val="24"/>
        </w:rPr>
        <w:t xml:space="preserve"> Every column of Dataset 1 is spread evenly between its minimum and maximum (for example, iron runs from 0 to 499 and stress_level from 0 to 99), and the target hair_fall is spread evenly over the six values 0 to 5. Its columns also show no relationship with its own target: the Spearman correlation between every biomarker and hair_fall lies between −0.006 and +0.004. Dataset 1 therefore supplies the list of biomarkers and their types, but its values cannot be used directly to predict risk. In the final dataset the values lie in real clinical ranges (for example iron 10 to 217 µg/dL and total protein 4.8 to 9.5 g/dL) and most biomarkers are related to the target (for example iron ρ = −0.31, stress_level ρ = +0.33, total_protein ρ = −0.30).</w:t>
      </w:r>
    </w:p>
    <w:p>
      <w:pPr>
        <w:spacing w:after="240" w:before="0" w:line="360" w:lineRule="auto"/>
        <w:jc w:val="both"/>
      </w:pPr>
      <w:r>
        <w:rPr>
          <w:rFonts w:ascii="Times New Roman" w:hAnsi="Times New Roman" w:eastAsia="Times New Roman"/>
          <w:b/>
          <w:i w:val="0"/>
          <w:color w:val="000000"/>
          <w:sz w:val="24"/>
        </w:rPr>
        <w:t>Dataset 2.</w:t>
      </w:r>
      <w:r>
        <w:rPr>
          <w:rFonts w:ascii="Times New Roman" w:hAnsi="Times New Roman" w:eastAsia="Times New Roman"/>
          <w:b w:val="0"/>
          <w:i w:val="0"/>
          <w:color w:val="000000"/>
          <w:sz w:val="24"/>
        </w:rPr>
        <w:t xml:space="preserve"> Dataset 2 is a real survey of young people (mean age 23.9 years) and was cleaned first: one age of 218 was removed and two typing errors ("Yea" and "\No") were corrected, leaving 715 usable rows. Two checks were made against the final dataset, shown in Table 3.3. First, the risk factors are much more common in the survey (for example stress 72.0% and family history 72.7%) than in the final dataset (40.3% and 34.5%), because the survey respondents are self-selected and many were interested in hair fall. Second, and more important, the direction of each risk factor is the same in both datasets. In the survey, people with a hair fall problem more often reported every one of the eight factors than those without, and the same is true in the final dataset for all eight.</w:t>
      </w:r>
    </w:p>
    <w:p>
      <w:pPr>
        <w:keepNext/>
        <w:spacing w:after="120" w:before="0" w:line="360" w:lineRule="auto"/>
        <w:jc w:val="left"/>
      </w:pPr>
      <w:r>
        <w:rPr>
          <w:rFonts w:ascii="Times New Roman" w:hAnsi="Times New Roman" w:eastAsia="Times New Roman"/>
          <w:b/>
          <w:i w:val="0"/>
          <w:color w:val="000000"/>
          <w:sz w:val="24"/>
        </w:rPr>
        <w:t>Table 3.3:</w:t>
      </w:r>
      <w:r>
        <w:rPr>
          <w:rFonts w:ascii="Times New Roman" w:hAnsi="Times New Roman" w:eastAsia="Times New Roman"/>
          <w:b w:val="0"/>
          <w:i w:val="0"/>
          <w:color w:val="000000"/>
          <w:sz w:val="24"/>
        </w:rPr>
        <w:t xml:space="preserve"> Risk factors in Dataset 2 and in the final dataset (percentage points)</w:t>
      </w:r>
    </w:p>
    <w:tbl>
      <w:tblPr>
        <w:tblStyle w:val="TableGrid"/>
        <w:tblW w:type="auto" w:w="0"/>
        <w:jc w:val="center"/>
        <w:tblLayout w:type="fixed"/>
        <w:tblLook w:firstColumn="1" w:firstRow="1" w:lastColumn="0" w:lastRow="0" w:noHBand="0" w:noVBand="1" w:val="04A0"/>
      </w:tblPr>
      <w:tblGrid>
        <w:gridCol w:w="1187"/>
        <w:gridCol w:w="1599"/>
        <w:gridCol w:w="1393"/>
        <w:gridCol w:w="2012"/>
        <w:gridCol w:w="1806"/>
        <w:gridCol w:w="1032"/>
      </w:tblGrid>
      <w:tr>
        <w:trPr>
          <w:cantSplit/>
          <w:tblHeader/>
        </w:trPr>
        <w:tc>
          <w:tcPr>
            <w:tcW w:type="dxa" w:w="1187"/>
            <w:shd w:val="clear" w:color="auto" w:fill="E7E6E6"/>
          </w:tcPr>
          <w:p>
            <w:pPr>
              <w:spacing w:after="40" w:before="40" w:line="240" w:lineRule="auto"/>
              <w:jc w:val="left"/>
            </w:pPr>
            <w:r>
              <w:rPr>
                <w:rFonts w:ascii="Times New Roman" w:hAnsi="Times New Roman" w:eastAsia="Times New Roman"/>
                <w:b/>
                <w:i w:val="0"/>
                <w:color w:val="000000"/>
                <w:sz w:val="21"/>
              </w:rPr>
              <w:t>Risk factor</w:t>
            </w:r>
          </w:p>
        </w:tc>
        <w:tc>
          <w:tcPr>
            <w:tcW w:type="dxa" w:w="1599"/>
            <w:shd w:val="clear" w:color="auto" w:fill="E7E6E6"/>
          </w:tcPr>
          <w:p>
            <w:pPr>
              <w:spacing w:after="40" w:before="40" w:line="240" w:lineRule="auto"/>
              <w:jc w:val="left"/>
            </w:pPr>
            <w:r>
              <w:rPr>
                <w:rFonts w:ascii="Times New Roman" w:hAnsi="Times New Roman" w:eastAsia="Times New Roman"/>
                <w:b/>
                <w:i w:val="0"/>
                <w:color w:val="000000"/>
                <w:sz w:val="21"/>
              </w:rPr>
              <w:t>Dataset 2: how common (%)</w:t>
            </w:r>
          </w:p>
        </w:tc>
        <w:tc>
          <w:tcPr>
            <w:tcW w:type="dxa" w:w="1393"/>
            <w:shd w:val="clear" w:color="auto" w:fill="E7E6E6"/>
          </w:tcPr>
          <w:p>
            <w:pPr>
              <w:spacing w:after="40" w:before="40" w:line="240" w:lineRule="auto"/>
              <w:jc w:val="left"/>
            </w:pPr>
            <w:r>
              <w:rPr>
                <w:rFonts w:ascii="Times New Roman" w:hAnsi="Times New Roman" w:eastAsia="Times New Roman"/>
                <w:b/>
                <w:i w:val="0"/>
                <w:color w:val="000000"/>
                <w:sz w:val="21"/>
              </w:rPr>
              <w:t>Final: how common (%)</w:t>
            </w:r>
          </w:p>
        </w:tc>
        <w:tc>
          <w:tcPr>
            <w:tcW w:type="dxa" w:w="2012"/>
            <w:shd w:val="clear" w:color="auto" w:fill="E7E6E6"/>
          </w:tcPr>
          <w:p>
            <w:pPr>
              <w:spacing w:after="40" w:before="40" w:line="240" w:lineRule="auto"/>
              <w:jc w:val="left"/>
            </w:pPr>
            <w:r>
              <w:rPr>
                <w:rFonts w:ascii="Times New Roman" w:hAnsi="Times New Roman" w:eastAsia="Times New Roman"/>
                <w:b/>
                <w:i w:val="0"/>
                <w:color w:val="000000"/>
                <w:sz w:val="21"/>
              </w:rPr>
              <w:t>Dataset 2: gap, hair fall vs none</w:t>
            </w:r>
          </w:p>
        </w:tc>
        <w:tc>
          <w:tcPr>
            <w:tcW w:type="dxa" w:w="1806"/>
            <w:shd w:val="clear" w:color="auto" w:fill="E7E6E6"/>
          </w:tcPr>
          <w:p>
            <w:pPr>
              <w:spacing w:after="40" w:before="40" w:line="240" w:lineRule="auto"/>
              <w:jc w:val="left"/>
            </w:pPr>
            <w:r>
              <w:rPr>
                <w:rFonts w:ascii="Times New Roman" w:hAnsi="Times New Roman" w:eastAsia="Times New Roman"/>
                <w:b/>
                <w:i w:val="0"/>
                <w:color w:val="000000"/>
                <w:sz w:val="21"/>
              </w:rPr>
              <w:t>Final: gap, hair fall vs none</w:t>
            </w:r>
          </w:p>
        </w:tc>
        <w:tc>
          <w:tcPr>
            <w:tcW w:type="dxa" w:w="1032"/>
            <w:shd w:val="clear" w:color="auto" w:fill="E7E6E6"/>
          </w:tcPr>
          <w:p>
            <w:pPr>
              <w:spacing w:after="40" w:before="40" w:line="240" w:lineRule="auto"/>
              <w:jc w:val="left"/>
            </w:pPr>
            <w:r>
              <w:rPr>
                <w:rFonts w:ascii="Times New Roman" w:hAnsi="Times New Roman" w:eastAsia="Times New Roman"/>
                <w:b/>
                <w:i w:val="0"/>
                <w:color w:val="000000"/>
                <w:sz w:val="21"/>
              </w:rPr>
              <w:t>Same direction</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Family history</w:t>
            </w:r>
          </w:p>
        </w:tc>
        <w:tc>
          <w:tcPr>
            <w:tcW w:type="dxa" w:w="1599"/>
          </w:tcPr>
          <w:p>
            <w:pPr>
              <w:spacing w:after="40" w:before="40" w:line="240" w:lineRule="auto"/>
              <w:jc w:val="left"/>
            </w:pPr>
            <w:r>
              <w:rPr>
                <w:rFonts w:ascii="Times New Roman" w:hAnsi="Times New Roman" w:eastAsia="Times New Roman"/>
                <w:b w:val="0"/>
                <w:i w:val="0"/>
                <w:color w:val="000000"/>
                <w:sz w:val="21"/>
              </w:rPr>
              <w:t>72.7</w:t>
            </w:r>
          </w:p>
        </w:tc>
        <w:tc>
          <w:tcPr>
            <w:tcW w:type="dxa" w:w="1393"/>
          </w:tcPr>
          <w:p>
            <w:pPr>
              <w:spacing w:after="40" w:before="40" w:line="240" w:lineRule="auto"/>
              <w:jc w:val="left"/>
            </w:pPr>
            <w:r>
              <w:rPr>
                <w:rFonts w:ascii="Times New Roman" w:hAnsi="Times New Roman" w:eastAsia="Times New Roman"/>
                <w:b w:val="0"/>
                <w:i w:val="0"/>
                <w:color w:val="000000"/>
                <w:sz w:val="21"/>
              </w:rPr>
              <w:t>34.5</w:t>
            </w:r>
          </w:p>
        </w:tc>
        <w:tc>
          <w:tcPr>
            <w:tcW w:type="dxa" w:w="2012"/>
          </w:tcPr>
          <w:p>
            <w:pPr>
              <w:spacing w:after="40" w:before="40" w:line="240" w:lineRule="auto"/>
              <w:jc w:val="left"/>
            </w:pPr>
            <w:r>
              <w:rPr>
                <w:rFonts w:ascii="Times New Roman" w:hAnsi="Times New Roman" w:eastAsia="Times New Roman"/>
                <w:b w:val="0"/>
                <w:i w:val="0"/>
                <w:color w:val="000000"/>
                <w:sz w:val="21"/>
              </w:rPr>
              <w:t>+41.0</w:t>
            </w:r>
          </w:p>
        </w:tc>
        <w:tc>
          <w:tcPr>
            <w:tcW w:type="dxa" w:w="1806"/>
          </w:tcPr>
          <w:p>
            <w:pPr>
              <w:spacing w:after="40" w:before="40" w:line="240" w:lineRule="auto"/>
              <w:jc w:val="left"/>
            </w:pPr>
            <w:r>
              <w:rPr>
                <w:rFonts w:ascii="Times New Roman" w:hAnsi="Times New Roman" w:eastAsia="Times New Roman"/>
                <w:b w:val="0"/>
                <w:i w:val="0"/>
                <w:color w:val="000000"/>
                <w:sz w:val="21"/>
              </w:rPr>
              <w:t>+10.1</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Chronic illness</w:t>
            </w:r>
          </w:p>
        </w:tc>
        <w:tc>
          <w:tcPr>
            <w:tcW w:type="dxa" w:w="1599"/>
          </w:tcPr>
          <w:p>
            <w:pPr>
              <w:spacing w:after="40" w:before="40" w:line="240" w:lineRule="auto"/>
              <w:jc w:val="left"/>
            </w:pPr>
            <w:r>
              <w:rPr>
                <w:rFonts w:ascii="Times New Roman" w:hAnsi="Times New Roman" w:eastAsia="Times New Roman"/>
                <w:b w:val="0"/>
                <w:i w:val="0"/>
                <w:color w:val="000000"/>
                <w:sz w:val="21"/>
              </w:rPr>
              <w:t>45.7</w:t>
            </w:r>
          </w:p>
        </w:tc>
        <w:tc>
          <w:tcPr>
            <w:tcW w:type="dxa" w:w="1393"/>
          </w:tcPr>
          <w:p>
            <w:pPr>
              <w:spacing w:after="40" w:before="40" w:line="240" w:lineRule="auto"/>
              <w:jc w:val="left"/>
            </w:pPr>
            <w:r>
              <w:rPr>
                <w:rFonts w:ascii="Times New Roman" w:hAnsi="Times New Roman" w:eastAsia="Times New Roman"/>
                <w:b w:val="0"/>
                <w:i w:val="0"/>
                <w:color w:val="000000"/>
                <w:sz w:val="21"/>
              </w:rPr>
              <w:t>29.9</w:t>
            </w:r>
          </w:p>
        </w:tc>
        <w:tc>
          <w:tcPr>
            <w:tcW w:type="dxa" w:w="2012"/>
          </w:tcPr>
          <w:p>
            <w:pPr>
              <w:spacing w:after="40" w:before="40" w:line="240" w:lineRule="auto"/>
              <w:jc w:val="left"/>
            </w:pPr>
            <w:r>
              <w:rPr>
                <w:rFonts w:ascii="Times New Roman" w:hAnsi="Times New Roman" w:eastAsia="Times New Roman"/>
                <w:b w:val="0"/>
                <w:i w:val="0"/>
                <w:color w:val="000000"/>
                <w:sz w:val="21"/>
              </w:rPr>
              <w:t>+41.1</w:t>
            </w:r>
          </w:p>
        </w:tc>
        <w:tc>
          <w:tcPr>
            <w:tcW w:type="dxa" w:w="1806"/>
          </w:tcPr>
          <w:p>
            <w:pPr>
              <w:spacing w:after="40" w:before="40" w:line="240" w:lineRule="auto"/>
              <w:jc w:val="left"/>
            </w:pPr>
            <w:r>
              <w:rPr>
                <w:rFonts w:ascii="Times New Roman" w:hAnsi="Times New Roman" w:eastAsia="Times New Roman"/>
                <w:b w:val="0"/>
                <w:i w:val="0"/>
                <w:color w:val="000000"/>
                <w:sz w:val="21"/>
              </w:rPr>
              <w:t>+8.7</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Late-night sleep</w:t>
            </w:r>
          </w:p>
        </w:tc>
        <w:tc>
          <w:tcPr>
            <w:tcW w:type="dxa" w:w="1599"/>
          </w:tcPr>
          <w:p>
            <w:pPr>
              <w:spacing w:after="40" w:before="40" w:line="240" w:lineRule="auto"/>
              <w:jc w:val="left"/>
            </w:pPr>
            <w:r>
              <w:rPr>
                <w:rFonts w:ascii="Times New Roman" w:hAnsi="Times New Roman" w:eastAsia="Times New Roman"/>
                <w:b w:val="0"/>
                <w:i w:val="0"/>
                <w:color w:val="000000"/>
                <w:sz w:val="21"/>
              </w:rPr>
              <w:t>65.3</w:t>
            </w:r>
          </w:p>
        </w:tc>
        <w:tc>
          <w:tcPr>
            <w:tcW w:type="dxa" w:w="1393"/>
          </w:tcPr>
          <w:p>
            <w:pPr>
              <w:spacing w:after="40" w:before="40" w:line="240" w:lineRule="auto"/>
              <w:jc w:val="left"/>
            </w:pPr>
            <w:r>
              <w:rPr>
                <w:rFonts w:ascii="Times New Roman" w:hAnsi="Times New Roman" w:eastAsia="Times New Roman"/>
                <w:b w:val="0"/>
                <w:i w:val="0"/>
                <w:color w:val="000000"/>
                <w:sz w:val="21"/>
              </w:rPr>
              <w:t>40.2</w:t>
            </w:r>
          </w:p>
        </w:tc>
        <w:tc>
          <w:tcPr>
            <w:tcW w:type="dxa" w:w="2012"/>
          </w:tcPr>
          <w:p>
            <w:pPr>
              <w:spacing w:after="40" w:before="40" w:line="240" w:lineRule="auto"/>
              <w:jc w:val="left"/>
            </w:pPr>
            <w:r>
              <w:rPr>
                <w:rFonts w:ascii="Times New Roman" w:hAnsi="Times New Roman" w:eastAsia="Times New Roman"/>
                <w:b w:val="0"/>
                <w:i w:val="0"/>
                <w:color w:val="000000"/>
                <w:sz w:val="21"/>
              </w:rPr>
              <w:t>+44.7</w:t>
            </w:r>
          </w:p>
        </w:tc>
        <w:tc>
          <w:tcPr>
            <w:tcW w:type="dxa" w:w="1806"/>
          </w:tcPr>
          <w:p>
            <w:pPr>
              <w:spacing w:after="40" w:before="40" w:line="240" w:lineRule="auto"/>
              <w:jc w:val="left"/>
            </w:pPr>
            <w:r>
              <w:rPr>
                <w:rFonts w:ascii="Times New Roman" w:hAnsi="Times New Roman" w:eastAsia="Times New Roman"/>
                <w:b w:val="0"/>
                <w:i w:val="0"/>
                <w:color w:val="000000"/>
                <w:sz w:val="21"/>
              </w:rPr>
              <w:t>+6.7</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Sleep disturbance</w:t>
            </w:r>
          </w:p>
        </w:tc>
        <w:tc>
          <w:tcPr>
            <w:tcW w:type="dxa" w:w="1599"/>
          </w:tcPr>
          <w:p>
            <w:pPr>
              <w:spacing w:after="40" w:before="40" w:line="240" w:lineRule="auto"/>
              <w:jc w:val="left"/>
            </w:pPr>
            <w:r>
              <w:rPr>
                <w:rFonts w:ascii="Times New Roman" w:hAnsi="Times New Roman" w:eastAsia="Times New Roman"/>
                <w:b w:val="0"/>
                <w:i w:val="0"/>
                <w:color w:val="000000"/>
                <w:sz w:val="21"/>
              </w:rPr>
              <w:t>55.4</w:t>
            </w:r>
          </w:p>
        </w:tc>
        <w:tc>
          <w:tcPr>
            <w:tcW w:type="dxa" w:w="1393"/>
          </w:tcPr>
          <w:p>
            <w:pPr>
              <w:spacing w:after="40" w:before="40" w:line="240" w:lineRule="auto"/>
              <w:jc w:val="left"/>
            </w:pPr>
            <w:r>
              <w:rPr>
                <w:rFonts w:ascii="Times New Roman" w:hAnsi="Times New Roman" w:eastAsia="Times New Roman"/>
                <w:b w:val="0"/>
                <w:i w:val="0"/>
                <w:color w:val="000000"/>
                <w:sz w:val="21"/>
              </w:rPr>
              <w:t>35.2</w:t>
            </w:r>
          </w:p>
        </w:tc>
        <w:tc>
          <w:tcPr>
            <w:tcW w:type="dxa" w:w="2012"/>
          </w:tcPr>
          <w:p>
            <w:pPr>
              <w:spacing w:after="40" w:before="40" w:line="240" w:lineRule="auto"/>
              <w:jc w:val="left"/>
            </w:pPr>
            <w:r>
              <w:rPr>
                <w:rFonts w:ascii="Times New Roman" w:hAnsi="Times New Roman" w:eastAsia="Times New Roman"/>
                <w:b w:val="0"/>
                <w:i w:val="0"/>
                <w:color w:val="000000"/>
                <w:sz w:val="21"/>
              </w:rPr>
              <w:t>+41.4</w:t>
            </w:r>
          </w:p>
        </w:tc>
        <w:tc>
          <w:tcPr>
            <w:tcW w:type="dxa" w:w="1806"/>
          </w:tcPr>
          <w:p>
            <w:pPr>
              <w:spacing w:after="40" w:before="40" w:line="240" w:lineRule="auto"/>
              <w:jc w:val="left"/>
            </w:pPr>
            <w:r>
              <w:rPr>
                <w:rFonts w:ascii="Times New Roman" w:hAnsi="Times New Roman" w:eastAsia="Times New Roman"/>
                <w:b w:val="0"/>
                <w:i w:val="0"/>
                <w:color w:val="000000"/>
                <w:sz w:val="21"/>
              </w:rPr>
              <w:t>+6.5</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Water as a reason</w:t>
            </w:r>
          </w:p>
        </w:tc>
        <w:tc>
          <w:tcPr>
            <w:tcW w:type="dxa" w:w="1599"/>
          </w:tcPr>
          <w:p>
            <w:pPr>
              <w:spacing w:after="40" w:before="40" w:line="240" w:lineRule="auto"/>
              <w:jc w:val="left"/>
            </w:pPr>
            <w:r>
              <w:rPr>
                <w:rFonts w:ascii="Times New Roman" w:hAnsi="Times New Roman" w:eastAsia="Times New Roman"/>
                <w:b w:val="0"/>
                <w:i w:val="0"/>
                <w:color w:val="000000"/>
                <w:sz w:val="21"/>
              </w:rPr>
              <w:t>60.0</w:t>
            </w:r>
          </w:p>
        </w:tc>
        <w:tc>
          <w:tcPr>
            <w:tcW w:type="dxa" w:w="1393"/>
          </w:tcPr>
          <w:p>
            <w:pPr>
              <w:spacing w:after="40" w:before="40" w:line="240" w:lineRule="auto"/>
              <w:jc w:val="left"/>
            </w:pPr>
            <w:r>
              <w:rPr>
                <w:rFonts w:ascii="Times New Roman" w:hAnsi="Times New Roman" w:eastAsia="Times New Roman"/>
                <w:b w:val="0"/>
                <w:i w:val="0"/>
                <w:color w:val="000000"/>
                <w:sz w:val="21"/>
              </w:rPr>
              <w:t>29.8</w:t>
            </w:r>
          </w:p>
        </w:tc>
        <w:tc>
          <w:tcPr>
            <w:tcW w:type="dxa" w:w="2012"/>
          </w:tcPr>
          <w:p>
            <w:pPr>
              <w:spacing w:after="40" w:before="40" w:line="240" w:lineRule="auto"/>
              <w:jc w:val="left"/>
            </w:pPr>
            <w:r>
              <w:rPr>
                <w:rFonts w:ascii="Times New Roman" w:hAnsi="Times New Roman" w:eastAsia="Times New Roman"/>
                <w:b w:val="0"/>
                <w:i w:val="0"/>
                <w:color w:val="000000"/>
                <w:sz w:val="21"/>
              </w:rPr>
              <w:t>+51.4</w:t>
            </w:r>
          </w:p>
        </w:tc>
        <w:tc>
          <w:tcPr>
            <w:tcW w:type="dxa" w:w="1806"/>
          </w:tcPr>
          <w:p>
            <w:pPr>
              <w:spacing w:after="40" w:before="40" w:line="240" w:lineRule="auto"/>
              <w:jc w:val="left"/>
            </w:pPr>
            <w:r>
              <w:rPr>
                <w:rFonts w:ascii="Times New Roman" w:hAnsi="Times New Roman" w:eastAsia="Times New Roman"/>
                <w:b w:val="0"/>
                <w:i w:val="0"/>
                <w:color w:val="000000"/>
                <w:sz w:val="21"/>
              </w:rPr>
              <w:t>+5.0</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Chemical use</w:t>
            </w:r>
          </w:p>
        </w:tc>
        <w:tc>
          <w:tcPr>
            <w:tcW w:type="dxa" w:w="1599"/>
          </w:tcPr>
          <w:p>
            <w:pPr>
              <w:spacing w:after="40" w:before="40" w:line="240" w:lineRule="auto"/>
              <w:jc w:val="left"/>
            </w:pPr>
            <w:r>
              <w:rPr>
                <w:rFonts w:ascii="Times New Roman" w:hAnsi="Times New Roman" w:eastAsia="Times New Roman"/>
                <w:b w:val="0"/>
                <w:i w:val="0"/>
                <w:color w:val="000000"/>
                <w:sz w:val="21"/>
              </w:rPr>
              <w:t>63.9</w:t>
            </w:r>
          </w:p>
        </w:tc>
        <w:tc>
          <w:tcPr>
            <w:tcW w:type="dxa" w:w="1393"/>
          </w:tcPr>
          <w:p>
            <w:pPr>
              <w:spacing w:after="40" w:before="40" w:line="240" w:lineRule="auto"/>
              <w:jc w:val="left"/>
            </w:pPr>
            <w:r>
              <w:rPr>
                <w:rFonts w:ascii="Times New Roman" w:hAnsi="Times New Roman" w:eastAsia="Times New Roman"/>
                <w:b w:val="0"/>
                <w:i w:val="0"/>
                <w:color w:val="000000"/>
                <w:sz w:val="21"/>
              </w:rPr>
              <w:t>39.9</w:t>
            </w:r>
          </w:p>
        </w:tc>
        <w:tc>
          <w:tcPr>
            <w:tcW w:type="dxa" w:w="2012"/>
          </w:tcPr>
          <w:p>
            <w:pPr>
              <w:spacing w:after="40" w:before="40" w:line="240" w:lineRule="auto"/>
              <w:jc w:val="left"/>
            </w:pPr>
            <w:r>
              <w:rPr>
                <w:rFonts w:ascii="Times New Roman" w:hAnsi="Times New Roman" w:eastAsia="Times New Roman"/>
                <w:b w:val="0"/>
                <w:i w:val="0"/>
                <w:color w:val="000000"/>
                <w:sz w:val="21"/>
              </w:rPr>
              <w:t>+40.7</w:t>
            </w:r>
          </w:p>
        </w:tc>
        <w:tc>
          <w:tcPr>
            <w:tcW w:type="dxa" w:w="1806"/>
          </w:tcPr>
          <w:p>
            <w:pPr>
              <w:spacing w:after="40" w:before="40" w:line="240" w:lineRule="auto"/>
              <w:jc w:val="left"/>
            </w:pPr>
            <w:r>
              <w:rPr>
                <w:rFonts w:ascii="Times New Roman" w:hAnsi="Times New Roman" w:eastAsia="Times New Roman"/>
                <w:b w:val="0"/>
                <w:i w:val="0"/>
                <w:color w:val="000000"/>
                <w:sz w:val="21"/>
              </w:rPr>
              <w:t>+10.8</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Anemia</w:t>
            </w:r>
          </w:p>
        </w:tc>
        <w:tc>
          <w:tcPr>
            <w:tcW w:type="dxa" w:w="1599"/>
          </w:tcPr>
          <w:p>
            <w:pPr>
              <w:spacing w:after="40" w:before="40" w:line="240" w:lineRule="auto"/>
              <w:jc w:val="left"/>
            </w:pPr>
            <w:r>
              <w:rPr>
                <w:rFonts w:ascii="Times New Roman" w:hAnsi="Times New Roman" w:eastAsia="Times New Roman"/>
                <w:b w:val="0"/>
                <w:i w:val="0"/>
                <w:color w:val="000000"/>
                <w:sz w:val="21"/>
              </w:rPr>
              <w:t>28.7</w:t>
            </w:r>
          </w:p>
        </w:tc>
        <w:tc>
          <w:tcPr>
            <w:tcW w:type="dxa" w:w="1393"/>
          </w:tcPr>
          <w:p>
            <w:pPr>
              <w:spacing w:after="40" w:before="40" w:line="240" w:lineRule="auto"/>
              <w:jc w:val="left"/>
            </w:pPr>
            <w:r>
              <w:rPr>
                <w:rFonts w:ascii="Times New Roman" w:hAnsi="Times New Roman" w:eastAsia="Times New Roman"/>
                <w:b w:val="0"/>
                <w:i w:val="0"/>
                <w:color w:val="000000"/>
                <w:sz w:val="21"/>
              </w:rPr>
              <w:t>24.6</w:t>
            </w:r>
          </w:p>
        </w:tc>
        <w:tc>
          <w:tcPr>
            <w:tcW w:type="dxa" w:w="2012"/>
          </w:tcPr>
          <w:p>
            <w:pPr>
              <w:spacing w:after="40" w:before="40" w:line="240" w:lineRule="auto"/>
              <w:jc w:val="left"/>
            </w:pPr>
            <w:r>
              <w:rPr>
                <w:rFonts w:ascii="Times New Roman" w:hAnsi="Times New Roman" w:eastAsia="Times New Roman"/>
                <w:b w:val="0"/>
                <w:i w:val="0"/>
                <w:color w:val="000000"/>
                <w:sz w:val="21"/>
              </w:rPr>
              <w:t>+22.2</w:t>
            </w:r>
          </w:p>
        </w:tc>
        <w:tc>
          <w:tcPr>
            <w:tcW w:type="dxa" w:w="1806"/>
          </w:tcPr>
          <w:p>
            <w:pPr>
              <w:spacing w:after="40" w:before="40" w:line="240" w:lineRule="auto"/>
              <w:jc w:val="left"/>
            </w:pPr>
            <w:r>
              <w:rPr>
                <w:rFonts w:ascii="Times New Roman" w:hAnsi="Times New Roman" w:eastAsia="Times New Roman"/>
                <w:b w:val="0"/>
                <w:i w:val="0"/>
                <w:color w:val="000000"/>
                <w:sz w:val="21"/>
              </w:rPr>
              <w:t>+8.7</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r>
        <w:trPr>
          <w:cantSplit/>
        </w:trPr>
        <w:tc>
          <w:tcPr>
            <w:tcW w:type="dxa" w:w="1187"/>
          </w:tcPr>
          <w:p>
            <w:pPr>
              <w:spacing w:after="40" w:before="40" w:line="240" w:lineRule="auto"/>
              <w:jc w:val="left"/>
            </w:pPr>
            <w:r>
              <w:rPr>
                <w:rFonts w:ascii="Times New Roman" w:hAnsi="Times New Roman" w:eastAsia="Times New Roman"/>
                <w:b w:val="0"/>
                <w:i w:val="0"/>
                <w:color w:val="000000"/>
                <w:sz w:val="21"/>
              </w:rPr>
              <w:t>Stress</w:t>
            </w:r>
          </w:p>
        </w:tc>
        <w:tc>
          <w:tcPr>
            <w:tcW w:type="dxa" w:w="1599"/>
          </w:tcPr>
          <w:p>
            <w:pPr>
              <w:spacing w:after="40" w:before="40" w:line="240" w:lineRule="auto"/>
              <w:jc w:val="left"/>
            </w:pPr>
            <w:r>
              <w:rPr>
                <w:rFonts w:ascii="Times New Roman" w:hAnsi="Times New Roman" w:eastAsia="Times New Roman"/>
                <w:b w:val="0"/>
                <w:i w:val="0"/>
                <w:color w:val="000000"/>
                <w:sz w:val="21"/>
              </w:rPr>
              <w:t>72.0</w:t>
            </w:r>
          </w:p>
        </w:tc>
        <w:tc>
          <w:tcPr>
            <w:tcW w:type="dxa" w:w="1393"/>
          </w:tcPr>
          <w:p>
            <w:pPr>
              <w:spacing w:after="40" w:before="40" w:line="240" w:lineRule="auto"/>
              <w:jc w:val="left"/>
            </w:pPr>
            <w:r>
              <w:rPr>
                <w:rFonts w:ascii="Times New Roman" w:hAnsi="Times New Roman" w:eastAsia="Times New Roman"/>
                <w:b w:val="0"/>
                <w:i w:val="0"/>
                <w:color w:val="000000"/>
                <w:sz w:val="21"/>
              </w:rPr>
              <w:t>40.3</w:t>
            </w:r>
          </w:p>
        </w:tc>
        <w:tc>
          <w:tcPr>
            <w:tcW w:type="dxa" w:w="2012"/>
          </w:tcPr>
          <w:p>
            <w:pPr>
              <w:spacing w:after="40" w:before="40" w:line="240" w:lineRule="auto"/>
              <w:jc w:val="left"/>
            </w:pPr>
            <w:r>
              <w:rPr>
                <w:rFonts w:ascii="Times New Roman" w:hAnsi="Times New Roman" w:eastAsia="Times New Roman"/>
                <w:b w:val="0"/>
                <w:i w:val="0"/>
                <w:color w:val="000000"/>
                <w:sz w:val="21"/>
              </w:rPr>
              <w:t>+48.3</w:t>
            </w:r>
          </w:p>
        </w:tc>
        <w:tc>
          <w:tcPr>
            <w:tcW w:type="dxa" w:w="1806"/>
          </w:tcPr>
          <w:p>
            <w:pPr>
              <w:spacing w:after="40" w:before="40" w:line="240" w:lineRule="auto"/>
              <w:jc w:val="left"/>
            </w:pPr>
            <w:r>
              <w:rPr>
                <w:rFonts w:ascii="Times New Roman" w:hAnsi="Times New Roman" w:eastAsia="Times New Roman"/>
                <w:b w:val="0"/>
                <w:i w:val="0"/>
                <w:color w:val="000000"/>
                <w:sz w:val="21"/>
              </w:rPr>
              <w:t>+11.2</w:t>
            </w:r>
          </w:p>
        </w:tc>
        <w:tc>
          <w:tcPr>
            <w:tcW w:type="dxa" w:w="1032"/>
          </w:tcPr>
          <w:p>
            <w:pPr>
              <w:spacing w:after="40" w:before="40" w:line="240" w:lineRule="auto"/>
              <w:jc w:val="left"/>
            </w:pPr>
            <w:r>
              <w:rPr>
                <w:rFonts w:ascii="Times New Roman" w:hAnsi="Times New Roman" w:eastAsia="Times New Roman"/>
                <w:b w:val="0"/>
                <w:i w:val="0"/>
                <w:color w:val="000000"/>
                <w:sz w:val="21"/>
              </w:rPr>
              <w:t>Yes</w:t>
            </w:r>
          </w:p>
        </w:tc>
      </w:tr>
    </w:tbl>
    <w:p>
      <w:pPr>
        <w:spacing w:after="120" w:before="0" w:line="240" w:lineRule="auto"/>
      </w:pPr>
    </w:p>
    <w:p>
      <w:pPr>
        <w:spacing w:after="240" w:before="0" w:line="360" w:lineRule="auto"/>
        <w:jc w:val="both"/>
      </w:pPr>
      <w:r>
        <w:rPr>
          <w:rFonts w:ascii="Times New Roman" w:hAnsi="Times New Roman" w:eastAsia="Times New Roman"/>
          <w:b w:val="0"/>
          <w:i/>
          <w:color w:val="000000"/>
          <w:sz w:val="24"/>
        </w:rPr>
        <w:t>Gap = share of people with the factor among those with hair fall minus the share among those without. For the final dataset, "hair fall" means Moderate or High risk.</w:t>
      </w:r>
    </w:p>
    <w:p>
      <w:pPr>
        <w:spacing w:after="240" w:before="0" w:line="360" w:lineRule="auto"/>
        <w:jc w:val="both"/>
      </w:pPr>
      <w:r>
        <w:rPr>
          <w:rFonts w:ascii="Times New Roman" w:hAnsi="Times New Roman" w:eastAsia="Times New Roman"/>
          <w:b w:val="0"/>
          <w:i w:val="0"/>
          <w:color w:val="000000"/>
          <w:sz w:val="24"/>
        </w:rPr>
        <w:t xml:space="preserve">The survey shows stronger gaps than the final dataset because survey respondents answered about a problem they already knew they had, while the final dataset describes graded risk. Because of these differences the final dataset is treated as a </w:t>
      </w:r>
      <w:r>
        <w:rPr>
          <w:rFonts w:ascii="Times New Roman" w:hAnsi="Times New Roman" w:eastAsia="Times New Roman"/>
          <w:b/>
          <w:i w:val="0"/>
          <w:color w:val="000000"/>
          <w:sz w:val="24"/>
        </w:rPr>
        <w:t>semi-synthetic benchmark</w:t>
      </w:r>
      <w:r>
        <w:rPr>
          <w:rFonts w:ascii="Times New Roman" w:hAnsi="Times New Roman" w:eastAsia="Times New Roman"/>
          <w:b w:val="0"/>
          <w:i w:val="0"/>
          <w:color w:val="000000"/>
          <w:sz w:val="24"/>
        </w:rPr>
        <w:t>: the associations learned by the models reflect relationships built into the data from the dermatology literature and the survey, and they are not new clinical evidence. This limitation is stated again when the results are discussed.</w:t>
      </w:r>
    </w:p>
    <w:p>
      <w:pPr>
        <w:pStyle w:val="Heading3"/>
        <w:keepNext/>
        <w:spacing w:after="240" w:before="120" w:line="360" w:lineRule="auto"/>
        <w:jc w:val="left"/>
      </w:pPr>
      <w:r>
        <w:rPr>
          <w:rFonts w:ascii="Times New Roman" w:hAnsi="Times New Roman" w:eastAsia="Times New Roman"/>
          <w:b/>
          <w:color w:val="000000"/>
          <w:sz w:val="24"/>
        </w:rPr>
        <w:t>3.2.3 The final dataset</w:t>
      </w:r>
    </w:p>
    <w:p>
      <w:pPr>
        <w:spacing w:after="240" w:before="0" w:line="360" w:lineRule="auto"/>
        <w:jc w:val="both"/>
      </w:pPr>
      <w:r>
        <w:rPr>
          <w:rFonts w:ascii="Times New Roman" w:hAnsi="Times New Roman" w:eastAsia="Times New Roman"/>
          <w:b w:val="0"/>
          <w:i w:val="0"/>
          <w:color w:val="000000"/>
          <w:sz w:val="24"/>
        </w:rPr>
        <w:t>The final dataset has 21,606 records with 20 features and one target, in four groups.</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Demographics and heredity:</w:t>
      </w:r>
      <w:r>
        <w:rPr>
          <w:rFonts w:ascii="Times New Roman" w:hAnsi="Times New Roman" w:eastAsia="Times New Roman"/>
          <w:b w:val="0"/>
          <w:i w:val="0"/>
          <w:color w:val="000000"/>
          <w:sz w:val="24"/>
        </w:rPr>
        <w:t xml:space="preserve"> age (20 to 55 years), gender, family_hair_fall_history.</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Blood and body measurements:</w:t>
      </w:r>
      <w:r>
        <w:rPr>
          <w:rFonts w:ascii="Times New Roman" w:hAnsi="Times New Roman" w:eastAsia="Times New Roman"/>
          <w:b w:val="0"/>
          <w:i w:val="0"/>
          <w:color w:val="000000"/>
          <w:sz w:val="24"/>
        </w:rPr>
        <w:t xml:space="preserve"> total_protein, calcium, iron, vitamin_d, alt_liver (alanine aminotransferase, ALT), manganese, body_water_content, stress_level (0 to 40 scale), and two 0 to 100 hair condition scores, total_keratine and hair_texture.</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Clinical conditions (0/1):</w:t>
      </w:r>
      <w:r>
        <w:rPr>
          <w:rFonts w:ascii="Times New Roman" w:hAnsi="Times New Roman" w:eastAsia="Times New Roman"/>
          <w:b w:val="0"/>
          <w:i w:val="0"/>
          <w:color w:val="000000"/>
          <w:sz w:val="24"/>
        </w:rPr>
        <w:t xml:space="preserve"> chronic_illness, anemia, stress.</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Lifestyle and environment (0/1):</w:t>
      </w:r>
      <w:r>
        <w:rPr>
          <w:rFonts w:ascii="Times New Roman" w:hAnsi="Times New Roman" w:eastAsia="Times New Roman"/>
          <w:b w:val="0"/>
          <w:i w:val="0"/>
          <w:color w:val="000000"/>
          <w:sz w:val="24"/>
        </w:rPr>
        <w:t xml:space="preserve"> late_night_sleep, sleep_disturbance, water_reason, chemical_use.</w:t>
      </w:r>
    </w:p>
    <w:p>
      <w:pPr>
        <w:spacing w:after="240" w:before="0" w:line="360" w:lineRule="auto"/>
        <w:jc w:val="both"/>
      </w:pPr>
      <w:r>
        <w:rPr>
          <w:rFonts w:ascii="Times New Roman" w:hAnsi="Times New Roman" w:eastAsia="Times New Roman"/>
          <w:b w:val="0"/>
          <w:i w:val="0"/>
          <w:color w:val="000000"/>
          <w:sz w:val="24"/>
        </w:rPr>
        <w:t>The target hair_fall has three risk tiers: 0 = Low (9,723 records, 45%), 1 = Moderate (7,562, 35%), and 2 = High (4,321, 20%). Gender is Male for 12,109 records, Female for 9,485, and Other for 12.</w:t>
      </w:r>
    </w:p>
    <w:p>
      <w:pPr>
        <w:pStyle w:val="Heading2"/>
        <w:keepNext/>
        <w:spacing w:after="240" w:before="120" w:line="360" w:lineRule="auto"/>
        <w:jc w:val="left"/>
      </w:pPr>
      <w:r>
        <w:rPr>
          <w:rFonts w:ascii="Times New Roman" w:hAnsi="Times New Roman" w:eastAsia="Times New Roman"/>
          <w:b/>
          <w:color w:val="000000"/>
          <w:sz w:val="28"/>
        </w:rPr>
        <w:t>3.3 Data Preprocessing</w:t>
      </w:r>
    </w:p>
    <w:p>
      <w:pPr>
        <w:spacing w:after="240" w:before="0" w:line="360" w:lineRule="auto"/>
        <w:jc w:val="both"/>
      </w:pPr>
      <w:r>
        <w:rPr>
          <w:rFonts w:ascii="Times New Roman" w:hAnsi="Times New Roman" w:eastAsia="Times New Roman"/>
          <w:b w:val="0"/>
          <w:i w:val="0"/>
          <w:color w:val="000000"/>
          <w:sz w:val="24"/>
        </w:rPr>
        <w:t>The following steps were applied to the final dataset before any model was run.</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Removal of identifiers.</w:t>
      </w:r>
      <w:r>
        <w:rPr>
          <w:rFonts w:ascii="Times New Roman" w:hAnsi="Times New Roman" w:eastAsia="Times New Roman"/>
          <w:b w:val="0"/>
          <w:i w:val="0"/>
          <w:color w:val="000000"/>
          <w:sz w:val="24"/>
        </w:rPr>
        <w:t xml:space="preserve"> The id column and the full_name column (which holds personal names in encoded form) were removed, because they do not describe health and could create false patterns. After removal, 20 features remain.</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Quality checks.</w:t>
      </w:r>
      <w:r>
        <w:rPr>
          <w:rFonts w:ascii="Times New Roman" w:hAnsi="Times New Roman" w:eastAsia="Times New Roman"/>
          <w:b w:val="0"/>
          <w:i w:val="0"/>
          <w:color w:val="000000"/>
          <w:sz w:val="24"/>
        </w:rPr>
        <w:t xml:space="preserve"> The dataset has no missing values and no duplicate records (ignoring id).</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Clinical range check.</w:t>
      </w:r>
      <w:r>
        <w:rPr>
          <w:rFonts w:ascii="Times New Roman" w:hAnsi="Times New Roman" w:eastAsia="Times New Roman"/>
          <w:b w:val="0"/>
          <w:i w:val="0"/>
          <w:color w:val="000000"/>
          <w:sz w:val="24"/>
        </w:rPr>
        <w:t xml:space="preserve"> Each blood and body measurement was compared with its normal reference range and with limits that are physiologically impossible (Table 3.4). No values were impossible, so no record was removed. Values outside the normal range were kept on purpose, because they are the information that indicates risk.</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Encoding.</w:t>
      </w:r>
      <w:r>
        <w:rPr>
          <w:rFonts w:ascii="Times New Roman" w:hAnsi="Times New Roman" w:eastAsia="Times New Roman"/>
          <w:b w:val="0"/>
          <w:i w:val="0"/>
          <w:color w:val="000000"/>
          <w:sz w:val="24"/>
        </w:rPr>
        <w:t xml:space="preserve"> Gender was coded 0 = Female, 1 = Male, 2 = Other. The yes/no columns were already 0/1, and the target was already coded 0, 1, 2.</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Stratified split.</w:t>
      </w:r>
      <w:r>
        <w:rPr>
          <w:rFonts w:ascii="Times New Roman" w:hAnsi="Times New Roman" w:eastAsia="Times New Roman"/>
          <w:b w:val="0"/>
          <w:i w:val="0"/>
          <w:color w:val="000000"/>
          <w:sz w:val="24"/>
        </w:rPr>
        <w:t xml:space="preserve"> The records were split 80% to 20% with the class shares kept equal (random seed 42): 17,284 training records and 4,322 test records, with 45% Low, 35% Moderate, and 20% High in both parts.</w:t>
      </w:r>
    </w:p>
    <w:p>
      <w:pPr>
        <w:tabs>
          <w:tab w:pos="720" w:val="left"/>
        </w:tabs>
        <w:spacing w:after="160" w:before="0" w:line="360" w:lineRule="auto"/>
        <w:ind w:left="720" w:hanging="432"/>
        <w:jc w:val="both"/>
      </w:pPr>
      <w:r>
        <w:rPr>
          <w:rFonts w:ascii="Times New Roman" w:hAnsi="Times New Roman" w:eastAsia="Times New Roman"/>
          <w:color w:val="000000"/>
          <w:sz w:val="24"/>
        </w:rPr>
        <w:t>6.</w:t>
        <w:tab/>
      </w:r>
      <w:r>
        <w:rPr>
          <w:rFonts w:ascii="Times New Roman" w:hAnsi="Times New Roman" w:eastAsia="Times New Roman"/>
          <w:b/>
          <w:i w:val="0"/>
          <w:color w:val="000000"/>
          <w:sz w:val="24"/>
        </w:rPr>
        <w:t>Training sizes.</w:t>
      </w:r>
      <w:r>
        <w:rPr>
          <w:rFonts w:ascii="Times New Roman" w:hAnsi="Times New Roman" w:eastAsia="Times New Roman"/>
          <w:b w:val="0"/>
          <w:i w:val="0"/>
          <w:color w:val="000000"/>
          <w:sz w:val="24"/>
        </w:rPr>
        <w:t xml:space="preserve"> Three training sizes were prepared from the 17,284 training records: 500 records, 2,000 records, and all 17,284. The smaller sets were drawn with the class shares kept equal (45% Low, 35% Moderate, 20% High). The same 4,322 test records are used for every size and every model.</w:t>
      </w:r>
    </w:p>
    <w:p>
      <w:pPr>
        <w:keepNext/>
        <w:spacing w:after="120" w:before="0" w:line="360" w:lineRule="auto"/>
        <w:jc w:val="left"/>
      </w:pPr>
      <w:r>
        <w:rPr>
          <w:rFonts w:ascii="Times New Roman" w:hAnsi="Times New Roman" w:eastAsia="Times New Roman"/>
          <w:b/>
          <w:i w:val="0"/>
          <w:color w:val="000000"/>
          <w:sz w:val="24"/>
        </w:rPr>
        <w:t>Table 3.4:</w:t>
      </w:r>
      <w:r>
        <w:rPr>
          <w:rFonts w:ascii="Times New Roman" w:hAnsi="Times New Roman" w:eastAsia="Times New Roman"/>
          <w:b w:val="0"/>
          <w:i w:val="0"/>
          <w:color w:val="000000"/>
          <w:sz w:val="24"/>
        </w:rPr>
        <w:t xml:space="preserve"> Clinical range check of the final dataset</w:t>
      </w:r>
    </w:p>
    <w:tbl>
      <w:tblPr>
        <w:tblStyle w:val="TableGrid"/>
        <w:tblW w:type="auto" w:w="0"/>
        <w:jc w:val="center"/>
        <w:tblLayout w:type="fixed"/>
        <w:tblLook w:firstColumn="1" w:firstRow="1" w:lastColumn="0" w:lastRow="0" w:noHBand="0" w:noVBand="1" w:val="04A0"/>
      </w:tblPr>
      <w:tblGrid>
        <w:gridCol w:w="1991"/>
        <w:gridCol w:w="1280"/>
        <w:gridCol w:w="1280"/>
        <w:gridCol w:w="1280"/>
        <w:gridCol w:w="1564"/>
        <w:gridCol w:w="1635"/>
      </w:tblGrid>
      <w:tr>
        <w:trPr>
          <w:cantSplit/>
          <w:tblHeader/>
        </w:trPr>
        <w:tc>
          <w:tcPr>
            <w:tcW w:type="dxa" w:w="1991"/>
            <w:shd w:val="clear" w:color="auto" w:fill="E7E6E6"/>
          </w:tcPr>
          <w:p>
            <w:pPr>
              <w:spacing w:after="40" w:before="40" w:line="240" w:lineRule="auto"/>
              <w:jc w:val="left"/>
            </w:pPr>
            <w:r>
              <w:rPr>
                <w:rFonts w:ascii="Times New Roman" w:hAnsi="Times New Roman" w:eastAsia="Times New Roman"/>
                <w:b/>
                <w:i w:val="0"/>
                <w:color w:val="000000"/>
                <w:sz w:val="21"/>
              </w:rPr>
              <w:t>Measurement</w:t>
            </w:r>
          </w:p>
        </w:tc>
        <w:tc>
          <w:tcPr>
            <w:tcW w:type="dxa" w:w="1280"/>
            <w:shd w:val="clear" w:color="auto" w:fill="E7E6E6"/>
          </w:tcPr>
          <w:p>
            <w:pPr>
              <w:spacing w:after="40" w:before="40" w:line="240" w:lineRule="auto"/>
              <w:jc w:val="left"/>
            </w:pPr>
            <w:r>
              <w:rPr>
                <w:rFonts w:ascii="Times New Roman" w:hAnsi="Times New Roman" w:eastAsia="Times New Roman"/>
                <w:b/>
                <w:i w:val="0"/>
                <w:color w:val="000000"/>
                <w:sz w:val="21"/>
              </w:rPr>
              <w:t>Normal range</w:t>
            </w:r>
          </w:p>
        </w:tc>
        <w:tc>
          <w:tcPr>
            <w:tcW w:type="dxa" w:w="1280"/>
            <w:shd w:val="clear" w:color="auto" w:fill="E7E6E6"/>
          </w:tcPr>
          <w:p>
            <w:pPr>
              <w:spacing w:after="40" w:before="40" w:line="240" w:lineRule="auto"/>
              <w:jc w:val="left"/>
            </w:pPr>
            <w:r>
              <w:rPr>
                <w:rFonts w:ascii="Times New Roman" w:hAnsi="Times New Roman" w:eastAsia="Times New Roman"/>
                <w:b/>
                <w:i w:val="0"/>
                <w:color w:val="000000"/>
                <w:sz w:val="21"/>
              </w:rPr>
              <w:t>Below normal</w:t>
            </w:r>
          </w:p>
        </w:tc>
        <w:tc>
          <w:tcPr>
            <w:tcW w:type="dxa" w:w="1280"/>
            <w:shd w:val="clear" w:color="auto" w:fill="E7E6E6"/>
          </w:tcPr>
          <w:p>
            <w:pPr>
              <w:spacing w:after="40" w:before="40" w:line="240" w:lineRule="auto"/>
              <w:jc w:val="left"/>
            </w:pPr>
            <w:r>
              <w:rPr>
                <w:rFonts w:ascii="Times New Roman" w:hAnsi="Times New Roman" w:eastAsia="Times New Roman"/>
                <w:b/>
                <w:i w:val="0"/>
                <w:color w:val="000000"/>
                <w:sz w:val="21"/>
              </w:rPr>
              <w:t>Above normal</w:t>
            </w:r>
          </w:p>
        </w:tc>
        <w:tc>
          <w:tcPr>
            <w:tcW w:type="dxa" w:w="1564"/>
            <w:shd w:val="clear" w:color="auto" w:fill="E7E6E6"/>
          </w:tcPr>
          <w:p>
            <w:pPr>
              <w:spacing w:after="40" w:before="40" w:line="240" w:lineRule="auto"/>
              <w:jc w:val="left"/>
            </w:pPr>
            <w:r>
              <w:rPr>
                <w:rFonts w:ascii="Times New Roman" w:hAnsi="Times New Roman" w:eastAsia="Times New Roman"/>
                <w:b/>
                <w:i w:val="0"/>
                <w:color w:val="000000"/>
                <w:sz w:val="21"/>
              </w:rPr>
              <w:t>% outside normal</w:t>
            </w:r>
          </w:p>
        </w:tc>
        <w:tc>
          <w:tcPr>
            <w:tcW w:type="dxa" w:w="1635"/>
            <w:shd w:val="clear" w:color="auto" w:fill="E7E6E6"/>
          </w:tcPr>
          <w:p>
            <w:pPr>
              <w:spacing w:after="40" w:before="40" w:line="240" w:lineRule="auto"/>
              <w:jc w:val="left"/>
            </w:pPr>
            <w:r>
              <w:rPr>
                <w:rFonts w:ascii="Times New Roman" w:hAnsi="Times New Roman" w:eastAsia="Times New Roman"/>
                <w:b/>
                <w:i w:val="0"/>
                <w:color w:val="000000"/>
                <w:sz w:val="21"/>
              </w:rPr>
              <w:t>Impossible values</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total_protein (g/dL)</w:t>
            </w:r>
          </w:p>
        </w:tc>
        <w:tc>
          <w:tcPr>
            <w:tcW w:type="dxa" w:w="1280"/>
          </w:tcPr>
          <w:p>
            <w:pPr>
              <w:spacing w:after="40" w:before="40" w:line="240" w:lineRule="auto"/>
              <w:jc w:val="left"/>
            </w:pPr>
            <w:r>
              <w:rPr>
                <w:rFonts w:ascii="Times New Roman" w:hAnsi="Times New Roman" w:eastAsia="Times New Roman"/>
                <w:b w:val="0"/>
                <w:i w:val="0"/>
                <w:color w:val="000000"/>
                <w:sz w:val="21"/>
              </w:rPr>
              <w:t>6.0 to 8.3</w:t>
            </w:r>
          </w:p>
        </w:tc>
        <w:tc>
          <w:tcPr>
            <w:tcW w:type="dxa" w:w="1280"/>
          </w:tcPr>
          <w:p>
            <w:pPr>
              <w:spacing w:after="40" w:before="40" w:line="240" w:lineRule="auto"/>
              <w:jc w:val="left"/>
            </w:pPr>
            <w:r>
              <w:rPr>
                <w:rFonts w:ascii="Times New Roman" w:hAnsi="Times New Roman" w:eastAsia="Times New Roman"/>
                <w:b w:val="0"/>
                <w:i w:val="0"/>
                <w:color w:val="000000"/>
                <w:sz w:val="21"/>
              </w:rPr>
              <w:t>406</w:t>
            </w:r>
          </w:p>
        </w:tc>
        <w:tc>
          <w:tcPr>
            <w:tcW w:type="dxa" w:w="1280"/>
          </w:tcPr>
          <w:p>
            <w:pPr>
              <w:spacing w:after="40" w:before="40" w:line="240" w:lineRule="auto"/>
              <w:jc w:val="left"/>
            </w:pPr>
            <w:r>
              <w:rPr>
                <w:rFonts w:ascii="Times New Roman" w:hAnsi="Times New Roman" w:eastAsia="Times New Roman"/>
                <w:b w:val="0"/>
                <w:i w:val="0"/>
                <w:color w:val="000000"/>
                <w:sz w:val="21"/>
              </w:rPr>
              <w:t>605</w:t>
            </w:r>
          </w:p>
        </w:tc>
        <w:tc>
          <w:tcPr>
            <w:tcW w:type="dxa" w:w="1564"/>
          </w:tcPr>
          <w:p>
            <w:pPr>
              <w:spacing w:after="40" w:before="40" w:line="240" w:lineRule="auto"/>
              <w:jc w:val="left"/>
            </w:pPr>
            <w:r>
              <w:rPr>
                <w:rFonts w:ascii="Times New Roman" w:hAnsi="Times New Roman" w:eastAsia="Times New Roman"/>
                <w:b w:val="0"/>
                <w:i w:val="0"/>
                <w:color w:val="000000"/>
                <w:sz w:val="21"/>
              </w:rPr>
              <w:t>4.7</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calcium (mg/dL)</w:t>
            </w:r>
          </w:p>
        </w:tc>
        <w:tc>
          <w:tcPr>
            <w:tcW w:type="dxa" w:w="1280"/>
          </w:tcPr>
          <w:p>
            <w:pPr>
              <w:spacing w:after="40" w:before="40" w:line="240" w:lineRule="auto"/>
              <w:jc w:val="left"/>
            </w:pPr>
            <w:r>
              <w:rPr>
                <w:rFonts w:ascii="Times New Roman" w:hAnsi="Times New Roman" w:eastAsia="Times New Roman"/>
                <w:b w:val="0"/>
                <w:i w:val="0"/>
                <w:color w:val="000000"/>
                <w:sz w:val="21"/>
              </w:rPr>
              <w:t>8.5 to 10.5</w:t>
            </w:r>
          </w:p>
        </w:tc>
        <w:tc>
          <w:tcPr>
            <w:tcW w:type="dxa" w:w="1280"/>
          </w:tcPr>
          <w:p>
            <w:pPr>
              <w:spacing w:after="40" w:before="40" w:line="240" w:lineRule="auto"/>
              <w:jc w:val="left"/>
            </w:pPr>
            <w:r>
              <w:rPr>
                <w:rFonts w:ascii="Times New Roman" w:hAnsi="Times New Roman" w:eastAsia="Times New Roman"/>
                <w:b w:val="0"/>
                <w:i w:val="0"/>
                <w:color w:val="000000"/>
                <w:sz w:val="21"/>
              </w:rPr>
              <w:t>1,675</w:t>
            </w:r>
          </w:p>
        </w:tc>
        <w:tc>
          <w:tcPr>
            <w:tcW w:type="dxa" w:w="1280"/>
          </w:tcPr>
          <w:p>
            <w:pPr>
              <w:spacing w:after="40" w:before="40" w:line="240" w:lineRule="auto"/>
              <w:jc w:val="left"/>
            </w:pPr>
            <w:r>
              <w:rPr>
                <w:rFonts w:ascii="Times New Roman" w:hAnsi="Times New Roman" w:eastAsia="Times New Roman"/>
                <w:b w:val="0"/>
                <w:i w:val="0"/>
                <w:color w:val="000000"/>
                <w:sz w:val="21"/>
              </w:rPr>
              <w:t>392</w:t>
            </w:r>
          </w:p>
        </w:tc>
        <w:tc>
          <w:tcPr>
            <w:tcW w:type="dxa" w:w="1564"/>
          </w:tcPr>
          <w:p>
            <w:pPr>
              <w:spacing w:after="40" w:before="40" w:line="240" w:lineRule="auto"/>
              <w:jc w:val="left"/>
            </w:pPr>
            <w:r>
              <w:rPr>
                <w:rFonts w:ascii="Times New Roman" w:hAnsi="Times New Roman" w:eastAsia="Times New Roman"/>
                <w:b w:val="0"/>
                <w:i w:val="0"/>
                <w:color w:val="000000"/>
                <w:sz w:val="21"/>
              </w:rPr>
              <w:t>9.6</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iron (µg/dL)</w:t>
            </w:r>
          </w:p>
        </w:tc>
        <w:tc>
          <w:tcPr>
            <w:tcW w:type="dxa" w:w="1280"/>
          </w:tcPr>
          <w:p>
            <w:pPr>
              <w:spacing w:after="40" w:before="40" w:line="240" w:lineRule="auto"/>
              <w:jc w:val="left"/>
            </w:pPr>
            <w:r>
              <w:rPr>
                <w:rFonts w:ascii="Times New Roman" w:hAnsi="Times New Roman" w:eastAsia="Times New Roman"/>
                <w:b w:val="0"/>
                <w:i w:val="0"/>
                <w:color w:val="000000"/>
                <w:sz w:val="21"/>
              </w:rPr>
              <w:t>60 to 170</w:t>
            </w:r>
          </w:p>
        </w:tc>
        <w:tc>
          <w:tcPr>
            <w:tcW w:type="dxa" w:w="1280"/>
          </w:tcPr>
          <w:p>
            <w:pPr>
              <w:spacing w:after="40" w:before="40" w:line="240" w:lineRule="auto"/>
              <w:jc w:val="left"/>
            </w:pPr>
            <w:r>
              <w:rPr>
                <w:rFonts w:ascii="Times New Roman" w:hAnsi="Times New Roman" w:eastAsia="Times New Roman"/>
                <w:b w:val="0"/>
                <w:i w:val="0"/>
                <w:color w:val="000000"/>
                <w:sz w:val="21"/>
              </w:rPr>
              <w:t>2,217</w:t>
            </w:r>
          </w:p>
        </w:tc>
        <w:tc>
          <w:tcPr>
            <w:tcW w:type="dxa" w:w="1280"/>
          </w:tcPr>
          <w:p>
            <w:pPr>
              <w:spacing w:after="40" w:before="40" w:line="240" w:lineRule="auto"/>
              <w:jc w:val="left"/>
            </w:pPr>
            <w:r>
              <w:rPr>
                <w:rFonts w:ascii="Times New Roman" w:hAnsi="Times New Roman" w:eastAsia="Times New Roman"/>
                <w:b w:val="0"/>
                <w:i w:val="0"/>
                <w:color w:val="000000"/>
                <w:sz w:val="21"/>
              </w:rPr>
              <w:t>209</w:t>
            </w:r>
          </w:p>
        </w:tc>
        <w:tc>
          <w:tcPr>
            <w:tcW w:type="dxa" w:w="1564"/>
          </w:tcPr>
          <w:p>
            <w:pPr>
              <w:spacing w:after="40" w:before="40" w:line="240" w:lineRule="auto"/>
              <w:jc w:val="left"/>
            </w:pPr>
            <w:r>
              <w:rPr>
                <w:rFonts w:ascii="Times New Roman" w:hAnsi="Times New Roman" w:eastAsia="Times New Roman"/>
                <w:b w:val="0"/>
                <w:i w:val="0"/>
                <w:color w:val="000000"/>
                <w:sz w:val="21"/>
              </w:rPr>
              <w:t>11.2</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vitamin_d (ng/mL)</w:t>
            </w:r>
          </w:p>
        </w:tc>
        <w:tc>
          <w:tcPr>
            <w:tcW w:type="dxa" w:w="1280"/>
          </w:tcPr>
          <w:p>
            <w:pPr>
              <w:spacing w:after="40" w:before="40" w:line="240" w:lineRule="auto"/>
              <w:jc w:val="left"/>
            </w:pPr>
            <w:r>
              <w:rPr>
                <w:rFonts w:ascii="Times New Roman" w:hAnsi="Times New Roman" w:eastAsia="Times New Roman"/>
                <w:b w:val="0"/>
                <w:i w:val="0"/>
                <w:color w:val="000000"/>
                <w:sz w:val="21"/>
              </w:rPr>
              <w:t>25 to 80</w:t>
            </w:r>
          </w:p>
        </w:tc>
        <w:tc>
          <w:tcPr>
            <w:tcW w:type="dxa" w:w="1280"/>
          </w:tcPr>
          <w:p>
            <w:pPr>
              <w:spacing w:after="40" w:before="40" w:line="240" w:lineRule="auto"/>
              <w:jc w:val="left"/>
            </w:pPr>
            <w:r>
              <w:rPr>
                <w:rFonts w:ascii="Times New Roman" w:hAnsi="Times New Roman" w:eastAsia="Times New Roman"/>
                <w:b w:val="0"/>
                <w:i w:val="0"/>
                <w:color w:val="000000"/>
                <w:sz w:val="21"/>
              </w:rPr>
              <w:t>8,606</w:t>
            </w:r>
          </w:p>
        </w:tc>
        <w:tc>
          <w:tcPr>
            <w:tcW w:type="dxa" w:w="1280"/>
          </w:tcPr>
          <w:p>
            <w:pPr>
              <w:spacing w:after="40" w:before="40" w:line="240" w:lineRule="auto"/>
              <w:jc w:val="left"/>
            </w:pPr>
            <w:r>
              <w:rPr>
                <w:rFonts w:ascii="Times New Roman" w:hAnsi="Times New Roman" w:eastAsia="Times New Roman"/>
                <w:b w:val="0"/>
                <w:i w:val="0"/>
                <w:color w:val="000000"/>
                <w:sz w:val="21"/>
              </w:rPr>
              <w:t>0</w:t>
            </w:r>
          </w:p>
        </w:tc>
        <w:tc>
          <w:tcPr>
            <w:tcW w:type="dxa" w:w="1564"/>
          </w:tcPr>
          <w:p>
            <w:pPr>
              <w:spacing w:after="40" w:before="40" w:line="240" w:lineRule="auto"/>
              <w:jc w:val="left"/>
            </w:pPr>
            <w:r>
              <w:rPr>
                <w:rFonts w:ascii="Times New Roman" w:hAnsi="Times New Roman" w:eastAsia="Times New Roman"/>
                <w:b w:val="0"/>
                <w:i w:val="0"/>
                <w:color w:val="000000"/>
                <w:sz w:val="21"/>
              </w:rPr>
              <w:t>39.8</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alt_liver (U/L)</w:t>
            </w:r>
          </w:p>
        </w:tc>
        <w:tc>
          <w:tcPr>
            <w:tcW w:type="dxa" w:w="1280"/>
          </w:tcPr>
          <w:p>
            <w:pPr>
              <w:spacing w:after="40" w:before="40" w:line="240" w:lineRule="auto"/>
              <w:jc w:val="left"/>
            </w:pPr>
            <w:r>
              <w:rPr>
                <w:rFonts w:ascii="Times New Roman" w:hAnsi="Times New Roman" w:eastAsia="Times New Roman"/>
                <w:b w:val="0"/>
                <w:i w:val="0"/>
                <w:color w:val="000000"/>
                <w:sz w:val="21"/>
              </w:rPr>
              <w:t>7 to 56</w:t>
            </w:r>
          </w:p>
        </w:tc>
        <w:tc>
          <w:tcPr>
            <w:tcW w:type="dxa" w:w="1280"/>
          </w:tcPr>
          <w:p>
            <w:pPr>
              <w:spacing w:after="40" w:before="40" w:line="240" w:lineRule="auto"/>
              <w:jc w:val="left"/>
            </w:pPr>
            <w:r>
              <w:rPr>
                <w:rFonts w:ascii="Times New Roman" w:hAnsi="Times New Roman" w:eastAsia="Times New Roman"/>
                <w:b w:val="0"/>
                <w:i w:val="0"/>
                <w:color w:val="000000"/>
                <w:sz w:val="21"/>
              </w:rPr>
              <w:t>2,300</w:t>
            </w:r>
          </w:p>
        </w:tc>
        <w:tc>
          <w:tcPr>
            <w:tcW w:type="dxa" w:w="1280"/>
          </w:tcPr>
          <w:p>
            <w:pPr>
              <w:spacing w:after="40" w:before="40" w:line="240" w:lineRule="auto"/>
              <w:jc w:val="left"/>
            </w:pPr>
            <w:r>
              <w:rPr>
                <w:rFonts w:ascii="Times New Roman" w:hAnsi="Times New Roman" w:eastAsia="Times New Roman"/>
                <w:b w:val="0"/>
                <w:i w:val="0"/>
                <w:color w:val="000000"/>
                <w:sz w:val="21"/>
              </w:rPr>
              <w:t>403</w:t>
            </w:r>
          </w:p>
        </w:tc>
        <w:tc>
          <w:tcPr>
            <w:tcW w:type="dxa" w:w="1564"/>
          </w:tcPr>
          <w:p>
            <w:pPr>
              <w:spacing w:after="40" w:before="40" w:line="240" w:lineRule="auto"/>
              <w:jc w:val="left"/>
            </w:pPr>
            <w:r>
              <w:rPr>
                <w:rFonts w:ascii="Times New Roman" w:hAnsi="Times New Roman" w:eastAsia="Times New Roman"/>
                <w:b w:val="0"/>
                <w:i w:val="0"/>
                <w:color w:val="000000"/>
                <w:sz w:val="21"/>
              </w:rPr>
              <w:t>12.5</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manganese (µg/L)</w:t>
            </w:r>
          </w:p>
        </w:tc>
        <w:tc>
          <w:tcPr>
            <w:tcW w:type="dxa" w:w="1280"/>
          </w:tcPr>
          <w:p>
            <w:pPr>
              <w:spacing w:after="40" w:before="40" w:line="240" w:lineRule="auto"/>
              <w:jc w:val="left"/>
            </w:pPr>
            <w:r>
              <w:rPr>
                <w:rFonts w:ascii="Times New Roman" w:hAnsi="Times New Roman" w:eastAsia="Times New Roman"/>
                <w:b w:val="0"/>
                <w:i w:val="0"/>
                <w:color w:val="000000"/>
                <w:sz w:val="21"/>
              </w:rPr>
              <w:t>4 to 15</w:t>
            </w:r>
          </w:p>
        </w:tc>
        <w:tc>
          <w:tcPr>
            <w:tcW w:type="dxa" w:w="1280"/>
          </w:tcPr>
          <w:p>
            <w:pPr>
              <w:spacing w:after="40" w:before="40" w:line="240" w:lineRule="auto"/>
              <w:jc w:val="left"/>
            </w:pPr>
            <w:r>
              <w:rPr>
                <w:rFonts w:ascii="Times New Roman" w:hAnsi="Times New Roman" w:eastAsia="Times New Roman"/>
                <w:b w:val="0"/>
                <w:i w:val="0"/>
                <w:color w:val="000000"/>
                <w:sz w:val="21"/>
              </w:rPr>
              <w:t>1,960</w:t>
            </w:r>
          </w:p>
        </w:tc>
        <w:tc>
          <w:tcPr>
            <w:tcW w:type="dxa" w:w="1280"/>
          </w:tcPr>
          <w:p>
            <w:pPr>
              <w:spacing w:after="40" w:before="40" w:line="240" w:lineRule="auto"/>
              <w:jc w:val="left"/>
            </w:pPr>
            <w:r>
              <w:rPr>
                <w:rFonts w:ascii="Times New Roman" w:hAnsi="Times New Roman" w:eastAsia="Times New Roman"/>
                <w:b w:val="0"/>
                <w:i w:val="0"/>
                <w:color w:val="000000"/>
                <w:sz w:val="21"/>
              </w:rPr>
              <w:t>208</w:t>
            </w:r>
          </w:p>
        </w:tc>
        <w:tc>
          <w:tcPr>
            <w:tcW w:type="dxa" w:w="1564"/>
          </w:tcPr>
          <w:p>
            <w:pPr>
              <w:spacing w:after="40" w:before="40" w:line="240" w:lineRule="auto"/>
              <w:jc w:val="left"/>
            </w:pPr>
            <w:r>
              <w:rPr>
                <w:rFonts w:ascii="Times New Roman" w:hAnsi="Times New Roman" w:eastAsia="Times New Roman"/>
                <w:b w:val="0"/>
                <w:i w:val="0"/>
                <w:color w:val="000000"/>
                <w:sz w:val="21"/>
              </w:rPr>
              <w:t>10.0</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r>
        <w:trPr>
          <w:cantSplit/>
        </w:trPr>
        <w:tc>
          <w:tcPr>
            <w:tcW w:type="dxa" w:w="1991"/>
          </w:tcPr>
          <w:p>
            <w:pPr>
              <w:spacing w:after="40" w:before="40" w:line="240" w:lineRule="auto"/>
              <w:jc w:val="left"/>
            </w:pPr>
            <w:r>
              <w:rPr>
                <w:rFonts w:ascii="Times New Roman" w:hAnsi="Times New Roman" w:eastAsia="Times New Roman"/>
                <w:b w:val="0"/>
                <w:i w:val="0"/>
                <w:color w:val="000000"/>
                <w:sz w:val="21"/>
              </w:rPr>
              <w:t>body_water_content (%)</w:t>
            </w:r>
          </w:p>
        </w:tc>
        <w:tc>
          <w:tcPr>
            <w:tcW w:type="dxa" w:w="1280"/>
          </w:tcPr>
          <w:p>
            <w:pPr>
              <w:spacing w:after="40" w:before="40" w:line="240" w:lineRule="auto"/>
              <w:jc w:val="left"/>
            </w:pPr>
            <w:r>
              <w:rPr>
                <w:rFonts w:ascii="Times New Roman" w:hAnsi="Times New Roman" w:eastAsia="Times New Roman"/>
                <w:b w:val="0"/>
                <w:i w:val="0"/>
                <w:color w:val="000000"/>
                <w:sz w:val="21"/>
              </w:rPr>
              <w:t>45 to 65</w:t>
            </w:r>
          </w:p>
        </w:tc>
        <w:tc>
          <w:tcPr>
            <w:tcW w:type="dxa" w:w="1280"/>
          </w:tcPr>
          <w:p>
            <w:pPr>
              <w:spacing w:after="40" w:before="40" w:line="240" w:lineRule="auto"/>
              <w:jc w:val="left"/>
            </w:pPr>
            <w:r>
              <w:rPr>
                <w:rFonts w:ascii="Times New Roman" w:hAnsi="Times New Roman" w:eastAsia="Times New Roman"/>
                <w:b w:val="0"/>
                <w:i w:val="0"/>
                <w:color w:val="000000"/>
                <w:sz w:val="21"/>
              </w:rPr>
              <w:t>2,225</w:t>
            </w:r>
          </w:p>
        </w:tc>
        <w:tc>
          <w:tcPr>
            <w:tcW w:type="dxa" w:w="1280"/>
          </w:tcPr>
          <w:p>
            <w:pPr>
              <w:spacing w:after="40" w:before="40" w:line="240" w:lineRule="auto"/>
              <w:jc w:val="left"/>
            </w:pPr>
            <w:r>
              <w:rPr>
                <w:rFonts w:ascii="Times New Roman" w:hAnsi="Times New Roman" w:eastAsia="Times New Roman"/>
                <w:b w:val="0"/>
                <w:i w:val="0"/>
                <w:color w:val="000000"/>
                <w:sz w:val="21"/>
              </w:rPr>
              <w:t>2,227</w:t>
            </w:r>
          </w:p>
        </w:tc>
        <w:tc>
          <w:tcPr>
            <w:tcW w:type="dxa" w:w="1564"/>
          </w:tcPr>
          <w:p>
            <w:pPr>
              <w:spacing w:after="40" w:before="40" w:line="240" w:lineRule="auto"/>
              <w:jc w:val="left"/>
            </w:pPr>
            <w:r>
              <w:rPr>
                <w:rFonts w:ascii="Times New Roman" w:hAnsi="Times New Roman" w:eastAsia="Times New Roman"/>
                <w:b w:val="0"/>
                <w:i w:val="0"/>
                <w:color w:val="000000"/>
                <w:sz w:val="21"/>
              </w:rPr>
              <w:t>20.6</w:t>
            </w:r>
          </w:p>
        </w:tc>
        <w:tc>
          <w:tcPr>
            <w:tcW w:type="dxa" w:w="1635"/>
          </w:tcPr>
          <w:p>
            <w:pPr>
              <w:spacing w:after="40" w:before="40" w:line="240" w:lineRule="auto"/>
              <w:jc w:val="left"/>
            </w:pPr>
            <w:r>
              <w:rPr>
                <w:rFonts w:ascii="Times New Roman" w:hAnsi="Times New Roman" w:eastAsia="Times New Roman"/>
                <w:b w:val="0"/>
                <w:i w:val="0"/>
                <w:color w:val="000000"/>
                <w:sz w:val="21"/>
              </w:rPr>
              <w:t>0</w:t>
            </w:r>
          </w:p>
        </w:tc>
      </w:tr>
    </w:tbl>
    <w:p>
      <w:pPr>
        <w:spacing w:after="120" w:before="0" w:line="240" w:lineRule="auto"/>
      </w:pPr>
    </w:p>
    <w:p>
      <w:pPr>
        <w:pStyle w:val="Heading2"/>
        <w:keepNext/>
        <w:spacing w:after="240" w:before="120" w:line="360" w:lineRule="auto"/>
        <w:jc w:val="left"/>
      </w:pPr>
      <w:r>
        <w:rPr>
          <w:rFonts w:ascii="Times New Roman" w:hAnsi="Times New Roman" w:eastAsia="Times New Roman"/>
          <w:b/>
          <w:color w:val="000000"/>
          <w:sz w:val="28"/>
        </w:rPr>
        <w:t>3.4 Model Selection</w:t>
      </w:r>
    </w:p>
    <w:p>
      <w:pPr>
        <w:spacing w:after="240" w:before="0" w:line="360" w:lineRule="auto"/>
        <w:jc w:val="both"/>
      </w:pPr>
      <w:r>
        <w:rPr>
          <w:rFonts w:ascii="Times New Roman" w:hAnsi="Times New Roman" w:eastAsia="Times New Roman"/>
          <w:b w:val="0"/>
          <w:i w:val="0"/>
          <w:color w:val="000000"/>
          <w:sz w:val="24"/>
        </w:rPr>
        <w:t>Three models from different families are compared: a tuned gradient boosting model (CatBoost) and two tabular foundation models that predict without training (TabPFN and TabFM).</w:t>
      </w:r>
    </w:p>
    <w:p>
      <w:pPr>
        <w:pStyle w:val="Heading3"/>
        <w:keepNext/>
        <w:spacing w:after="240" w:before="120" w:line="360" w:lineRule="auto"/>
        <w:jc w:val="left"/>
      </w:pPr>
      <w:r>
        <w:rPr>
          <w:rFonts w:ascii="Times New Roman" w:hAnsi="Times New Roman" w:eastAsia="Times New Roman"/>
          <w:b/>
          <w:color w:val="000000"/>
          <w:sz w:val="24"/>
        </w:rPr>
        <w:t>3.4.1 CatBoost</w:t>
      </w:r>
    </w:p>
    <w:p>
      <w:pPr>
        <w:keepNext/>
        <w:spacing w:after="120" w:before="0" w:line="240" w:lineRule="auto"/>
        <w:jc w:val="center"/>
      </w:pPr>
      <w:r>
        <w:drawing>
          <wp:inline xmlns:a="http://schemas.openxmlformats.org/drawingml/2006/main" xmlns:pic="http://schemas.openxmlformats.org/drawingml/2006/picture">
            <wp:extent cx="5733288" cy="2738965"/>
            <wp:docPr id="4" name="Picture 4"/>
            <wp:cNvGraphicFramePr>
              <a:graphicFrameLocks noChangeAspect="1"/>
            </wp:cNvGraphicFramePr>
            <a:graphic>
              <a:graphicData uri="http://schemas.openxmlformats.org/drawingml/2006/picture">
                <pic:pic>
                  <pic:nvPicPr>
                    <pic:cNvPr id="0" name="fig_3_3_catboost.png"/>
                    <pic:cNvPicPr/>
                  </pic:nvPicPr>
                  <pic:blipFill>
                    <a:blip r:embed="rId14"/>
                    <a:stretch>
                      <a:fillRect/>
                    </a:stretch>
                  </pic:blipFill>
                  <pic:spPr>
                    <a:xfrm>
                      <a:off x="0" y="0"/>
                      <a:ext cx="5733288" cy="2738965"/>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3.3:</w:t>
      </w:r>
      <w:r>
        <w:rPr>
          <w:rFonts w:ascii="Times New Roman" w:hAnsi="Times New Roman" w:eastAsia="Times New Roman"/>
          <w:b w:val="0"/>
          <w:i w:val="0"/>
          <w:color w:val="000000"/>
          <w:sz w:val="24"/>
        </w:rPr>
        <w:t xml:space="preserve"> CatBoost model (gradient boosted symmetric trees)</w:t>
      </w:r>
    </w:p>
    <w:p>
      <w:pPr>
        <w:spacing w:after="240" w:before="0" w:line="360" w:lineRule="auto"/>
        <w:jc w:val="both"/>
      </w:pPr>
      <w:r>
        <w:rPr>
          <w:rFonts w:ascii="Times New Roman" w:hAnsi="Times New Roman" w:eastAsia="Times New Roman"/>
          <w:b w:val="0"/>
          <w:i w:val="0"/>
          <w:color w:val="000000"/>
          <w:sz w:val="24"/>
        </w:rPr>
        <w:t xml:space="preserve">CatBoost builds many small decision trees one after another, and each new tree </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trained to correct the mistakes of the ensemble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t-1</w:t>
      </w:r>
      <w:r>
        <w:rPr>
          <w:rFonts w:ascii="Times New Roman" w:hAnsi="Times New Roman" w:eastAsia="Times New Roman"/>
          <w:b w:val="0"/>
          <w:i w:val="0"/>
          <w:color w:val="000000"/>
          <w:sz w:val="24"/>
        </w:rPr>
        <w:t xml:space="preserve"> built so far, by minimising</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2782824" cy="472440"/>
                  <wp:docPr id="5" name="Picture 5"/>
                  <wp:cNvGraphicFramePr>
                    <a:graphicFrameLocks noChangeAspect="1"/>
                  </wp:cNvGraphicFramePr>
                  <a:graphic>
                    <a:graphicData uri="http://schemas.openxmlformats.org/drawingml/2006/picture">
                      <pic:pic>
                        <pic:nvPicPr>
                          <pic:cNvPr id="0" name="eq_1.png"/>
                          <pic:cNvPicPr/>
                        </pic:nvPicPr>
                        <pic:blipFill>
                          <a:blip r:embed="rId15"/>
                          <a:stretch>
                            <a:fillRect/>
                          </a:stretch>
                        </pic:blipFill>
                        <pic:spPr>
                          <a:xfrm>
                            <a:off x="0" y="0"/>
                            <a:ext cx="2782824" cy="47244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l is the multi-class cross-entropy loss, </w:t>
      </w:r>
      <w:r>
        <w:rPr>
          <w:rFonts w:ascii="Times New Roman" w:hAnsi="Times New Roman" w:eastAsia="Times New Roman"/>
          <w:b w:val="0"/>
          <w:i w:val="0"/>
          <w:color w:val="000000"/>
          <w:sz w:val="24"/>
        </w:rPr>
        <w:t>y</w:t>
      </w:r>
      <w:r>
        <w:rPr>
          <w:rFonts w:ascii="Times New Roman" w:hAnsi="Times New Roman" w:eastAsia="Times New Roman"/>
          <w:b w:val="0"/>
          <w:i w:val="0"/>
          <w:color w:val="000000"/>
          <w:sz w:val="24"/>
          <w:vertAlign w:val="subscript"/>
        </w:rPr>
        <w:t>i</w:t>
      </w:r>
      <w:r>
        <w:rPr>
          <w:rFonts w:ascii="Times New Roman" w:hAnsi="Times New Roman" w:eastAsia="Times New Roman"/>
          <w:b w:val="0"/>
          <w:i w:val="0"/>
          <w:color w:val="000000"/>
          <w:sz w:val="24"/>
        </w:rPr>
        <w:t xml:space="preserve"> is the true tier of record i, and Ω(</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a penalty on the complexity of the new tree, which limits overfitting. All trees are symmetric, meaning that one split is used for a whole level of the tree, which makes the model fast and hard to overfit. The tree outputs are added to give one score </w:t>
      </w:r>
      <w:r>
        <w:rPr>
          <w:rFonts w:ascii="Times New Roman" w:hAnsi="Times New Roman" w:eastAsia="Times New Roman"/>
          <w:b w:val="0"/>
          <w:i w:val="0"/>
          <w:color w:val="000000"/>
          <w:sz w:val="24"/>
        </w:rPr>
        <w:t>s</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for each risk tier k, and a softmax turns the three scores into probabilities: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261872" cy="539496"/>
                  <wp:docPr id="6" name="Picture 6"/>
                  <wp:cNvGraphicFramePr>
                    <a:graphicFrameLocks noChangeAspect="1"/>
                  </wp:cNvGraphicFramePr>
                  <a:graphic>
                    <a:graphicData uri="http://schemas.openxmlformats.org/drawingml/2006/picture">
                      <pic:pic>
                        <pic:nvPicPr>
                          <pic:cNvPr id="0" name="eq_2.png"/>
                          <pic:cNvPicPr/>
                        </pic:nvPicPr>
                        <pic:blipFill>
                          <a:blip r:embed="rId16"/>
                          <a:stretch>
                            <a:fillRect/>
                          </a:stretch>
                        </pic:blipFill>
                        <pic:spPr>
                          <a:xfrm>
                            <a:off x="0" y="0"/>
                            <a:ext cx="1261872" cy="539496"/>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Categorical answers are encoded using only earlier rows, which avoids target leakage (Prokhorenkova et al., 2018). CatBoost is the only model that will be trained and tuned on the hair fall data. Its tuning will be a grid search over tree depth and learning rate, scored by macro-F1 with 5-fold cross-validation on the training rows only, so that the test set stays untouched. The two foundation models will not be tuned.</w:t>
      </w:r>
    </w:p>
    <w:p>
      <w:pPr>
        <w:pStyle w:val="Heading3"/>
        <w:keepNext/>
        <w:spacing w:after="240" w:before="120" w:line="360" w:lineRule="auto"/>
        <w:jc w:val="left"/>
      </w:pPr>
      <w:r>
        <w:rPr>
          <w:rFonts w:ascii="Times New Roman" w:hAnsi="Times New Roman" w:eastAsia="Times New Roman"/>
          <w:b/>
          <w:color w:val="000000"/>
          <w:sz w:val="24"/>
        </w:rPr>
        <w:t>3.4.2 TabPFN</w:t>
      </w:r>
    </w:p>
    <w:p>
      <w:pPr>
        <w:keepNext/>
        <w:spacing w:after="120" w:before="0" w:line="240" w:lineRule="auto"/>
        <w:jc w:val="center"/>
      </w:pPr>
      <w:r>
        <w:drawing>
          <wp:inline xmlns:a="http://schemas.openxmlformats.org/drawingml/2006/main" xmlns:pic="http://schemas.openxmlformats.org/drawingml/2006/picture">
            <wp:extent cx="5733288" cy="2833412"/>
            <wp:docPr id="7" name="Picture 7"/>
            <wp:cNvGraphicFramePr>
              <a:graphicFrameLocks noChangeAspect="1"/>
            </wp:cNvGraphicFramePr>
            <a:graphic>
              <a:graphicData uri="http://schemas.openxmlformats.org/drawingml/2006/picture">
                <pic:pic>
                  <pic:nvPicPr>
                    <pic:cNvPr id="0" name="fig_3_4_tabpfn.png"/>
                    <pic:cNvPicPr/>
                  </pic:nvPicPr>
                  <pic:blipFill>
                    <a:blip r:embed="rId17"/>
                    <a:stretch>
                      <a:fillRect/>
                    </a:stretch>
                  </pic:blipFill>
                  <pic:spPr>
                    <a:xfrm>
                      <a:off x="0" y="0"/>
                      <a:ext cx="5733288" cy="2833412"/>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3.4:</w:t>
      </w:r>
      <w:r>
        <w:rPr>
          <w:rFonts w:ascii="Times New Roman" w:hAnsi="Times New Roman" w:eastAsia="Times New Roman"/>
          <w:b w:val="0"/>
          <w:i w:val="0"/>
          <w:color w:val="000000"/>
          <w:sz w:val="24"/>
        </w:rPr>
        <w:t xml:space="preserve"> TabPFN model (in-context learning)</w:t>
      </w:r>
    </w:p>
    <w:p>
      <w:pPr>
        <w:spacing w:after="240" w:before="0" w:line="360" w:lineRule="auto"/>
        <w:jc w:val="both"/>
      </w:pPr>
      <w:r>
        <w:rPr>
          <w:rFonts w:ascii="Times New Roman" w:hAnsi="Times New Roman" w:eastAsia="Times New Roman"/>
          <w:b w:val="0"/>
          <w:i w:val="0"/>
          <w:color w:val="000000"/>
          <w:sz w:val="24"/>
        </w:rPr>
        <w:t>TabPFN is a transformer that was trained beforehand on millions of synthetic tables (Hollmann et al., 2025). To predict, it receives the training rows together with their known risk tiers and the patient to be predicted. Every value is turned into a vector, and attention layers let the model relate the features of a row and relate the patient to the training rows. The class probabilities are produced in a single forward pass: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2343912" cy="246888"/>
                  <wp:docPr id="8" name="Picture 8"/>
                  <wp:cNvGraphicFramePr>
                    <a:graphicFrameLocks noChangeAspect="1"/>
                  </wp:cNvGraphicFramePr>
                  <a:graphic>
                    <a:graphicData uri="http://schemas.openxmlformats.org/drawingml/2006/picture">
                      <pic:pic>
                        <pic:nvPicPr>
                          <pic:cNvPr id="0" name="eq_3.png"/>
                          <pic:cNvPicPr/>
                        </pic:nvPicPr>
                        <pic:blipFill>
                          <a:blip r:embed="rId18"/>
                          <a:stretch>
                            <a:fillRect/>
                          </a:stretch>
                        </pic:blipFill>
                        <pic:spPr>
                          <a:xfrm>
                            <a:off x="0" y="0"/>
                            <a:ext cx="2343912" cy="246888"/>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w:t>
      </w:r>
      <w:r>
        <w:rPr>
          <w:rFonts w:ascii="Times New Roman" w:hAnsi="Times New Roman" w:eastAsia="Times New Roman"/>
          <w:b w:val="0"/>
          <w:i w:val="0"/>
          <w:color w:val="000000"/>
          <w:sz w:val="24"/>
        </w:rPr>
        <w:t>D</w:t>
      </w:r>
      <w:r>
        <w:rPr>
          <w:rFonts w:ascii="Times New Roman" w:hAnsi="Times New Roman" w:eastAsia="Times New Roman"/>
          <w:b w:val="0"/>
          <w:i w:val="0"/>
          <w:color w:val="000000"/>
          <w:sz w:val="24"/>
          <w:vertAlign w:val="subscript"/>
        </w:rPr>
        <w:t>train</w:t>
      </w:r>
      <w:r>
        <w:rPr>
          <w:rFonts w:ascii="Times New Roman" w:hAnsi="Times New Roman" w:eastAsia="Times New Roman"/>
          <w:b w:val="0"/>
          <w:i w:val="0"/>
          <w:color w:val="000000"/>
          <w:sz w:val="24"/>
        </w:rPr>
        <w:t xml:space="preserve"> is the set of training rows with their tiers and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 xml:space="preserve"> is the pretrained network with fixed weights θ. No weights are changed, so nothing is trained on the hair fall data. TabFM works in the same way, with its own network in place of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w:t>
      </w:r>
    </w:p>
    <w:p>
      <w:pPr>
        <w:pStyle w:val="Heading3"/>
        <w:keepNext/>
        <w:spacing w:after="240" w:before="120" w:line="360" w:lineRule="auto"/>
        <w:jc w:val="left"/>
      </w:pPr>
      <w:r>
        <w:rPr>
          <w:rFonts w:ascii="Times New Roman" w:hAnsi="Times New Roman" w:eastAsia="Times New Roman"/>
          <w:b/>
          <w:color w:val="000000"/>
          <w:sz w:val="24"/>
        </w:rPr>
        <w:t>3.4.3 TabFM</w:t>
      </w:r>
    </w:p>
    <w:p>
      <w:pPr>
        <w:keepNext/>
        <w:spacing w:after="120" w:before="0" w:line="240" w:lineRule="auto"/>
        <w:jc w:val="center"/>
      </w:pPr>
      <w:r>
        <w:drawing>
          <wp:inline xmlns:a="http://schemas.openxmlformats.org/drawingml/2006/main" xmlns:pic="http://schemas.openxmlformats.org/drawingml/2006/picture">
            <wp:extent cx="5733288" cy="2833412"/>
            <wp:docPr id="9" name="Picture 9"/>
            <wp:cNvGraphicFramePr>
              <a:graphicFrameLocks noChangeAspect="1"/>
            </wp:cNvGraphicFramePr>
            <a:graphic>
              <a:graphicData uri="http://schemas.openxmlformats.org/drawingml/2006/picture">
                <pic:pic>
                  <pic:nvPicPr>
                    <pic:cNvPr id="0" name="fig_3_5_tabfm.png"/>
                    <pic:cNvPicPr/>
                  </pic:nvPicPr>
                  <pic:blipFill>
                    <a:blip r:embed="rId19"/>
                    <a:stretch>
                      <a:fillRect/>
                    </a:stretch>
                  </pic:blipFill>
                  <pic:spPr>
                    <a:xfrm>
                      <a:off x="0" y="0"/>
                      <a:ext cx="5733288" cy="2833412"/>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3.5:</w:t>
      </w:r>
      <w:r>
        <w:rPr>
          <w:rFonts w:ascii="Times New Roman" w:hAnsi="Times New Roman" w:eastAsia="Times New Roman"/>
          <w:b w:val="0"/>
          <w:i w:val="0"/>
          <w:color w:val="000000"/>
          <w:sz w:val="24"/>
        </w:rPr>
        <w:t xml:space="preserve"> TabFM model (zero-shot tabular foundation model)</w:t>
      </w:r>
    </w:p>
    <w:p>
      <w:pPr>
        <w:spacing w:after="240" w:before="0" w:line="360" w:lineRule="auto"/>
        <w:jc w:val="both"/>
      </w:pPr>
      <w:r>
        <w:rPr>
          <w:rFonts w:ascii="Times New Roman" w:hAnsi="Times New Roman" w:eastAsia="Times New Roman"/>
          <w:b w:val="0"/>
          <w:i w:val="0"/>
          <w:color w:val="000000"/>
          <w:sz w:val="24"/>
        </w:rPr>
        <w:t>TabFM is a model of about 400 million parameters developed by Google Research and pretrained on synthetic tables (Kong et al., 2026). Like TabPFN, it takes the training rows as context and predicts in one forward pass without tuning. Its table encoder alternates attention along columns and along rows, and an in-context transformer then combines the context rows with the query rows to give the class probabilities. It was published in 2026 and has been tested by others only on general benchmarks (Pandey, 2026), so how it behaves on real health data is one of the open questions of this study.</w:t>
      </w:r>
    </w:p>
    <w:p>
      <w:pPr>
        <w:pStyle w:val="Heading2"/>
        <w:keepNext/>
        <w:spacing w:after="240" w:before="120" w:line="360" w:lineRule="auto"/>
        <w:jc w:val="left"/>
      </w:pPr>
      <w:r>
        <w:rPr>
          <w:rFonts w:ascii="Times New Roman" w:hAnsi="Times New Roman" w:eastAsia="Times New Roman"/>
          <w:b/>
          <w:color w:val="000000"/>
          <w:sz w:val="28"/>
        </w:rPr>
        <w:t>3.5 Explainability with SHAP</w:t>
      </w:r>
    </w:p>
    <w:p>
      <w:pPr>
        <w:keepNext/>
        <w:spacing w:after="120" w:before="0" w:line="240" w:lineRule="auto"/>
        <w:jc w:val="center"/>
      </w:pPr>
      <w:r>
        <w:drawing>
          <wp:inline xmlns:a="http://schemas.openxmlformats.org/drawingml/2006/main" xmlns:pic="http://schemas.openxmlformats.org/drawingml/2006/picture">
            <wp:extent cx="5733288" cy="2581121"/>
            <wp:docPr id="10" name="Picture 10"/>
            <wp:cNvGraphicFramePr>
              <a:graphicFrameLocks noChangeAspect="1"/>
            </wp:cNvGraphicFramePr>
            <a:graphic>
              <a:graphicData uri="http://schemas.openxmlformats.org/drawingml/2006/picture">
                <pic:pic>
                  <pic:nvPicPr>
                    <pic:cNvPr id="0" name="fig_3_6_shap.png"/>
                    <pic:cNvPicPr/>
                  </pic:nvPicPr>
                  <pic:blipFill>
                    <a:blip r:embed="rId20"/>
                    <a:stretch>
                      <a:fillRect/>
                    </a:stretch>
                  </pic:blipFill>
                  <pic:spPr>
                    <a:xfrm>
                      <a:off x="0" y="0"/>
                      <a:ext cx="5733288" cy="2581121"/>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3.6:</w:t>
      </w:r>
      <w:r>
        <w:rPr>
          <w:rFonts w:ascii="Times New Roman" w:hAnsi="Times New Roman" w:eastAsia="Times New Roman"/>
          <w:b w:val="0"/>
          <w:i w:val="0"/>
          <w:color w:val="000000"/>
          <w:sz w:val="24"/>
        </w:rPr>
        <w:t xml:space="preserve"> SHAP explainability workflow</w:t>
      </w:r>
    </w:p>
    <w:p>
      <w:pPr>
        <w:spacing w:after="240" w:before="0" w:line="360" w:lineRule="auto"/>
        <w:jc w:val="both"/>
      </w:pPr>
      <w:r>
        <w:rPr>
          <w:rFonts w:ascii="Times New Roman" w:hAnsi="Times New Roman" w:eastAsia="Times New Roman"/>
          <w:b w:val="0"/>
          <w:i w:val="0"/>
          <w:color w:val="000000"/>
          <w:sz w:val="24"/>
        </w:rPr>
        <w:t>SHAP splits a prediction into one contribution per feature, based on Shapley values from game theory (Lundberg &amp; Lee, 2017). The contributions add up to the difference between the model's output and its average output:</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243584" cy="527304"/>
                  <wp:docPr id="11" name="Picture 11"/>
                  <wp:cNvGraphicFramePr>
                    <a:graphicFrameLocks noChangeAspect="1"/>
                  </wp:cNvGraphicFramePr>
                  <a:graphic>
                    <a:graphicData uri="http://schemas.openxmlformats.org/drawingml/2006/picture">
                      <pic:pic>
                        <pic:nvPicPr>
                          <pic:cNvPr id="0" name="eq_4.png"/>
                          <pic:cNvPicPr/>
                        </pic:nvPicPr>
                        <pic:blipFill>
                          <a:blip r:embed="rId21"/>
                          <a:stretch>
                            <a:fillRect/>
                          </a:stretch>
                        </pic:blipFill>
                        <pic:spPr>
                          <a:xfrm>
                            <a:off x="0" y="0"/>
                            <a:ext cx="1243584" cy="527304"/>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(iv)</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where f(x) is the model output for a patient x, φ₀ is the average prediction and φ_j is the contribution of feature j (for example iron or stress_level) to the predicted risk tier.</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CatBoost:</w:t>
      </w:r>
      <w:r>
        <w:rPr>
          <w:rFonts w:ascii="Times New Roman" w:hAnsi="Times New Roman" w:eastAsia="Times New Roman"/>
          <w:b w:val="0"/>
          <w:i w:val="0"/>
          <w:color w:val="000000"/>
          <w:sz w:val="24"/>
        </w:rPr>
        <w:t xml:space="preserve"> TreeExplainer, which uses the tree structure to compute exact values, will be applied to a sample of 1,000 test records.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TabPFN and TabFM:</w:t>
      </w:r>
      <w:r>
        <w:rPr>
          <w:rFonts w:ascii="Times New Roman" w:hAnsi="Times New Roman" w:eastAsia="Times New Roman"/>
          <w:b w:val="0"/>
          <w:i w:val="0"/>
          <w:color w:val="000000"/>
          <w:sz w:val="24"/>
        </w:rPr>
        <w:t xml:space="preserve"> KernelExplainer, which estimates the values by repeatedly changing the inputs and predicting again. Because every repeat is a full forward pass of a large model, it will be applied to a small sample of test records (a few tens) with a small k-means background set.</w:t>
      </w:r>
    </w:p>
    <w:p>
      <w:pPr>
        <w:spacing w:after="240" w:before="0" w:line="360" w:lineRule="auto"/>
        <w:jc w:val="both"/>
      </w:pPr>
      <w:r>
        <w:rPr>
          <w:rFonts w:ascii="Times New Roman" w:hAnsi="Times New Roman" w:eastAsia="Times New Roman"/>
          <w:b w:val="0"/>
          <w:i w:val="0"/>
          <w:color w:val="000000"/>
          <w:sz w:val="24"/>
        </w:rPr>
        <w:t>The results will be a global ranking of the features (which matter most overall) and per-patient explanations (why this person received this tier). The rankings of the three models will be compared with each other and with the known biology from Chapter 2.</w:t>
      </w:r>
    </w:p>
    <w:p>
      <w:pPr>
        <w:pStyle w:val="Heading2"/>
        <w:keepNext/>
        <w:spacing w:after="240" w:before="120" w:line="360" w:lineRule="auto"/>
        <w:jc w:val="left"/>
      </w:pPr>
      <w:r>
        <w:rPr>
          <w:rFonts w:ascii="Times New Roman" w:hAnsi="Times New Roman" w:eastAsia="Times New Roman"/>
          <w:b/>
          <w:color w:val="000000"/>
          <w:sz w:val="28"/>
        </w:rPr>
        <w:t>3.6 Tools and Technologies</w:t>
      </w:r>
    </w:p>
    <w:p>
      <w:pPr>
        <w:keepNext/>
        <w:spacing w:after="120" w:before="0" w:line="360" w:lineRule="auto"/>
        <w:jc w:val="left"/>
      </w:pPr>
      <w:r>
        <w:rPr>
          <w:rFonts w:ascii="Times New Roman" w:hAnsi="Times New Roman" w:eastAsia="Times New Roman"/>
          <w:b/>
          <w:i w:val="0"/>
          <w:color w:val="000000"/>
          <w:sz w:val="24"/>
        </w:rPr>
        <w:t>Table 3.5:</w:t>
      </w:r>
      <w:r>
        <w:rPr>
          <w:rFonts w:ascii="Times New Roman" w:hAnsi="Times New Roman" w:eastAsia="Times New Roman"/>
          <w:b w:val="0"/>
          <w:i w:val="0"/>
          <w:color w:val="000000"/>
          <w:sz w:val="24"/>
        </w:rPr>
        <w:t xml:space="preserve"> Software tools</w:t>
      </w:r>
    </w:p>
    <w:tbl>
      <w:tblPr>
        <w:tblStyle w:val="TableGrid"/>
        <w:tblW w:type="auto" w:w="0"/>
        <w:jc w:val="center"/>
        <w:tblLayout w:type="fixed"/>
        <w:tblLook w:firstColumn="1" w:firstRow="1" w:lastColumn="0" w:lastRow="0" w:noHBand="0" w:noVBand="1" w:val="04A0"/>
      </w:tblPr>
      <w:tblGrid>
        <w:gridCol w:w="3574"/>
        <w:gridCol w:w="3762"/>
        <w:gridCol w:w="1693"/>
      </w:tblGrid>
      <w:tr>
        <w:trPr>
          <w:cantSplit/>
          <w:tblHeader/>
        </w:trPr>
        <w:tc>
          <w:tcPr>
            <w:tcW w:type="dxa" w:w="3574"/>
            <w:shd w:val="clear" w:color="auto" w:fill="E7E6E6"/>
          </w:tcPr>
          <w:p>
            <w:pPr>
              <w:spacing w:after="40" w:before="40" w:line="240" w:lineRule="auto"/>
              <w:jc w:val="left"/>
            </w:pPr>
            <w:r>
              <w:rPr>
                <w:rFonts w:ascii="Times New Roman" w:hAnsi="Times New Roman" w:eastAsia="Times New Roman"/>
                <w:b/>
                <w:i w:val="0"/>
                <w:color w:val="000000"/>
                <w:sz w:val="24"/>
              </w:rPr>
              <w:t>Purpose</w:t>
            </w:r>
          </w:p>
        </w:tc>
        <w:tc>
          <w:tcPr>
            <w:tcW w:type="dxa" w:w="3762"/>
            <w:shd w:val="clear" w:color="auto" w:fill="E7E6E6"/>
          </w:tcPr>
          <w:p>
            <w:pPr>
              <w:spacing w:after="40" w:before="40" w:line="240" w:lineRule="auto"/>
              <w:jc w:val="left"/>
            </w:pPr>
            <w:r>
              <w:rPr>
                <w:rFonts w:ascii="Times New Roman" w:hAnsi="Times New Roman" w:eastAsia="Times New Roman"/>
                <w:b/>
                <w:i w:val="0"/>
                <w:color w:val="000000"/>
                <w:sz w:val="24"/>
              </w:rPr>
              <w:t>Tool</w:t>
            </w:r>
          </w:p>
        </w:tc>
        <w:tc>
          <w:tcPr>
            <w:tcW w:type="dxa" w:w="1693"/>
            <w:shd w:val="clear" w:color="auto" w:fill="E7E6E6"/>
          </w:tcPr>
          <w:p>
            <w:pPr>
              <w:spacing w:after="40" w:before="40" w:line="240" w:lineRule="auto"/>
              <w:jc w:val="left"/>
            </w:pPr>
            <w:r>
              <w:rPr>
                <w:rFonts w:ascii="Times New Roman" w:hAnsi="Times New Roman" w:eastAsia="Times New Roman"/>
                <w:b/>
                <w:i w:val="0"/>
                <w:color w:val="000000"/>
                <w:sz w:val="24"/>
              </w:rPr>
              <w:t>Version</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Language</w:t>
            </w:r>
          </w:p>
        </w:tc>
        <w:tc>
          <w:tcPr>
            <w:tcW w:type="dxa" w:w="3762"/>
          </w:tcPr>
          <w:p>
            <w:pPr>
              <w:spacing w:after="40" w:before="40" w:line="240" w:lineRule="auto"/>
              <w:jc w:val="left"/>
            </w:pPr>
            <w:r>
              <w:rPr>
                <w:rFonts w:ascii="Times New Roman" w:hAnsi="Times New Roman" w:eastAsia="Times New Roman"/>
                <w:b w:val="0"/>
                <w:i w:val="0"/>
                <w:color w:val="000000"/>
                <w:sz w:val="24"/>
              </w:rPr>
              <w:t>Python</w:t>
            </w:r>
          </w:p>
        </w:tc>
        <w:tc>
          <w:tcPr>
            <w:tcW w:type="dxa" w:w="1693"/>
          </w:tcPr>
          <w:p>
            <w:pPr>
              <w:spacing w:after="40" w:before="40" w:line="240" w:lineRule="auto"/>
              <w:jc w:val="left"/>
            </w:pPr>
            <w:r>
              <w:rPr>
                <w:rFonts w:ascii="Times New Roman" w:hAnsi="Times New Roman" w:eastAsia="Times New Roman"/>
                <w:b w:val="0"/>
                <w:i w:val="0"/>
                <w:color w:val="000000"/>
                <w:sz w:val="24"/>
              </w:rPr>
              <w:t>3.12.14</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Data handling</w:t>
            </w:r>
          </w:p>
        </w:tc>
        <w:tc>
          <w:tcPr>
            <w:tcW w:type="dxa" w:w="3762"/>
          </w:tcPr>
          <w:p>
            <w:pPr>
              <w:spacing w:after="40" w:before="40" w:line="240" w:lineRule="auto"/>
              <w:jc w:val="left"/>
            </w:pPr>
            <w:r>
              <w:rPr>
                <w:rFonts w:ascii="Times New Roman" w:hAnsi="Times New Roman" w:eastAsia="Times New Roman"/>
                <w:b w:val="0"/>
                <w:i w:val="0"/>
                <w:color w:val="000000"/>
                <w:sz w:val="24"/>
              </w:rPr>
              <w:t>pandas, NumPy</w:t>
            </w:r>
          </w:p>
        </w:tc>
        <w:tc>
          <w:tcPr>
            <w:tcW w:type="dxa" w:w="1693"/>
          </w:tcPr>
          <w:p>
            <w:pPr>
              <w:spacing w:after="40" w:before="40" w:line="240" w:lineRule="auto"/>
              <w:jc w:val="left"/>
            </w:pPr>
            <w:r>
              <w:rPr>
                <w:rFonts w:ascii="Times New Roman" w:hAnsi="Times New Roman" w:eastAsia="Times New Roman"/>
                <w:b w:val="0"/>
                <w:i w:val="0"/>
                <w:color w:val="000000"/>
                <w:sz w:val="24"/>
              </w:rPr>
              <w:t>3.0.6, 2.5.3</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Split, metrics, cross-validation</w:t>
            </w:r>
          </w:p>
        </w:tc>
        <w:tc>
          <w:tcPr>
            <w:tcW w:type="dxa" w:w="3762"/>
          </w:tcPr>
          <w:p>
            <w:pPr>
              <w:spacing w:after="40" w:before="40" w:line="240" w:lineRule="auto"/>
              <w:jc w:val="left"/>
            </w:pPr>
            <w:r>
              <w:rPr>
                <w:rFonts w:ascii="Times New Roman" w:hAnsi="Times New Roman" w:eastAsia="Times New Roman"/>
                <w:b w:val="0"/>
                <w:i w:val="0"/>
                <w:color w:val="000000"/>
                <w:sz w:val="24"/>
              </w:rPr>
              <w:t>scikit-learn</w:t>
            </w:r>
          </w:p>
        </w:tc>
        <w:tc>
          <w:tcPr>
            <w:tcW w:type="dxa" w:w="1693"/>
          </w:tcPr>
          <w:p>
            <w:pPr>
              <w:spacing w:after="40" w:before="40" w:line="240" w:lineRule="auto"/>
              <w:jc w:val="left"/>
            </w:pPr>
            <w:r>
              <w:rPr>
                <w:rFonts w:ascii="Times New Roman" w:hAnsi="Times New Roman" w:eastAsia="Times New Roman"/>
                <w:b w:val="0"/>
                <w:i w:val="0"/>
                <w:color w:val="000000"/>
                <w:sz w:val="24"/>
              </w:rPr>
              <w:t>1.9.1</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Statistical tests</w:t>
            </w:r>
          </w:p>
        </w:tc>
        <w:tc>
          <w:tcPr>
            <w:tcW w:type="dxa" w:w="3762"/>
          </w:tcPr>
          <w:p>
            <w:pPr>
              <w:spacing w:after="40" w:before="40" w:line="240" w:lineRule="auto"/>
              <w:jc w:val="left"/>
            </w:pPr>
            <w:r>
              <w:rPr>
                <w:rFonts w:ascii="Times New Roman" w:hAnsi="Times New Roman" w:eastAsia="Times New Roman"/>
                <w:b w:val="0"/>
                <w:i w:val="0"/>
                <w:color w:val="000000"/>
                <w:sz w:val="24"/>
              </w:rPr>
              <w:t>statsmodels (McNemar's test, Wilson intervals)</w:t>
            </w:r>
          </w:p>
        </w:tc>
        <w:tc>
          <w:tcPr>
            <w:tcW w:type="dxa" w:w="1693"/>
          </w:tcPr>
          <w:p>
            <w:pPr>
              <w:spacing w:after="40" w:before="40" w:line="240" w:lineRule="auto"/>
              <w:jc w:val="left"/>
            </w:pPr>
            <w:r>
              <w:rPr>
                <w:rFonts w:ascii="Times New Roman" w:hAnsi="Times New Roman" w:eastAsia="Times New Roman"/>
                <w:b w:val="0"/>
                <w:i w:val="0"/>
                <w:color w:val="000000"/>
                <w:sz w:val="24"/>
              </w:rPr>
              <w:t>0.15.0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Gradient boosting model</w:t>
            </w:r>
          </w:p>
        </w:tc>
        <w:tc>
          <w:tcPr>
            <w:tcW w:type="dxa" w:w="3762"/>
          </w:tcPr>
          <w:p>
            <w:pPr>
              <w:spacing w:after="40" w:before="40" w:line="240" w:lineRule="auto"/>
              <w:jc w:val="left"/>
            </w:pPr>
            <w:r>
              <w:rPr>
                <w:rFonts w:ascii="Times New Roman" w:hAnsi="Times New Roman" w:eastAsia="Times New Roman"/>
                <w:b w:val="0"/>
                <w:i w:val="0"/>
                <w:color w:val="000000"/>
                <w:sz w:val="24"/>
              </w:rPr>
              <w:t>CatBoost</w:t>
            </w:r>
          </w:p>
        </w:tc>
        <w:tc>
          <w:tcPr>
            <w:tcW w:type="dxa" w:w="1693"/>
          </w:tcPr>
          <w:p>
            <w:pPr>
              <w:spacing w:after="40" w:before="40" w:line="240" w:lineRule="auto"/>
              <w:jc w:val="left"/>
            </w:pPr>
            <w:r>
              <w:rPr>
                <w:rFonts w:ascii="Times New Roman" w:hAnsi="Times New Roman" w:eastAsia="Times New Roman"/>
                <w:b w:val="0"/>
                <w:i w:val="0"/>
                <w:color w:val="000000"/>
                <w:sz w:val="24"/>
              </w:rPr>
              <w:t>1.2.10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Foundation model 1</w:t>
            </w:r>
          </w:p>
        </w:tc>
        <w:tc>
          <w:tcPr>
            <w:tcW w:type="dxa" w:w="3762"/>
          </w:tcPr>
          <w:p>
            <w:pPr>
              <w:spacing w:after="40" w:before="40" w:line="240" w:lineRule="auto"/>
              <w:jc w:val="left"/>
            </w:pPr>
            <w:r>
              <w:rPr>
                <w:rFonts w:ascii="Times New Roman" w:hAnsi="Times New Roman" w:eastAsia="Times New Roman"/>
                <w:b w:val="0"/>
                <w:i w:val="0"/>
                <w:color w:val="000000"/>
                <w:sz w:val="24"/>
              </w:rPr>
              <w:t>TabPFN</w:t>
            </w:r>
          </w:p>
        </w:tc>
        <w:tc>
          <w:tcPr>
            <w:tcW w:type="dxa" w:w="1693"/>
          </w:tcPr>
          <w:p>
            <w:pPr>
              <w:spacing w:after="40" w:before="40" w:line="240" w:lineRule="auto"/>
              <w:jc w:val="left"/>
            </w:pPr>
            <w:r>
              <w:rPr>
                <w:rFonts w:ascii="Times New Roman" w:hAnsi="Times New Roman" w:eastAsia="Times New Roman"/>
                <w:b w:val="0"/>
                <w:i w:val="0"/>
                <w:color w:val="000000"/>
                <w:sz w:val="24"/>
              </w:rPr>
              <w:t>9.0.0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Foundation model 2</w:t>
            </w:r>
          </w:p>
        </w:tc>
        <w:tc>
          <w:tcPr>
            <w:tcW w:type="dxa" w:w="3762"/>
          </w:tcPr>
          <w:p>
            <w:pPr>
              <w:spacing w:after="40" w:before="40" w:line="240" w:lineRule="auto"/>
              <w:jc w:val="left"/>
            </w:pPr>
            <w:r>
              <w:rPr>
                <w:rFonts w:ascii="Times New Roman" w:hAnsi="Times New Roman" w:eastAsia="Times New Roman"/>
                <w:b w:val="0"/>
                <w:i w:val="0"/>
                <w:color w:val="000000"/>
                <w:sz w:val="24"/>
              </w:rPr>
              <w:t>TabFM (weights from Hugging Face: google/tabfm-1.0.0-pytorch)</w:t>
            </w:r>
          </w:p>
        </w:tc>
        <w:tc>
          <w:tcPr>
            <w:tcW w:type="dxa" w:w="1693"/>
          </w:tcPr>
          <w:p>
            <w:pPr>
              <w:spacing w:after="40" w:before="40" w:line="240" w:lineRule="auto"/>
              <w:jc w:val="left"/>
            </w:pPr>
            <w:r>
              <w:rPr>
                <w:rFonts w:ascii="Times New Roman" w:hAnsi="Times New Roman" w:eastAsia="Times New Roman"/>
                <w:b w:val="0"/>
                <w:i w:val="0"/>
                <w:color w:val="000000"/>
                <w:sz w:val="24"/>
              </w:rPr>
              <w:t>1.0.1</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Explainability</w:t>
            </w:r>
          </w:p>
        </w:tc>
        <w:tc>
          <w:tcPr>
            <w:tcW w:type="dxa" w:w="3762"/>
          </w:tcPr>
          <w:p>
            <w:pPr>
              <w:spacing w:after="40" w:before="40" w:line="240" w:lineRule="auto"/>
              <w:jc w:val="left"/>
            </w:pPr>
            <w:r>
              <w:rPr>
                <w:rFonts w:ascii="Times New Roman" w:hAnsi="Times New Roman" w:eastAsia="Times New Roman"/>
                <w:b w:val="0"/>
                <w:i w:val="0"/>
                <w:color w:val="000000"/>
                <w:sz w:val="24"/>
              </w:rPr>
              <w:t>SHAP</w:t>
            </w:r>
          </w:p>
        </w:tc>
        <w:tc>
          <w:tcPr>
            <w:tcW w:type="dxa" w:w="1693"/>
          </w:tcPr>
          <w:p>
            <w:pPr>
              <w:spacing w:after="40" w:before="40" w:line="240" w:lineRule="auto"/>
              <w:jc w:val="left"/>
            </w:pPr>
            <w:r>
              <w:rPr>
                <w:rFonts w:ascii="Times New Roman" w:hAnsi="Times New Roman" w:eastAsia="Times New Roman"/>
                <w:b w:val="0"/>
                <w:i w:val="0"/>
                <w:color w:val="000000"/>
                <w:sz w:val="24"/>
              </w:rPr>
              <w:t>0.52.0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Deep learning backend</w:t>
            </w:r>
          </w:p>
        </w:tc>
        <w:tc>
          <w:tcPr>
            <w:tcW w:type="dxa" w:w="3762"/>
          </w:tcPr>
          <w:p>
            <w:pPr>
              <w:spacing w:after="40" w:before="40" w:line="240" w:lineRule="auto"/>
              <w:jc w:val="left"/>
            </w:pPr>
            <w:r>
              <w:rPr>
                <w:rFonts w:ascii="Times New Roman" w:hAnsi="Times New Roman" w:eastAsia="Times New Roman"/>
                <w:b w:val="0"/>
                <w:i w:val="0"/>
                <w:color w:val="000000"/>
                <w:sz w:val="24"/>
              </w:rPr>
              <w:t>PyTorch</w:t>
            </w:r>
          </w:p>
        </w:tc>
        <w:tc>
          <w:tcPr>
            <w:tcW w:type="dxa" w:w="1693"/>
          </w:tcPr>
          <w:p>
            <w:pPr>
              <w:spacing w:after="40" w:before="40" w:line="240" w:lineRule="auto"/>
              <w:jc w:val="left"/>
            </w:pPr>
            <w:r>
              <w:rPr>
                <w:rFonts w:ascii="Times New Roman" w:hAnsi="Times New Roman" w:eastAsia="Times New Roman"/>
                <w:b w:val="0"/>
                <w:i w:val="0"/>
                <w:color w:val="000000"/>
                <w:sz w:val="24"/>
              </w:rPr>
              <w:t>2.14.0</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Charts</w:t>
            </w:r>
          </w:p>
        </w:tc>
        <w:tc>
          <w:tcPr>
            <w:tcW w:type="dxa" w:w="3762"/>
          </w:tcPr>
          <w:p>
            <w:pPr>
              <w:spacing w:after="40" w:before="40" w:line="240" w:lineRule="auto"/>
              <w:jc w:val="left"/>
            </w:pPr>
            <w:r>
              <w:rPr>
                <w:rFonts w:ascii="Times New Roman" w:hAnsi="Times New Roman" w:eastAsia="Times New Roman"/>
                <w:b w:val="0"/>
                <w:i w:val="0"/>
                <w:color w:val="000000"/>
                <w:sz w:val="24"/>
              </w:rPr>
              <w:t>Matplotlib</w:t>
            </w:r>
          </w:p>
        </w:tc>
        <w:tc>
          <w:tcPr>
            <w:tcW w:type="dxa" w:w="1693"/>
          </w:tcPr>
          <w:p>
            <w:pPr>
              <w:spacing w:after="40" w:before="40" w:line="240" w:lineRule="auto"/>
              <w:jc w:val="left"/>
            </w:pPr>
            <w:r>
              <w:rPr>
                <w:rFonts w:ascii="Times New Roman" w:hAnsi="Times New Roman" w:eastAsia="Times New Roman"/>
                <w:b w:val="0"/>
                <w:i w:val="0"/>
                <w:color w:val="000000"/>
                <w:sz w:val="24"/>
              </w:rPr>
              <w:t>3.11.2</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Workflow</w:t>
            </w:r>
          </w:p>
        </w:tc>
        <w:tc>
          <w:tcPr>
            <w:tcW w:type="dxa" w:w="3762"/>
          </w:tcPr>
          <w:p>
            <w:pPr>
              <w:spacing w:after="40" w:before="40" w:line="240" w:lineRule="auto"/>
              <w:jc w:val="left"/>
            </w:pPr>
            <w:r>
              <w:rPr>
                <w:rFonts w:ascii="Times New Roman" w:hAnsi="Times New Roman" w:eastAsia="Times New Roman"/>
                <w:b w:val="0"/>
                <w:i w:val="0"/>
                <w:color w:val="000000"/>
                <w:sz w:val="24"/>
              </w:rPr>
              <w:t>Local lab application (notebook-style steps) with PostgreSQL and MinIO</w:t>
            </w:r>
          </w:p>
        </w:tc>
        <w:tc>
          <w:tcPr>
            <w:tcW w:type="dxa" w:w="1693"/>
          </w:tcPr>
          <w:p>
            <w:pPr>
              <w:spacing w:after="40" w:before="40" w:line="240" w:lineRule="auto"/>
              <w:jc w:val="left"/>
            </w:pPr>
            <w:r>
              <w:rPr>
                <w:rFonts w:ascii="Times New Roman" w:hAnsi="Times New Roman" w:eastAsia="Times New Roman"/>
                <w:b w:val="0"/>
                <w:i w:val="0"/>
                <w:color w:val="000000"/>
                <w:sz w:val="24"/>
              </w:rPr>
              <w:t>—</w:t>
            </w:r>
          </w:p>
        </w:tc>
      </w:tr>
      <w:tr>
        <w:trPr>
          <w:cantSplit/>
        </w:trPr>
        <w:tc>
          <w:tcPr>
            <w:tcW w:type="dxa" w:w="3574"/>
          </w:tcPr>
          <w:p>
            <w:pPr>
              <w:spacing w:after="40" w:before="40" w:line="240" w:lineRule="auto"/>
              <w:jc w:val="left"/>
            </w:pPr>
            <w:r>
              <w:rPr>
                <w:rFonts w:ascii="Times New Roman" w:hAnsi="Times New Roman" w:eastAsia="Times New Roman"/>
                <w:b w:val="0"/>
                <w:i w:val="0"/>
                <w:color w:val="000000"/>
                <w:sz w:val="24"/>
              </w:rPr>
              <w:t>GPU runs</w:t>
            </w:r>
          </w:p>
        </w:tc>
        <w:tc>
          <w:tcPr>
            <w:tcW w:type="dxa" w:w="3762"/>
          </w:tcPr>
          <w:p>
            <w:pPr>
              <w:spacing w:after="40" w:before="40" w:line="240" w:lineRule="auto"/>
              <w:jc w:val="left"/>
            </w:pPr>
            <w:r>
              <w:rPr>
                <w:rFonts w:ascii="Times New Roman" w:hAnsi="Times New Roman" w:eastAsia="Times New Roman"/>
                <w:b w:val="0"/>
                <w:i w:val="0"/>
                <w:color w:val="000000"/>
                <w:sz w:val="24"/>
              </w:rPr>
              <w:t>Kaggle notebooks</w:t>
            </w:r>
          </w:p>
        </w:tc>
        <w:tc>
          <w:tcPr>
            <w:tcW w:type="dxa" w:w="1693"/>
          </w:tcPr>
          <w:p>
            <w:pPr>
              <w:spacing w:after="40" w:before="40" w:line="240" w:lineRule="auto"/>
              <w:jc w:val="left"/>
            </w:pPr>
            <w:r>
              <w:rPr>
                <w:rFonts w:ascii="Times New Roman" w:hAnsi="Times New Roman" w:eastAsia="Times New Roman"/>
                <w:b w:val="0"/>
                <w:i w:val="0"/>
                <w:color w:val="000000"/>
                <w:sz w:val="24"/>
              </w:rPr>
              <w:t>—</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Package versions used on Kaggle are recorded at the start of each notebook and reported with the results.</w:t>
      </w:r>
    </w:p>
    <w:p>
      <w:pPr>
        <w:pStyle w:val="Heading2"/>
        <w:keepNext/>
        <w:spacing w:after="240" w:before="120" w:line="360" w:lineRule="auto"/>
        <w:jc w:val="left"/>
      </w:pPr>
      <w:r>
        <w:rPr>
          <w:rFonts w:ascii="Times New Roman" w:hAnsi="Times New Roman" w:eastAsia="Times New Roman"/>
          <w:b/>
          <w:color w:val="000000"/>
          <w:sz w:val="28"/>
        </w:rPr>
        <w:t>3.7 Experimental Environment</w:t>
      </w:r>
    </w:p>
    <w:p>
      <w:pPr>
        <w:spacing w:after="240" w:before="0" w:line="360" w:lineRule="auto"/>
        <w:jc w:val="both"/>
      </w:pPr>
      <w:r>
        <w:rPr>
          <w:rFonts w:ascii="Times New Roman" w:hAnsi="Times New Roman" w:eastAsia="Times New Roman"/>
          <w:b w:val="0"/>
          <w:i w:val="0"/>
          <w:color w:val="000000"/>
          <w:sz w:val="24"/>
        </w:rPr>
        <w:t>The work is divided between two environments (Figure 3.7).</w:t>
      </w:r>
    </w:p>
    <w:p>
      <w:pPr>
        <w:keepNext/>
        <w:spacing w:after="120" w:before="0" w:line="240" w:lineRule="auto"/>
        <w:jc w:val="center"/>
      </w:pPr>
      <w:r>
        <w:drawing>
          <wp:inline xmlns:a="http://schemas.openxmlformats.org/drawingml/2006/main" xmlns:pic="http://schemas.openxmlformats.org/drawingml/2006/picture">
            <wp:extent cx="5733288" cy="2392545"/>
            <wp:docPr id="12" name="Picture 12"/>
            <wp:cNvGraphicFramePr>
              <a:graphicFrameLocks noChangeAspect="1"/>
            </wp:cNvGraphicFramePr>
            <a:graphic>
              <a:graphicData uri="http://schemas.openxmlformats.org/drawingml/2006/picture">
                <pic:pic>
                  <pic:nvPicPr>
                    <pic:cNvPr id="0" name="fig_3_7_environment.png"/>
                    <pic:cNvPicPr/>
                  </pic:nvPicPr>
                  <pic:blipFill>
                    <a:blip r:embed="rId22"/>
                    <a:stretch>
                      <a:fillRect/>
                    </a:stretch>
                  </pic:blipFill>
                  <pic:spPr>
                    <a:xfrm>
                      <a:off x="0" y="0"/>
                      <a:ext cx="5733288" cy="2392545"/>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3.7:</w:t>
      </w:r>
      <w:r>
        <w:rPr>
          <w:rFonts w:ascii="Times New Roman" w:hAnsi="Times New Roman" w:eastAsia="Times New Roman"/>
          <w:b w:val="0"/>
          <w:i w:val="0"/>
          <w:color w:val="000000"/>
          <w:sz w:val="24"/>
        </w:rPr>
        <w:t xml:space="preserve"> Experimental environment</w:t>
      </w:r>
    </w:p>
    <w:p>
      <w:pPr>
        <w:spacing w:after="240" w:before="0" w:line="360" w:lineRule="auto"/>
        <w:jc w:val="both"/>
      </w:pPr>
      <w:r>
        <w:rPr>
          <w:rFonts w:ascii="Times New Roman" w:hAnsi="Times New Roman" w:eastAsia="Times New Roman"/>
          <w:b/>
          <w:i w:val="0"/>
          <w:color w:val="000000"/>
          <w:sz w:val="24"/>
        </w:rPr>
        <w:t>Local machine.</w:t>
      </w:r>
      <w:r>
        <w:rPr>
          <w:rFonts w:ascii="Times New Roman" w:hAnsi="Times New Roman" w:eastAsia="Times New Roman"/>
          <w:b w:val="0"/>
          <w:i w:val="0"/>
          <w:color w:val="000000"/>
          <w:sz w:val="24"/>
        </w:rPr>
        <w:t xml:space="preserve"> Data preparation and the split have already been done on an Apple-silicon Mac (macOS, 17.2 GB memory, Apple GPU) with Python 3.12, and CatBoost tuning and training, the statistical tests, and the result tables and figures will be run there as well. The steps are run one by one in a local lab application that stores the data in PostgreSQL and the outputs in MinIO, so every run is saved and can be reopened.</w:t>
      </w:r>
    </w:p>
    <w:p>
      <w:pPr>
        <w:spacing w:after="240" w:before="0" w:line="360" w:lineRule="auto"/>
        <w:jc w:val="both"/>
      </w:pPr>
      <w:r>
        <w:rPr>
          <w:rFonts w:ascii="Times New Roman" w:hAnsi="Times New Roman" w:eastAsia="Times New Roman"/>
          <w:b/>
          <w:i w:val="0"/>
          <w:color w:val="000000"/>
          <w:sz w:val="24"/>
        </w:rPr>
        <w:t>Kaggle notebooks.</w:t>
      </w:r>
      <w:r>
        <w:rPr>
          <w:rFonts w:ascii="Times New Roman" w:hAnsi="Times New Roman" w:eastAsia="Times New Roman"/>
          <w:b w:val="0"/>
          <w:i w:val="0"/>
          <w:color w:val="000000"/>
          <w:sz w:val="24"/>
        </w:rPr>
        <w:t xml:space="preserve"> TabFM and TabPFN need a GPU to make their predictions in reasonable time, and TabFM is the largest model (about 6.5 GB of weights). These runs will therefore be done in Kaggle notebooks, which offer more GPU capacity than Google Colab. The train and test files created on the local machine are uploaded to the notebook, and the metrics and predictions are downloaded back for comparison. SHAP for the two foundation models will also be run there.</w:t>
      </w:r>
    </w:p>
    <w:p>
      <w:pPr>
        <w:spacing w:after="240" w:before="0" w:line="360" w:lineRule="auto"/>
        <w:jc w:val="both"/>
      </w:pPr>
      <w:r>
        <w:rPr>
          <w:rFonts w:ascii="Times New Roman" w:hAnsi="Times New Roman" w:eastAsia="Times New Roman"/>
          <w:b w:val="0"/>
          <w:i w:val="0"/>
          <w:color w:val="000000"/>
          <w:sz w:val="24"/>
        </w:rPr>
        <w:t>To keep the comparison fair, all three models use the same split and the same random seed (42), and the environment of every session (Python, GPU, memory, package versions) is recorded and reported.</w:t>
      </w:r>
    </w:p>
    <w:p>
      <w:pPr>
        <w:pStyle w:val="Heading2"/>
        <w:keepNext/>
        <w:spacing w:after="240" w:before="120" w:line="360" w:lineRule="auto"/>
        <w:jc w:val="left"/>
      </w:pPr>
      <w:r>
        <w:rPr>
          <w:rFonts w:ascii="Times New Roman" w:hAnsi="Times New Roman" w:eastAsia="Times New Roman"/>
          <w:b/>
          <w:color w:val="000000"/>
          <w:sz w:val="28"/>
        </w:rPr>
        <w:t>3.8 Performance Evaluation Metrics</w:t>
      </w:r>
    </w:p>
    <w:p>
      <w:pPr>
        <w:spacing w:after="240" w:before="0" w:line="360" w:lineRule="auto"/>
        <w:jc w:val="both"/>
      </w:pPr>
      <w:r>
        <w:rPr>
          <w:rFonts w:ascii="Times New Roman" w:hAnsi="Times New Roman" w:eastAsia="Times New Roman"/>
          <w:b w:val="0"/>
          <w:i w:val="0"/>
          <w:color w:val="000000"/>
          <w:sz w:val="24"/>
        </w:rPr>
        <w:t xml:space="preserve">Model performance will be measured on the same held-out test set for every model. Because the three risk tiers are not equally common (45%, 35%, 20%), the class-averaged (macro) versions of the metrics are used, so that the smaller High tier counts as much as the Low tier. Here </w:t>
      </w:r>
      <w:r>
        <w:rPr>
          <w:rFonts w:ascii="Times New Roman" w:hAnsi="Times New Roman" w:eastAsia="Times New Roman"/>
          <w:b w:val="0"/>
          <w:i w:val="0"/>
          <w:color w:val="000000"/>
          <w:sz w:val="24"/>
        </w:rPr>
        <w:t>TP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and </w:t>
      </w:r>
      <w:r>
        <w:rPr>
          <w:rFonts w:ascii="Times New Roman" w:hAnsi="Times New Roman" w:eastAsia="Times New Roman"/>
          <w:b w:val="0"/>
          <w:i w:val="0"/>
          <w:color w:val="000000"/>
          <w:sz w:val="24"/>
        </w:rPr>
        <w:t>FN</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are the true positives, false positives, and false negatives of tier k. Each equation is numbered on the right and cited in the text as Equation (i), (ii), and so on.</w:t>
      </w:r>
    </w:p>
    <w:p>
      <w:pPr>
        <w:spacing w:after="240" w:before="0" w:line="360" w:lineRule="auto"/>
        <w:jc w:val="both"/>
      </w:pPr>
      <w:r>
        <w:rPr>
          <w:rFonts w:ascii="Times New Roman" w:hAnsi="Times New Roman" w:eastAsia="Times New Roman"/>
          <w:b/>
          <w:i w:val="0"/>
          <w:color w:val="000000"/>
          <w:sz w:val="24"/>
        </w:rPr>
        <w:t>Accuracy</w:t>
      </w:r>
      <w:r>
        <w:rPr>
          <w:rFonts w:ascii="Times New Roman" w:hAnsi="Times New Roman" w:eastAsia="Times New Roman"/>
          <w:b w:val="0"/>
          <w:i w:val="0"/>
          <w:color w:val="000000"/>
          <w:sz w:val="24"/>
        </w:rPr>
        <w:t xml:space="preserve"> is the share of test records whose tier is predicted correctly, where N is the number of test records: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758696" cy="326136"/>
                  <wp:docPr id="13" name="Picture 13"/>
                  <wp:cNvGraphicFramePr>
                    <a:graphicFrameLocks noChangeAspect="1"/>
                  </wp:cNvGraphicFramePr>
                  <a:graphic>
                    <a:graphicData uri="http://schemas.openxmlformats.org/drawingml/2006/picture">
                      <pic:pic>
                        <pic:nvPicPr>
                          <pic:cNvPr id="0" name="eq_5.png"/>
                          <pic:cNvPicPr/>
                        </pic:nvPicPr>
                        <pic:blipFill>
                          <a:blip r:embed="rId23"/>
                          <a:stretch>
                            <a:fillRect/>
                          </a:stretch>
                        </pic:blipFill>
                        <pic:spPr>
                          <a:xfrm>
                            <a:off x="0" y="0"/>
                            <a:ext cx="1758696" cy="326136"/>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Precision</w:t>
      </w:r>
      <w:r>
        <w:rPr>
          <w:rFonts w:ascii="Times New Roman" w:hAnsi="Times New Roman" w:eastAsia="Times New Roman"/>
          <w:b w:val="0"/>
          <w:i w:val="0"/>
          <w:color w:val="000000"/>
          <w:sz w:val="24"/>
        </w:rPr>
        <w:t xml:space="preserve"> shows how trustworthy a predicted tier is. It is computed for each tier k and then averaged over the three tiers (macro-precision):</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4224528" cy="502920"/>
                  <wp:docPr id="14" name="Picture 14"/>
                  <wp:cNvGraphicFramePr>
                    <a:graphicFrameLocks noChangeAspect="1"/>
                  </wp:cNvGraphicFramePr>
                  <a:graphic>
                    <a:graphicData uri="http://schemas.openxmlformats.org/drawingml/2006/picture">
                      <pic:pic>
                        <pic:nvPicPr>
                          <pic:cNvPr id="0" name="eq_6.png"/>
                          <pic:cNvPicPr/>
                        </pic:nvPicPr>
                        <pic:blipFill>
                          <a:blip r:embed="rId24"/>
                          <a:stretch>
                            <a:fillRect/>
                          </a:stretch>
                        </pic:blipFill>
                        <pic:spPr>
                          <a:xfrm>
                            <a:off x="0" y="0"/>
                            <a:ext cx="4224528"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Recall</w:t>
      </w:r>
      <w:r>
        <w:rPr>
          <w:rFonts w:ascii="Times New Roman" w:hAnsi="Times New Roman" w:eastAsia="Times New Roman"/>
          <w:b w:val="0"/>
          <w:i w:val="0"/>
          <w:color w:val="000000"/>
          <w:sz w:val="24"/>
        </w:rPr>
        <w:t xml:space="preserve"> shows how many patients of a tier are found (macro-recall is the average over the three tiers):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3608832" cy="502920"/>
                  <wp:docPr id="15" name="Picture 15"/>
                  <wp:cNvGraphicFramePr>
                    <a:graphicFrameLocks noChangeAspect="1"/>
                  </wp:cNvGraphicFramePr>
                  <a:graphic>
                    <a:graphicData uri="http://schemas.openxmlformats.org/drawingml/2006/picture">
                      <pic:pic>
                        <pic:nvPicPr>
                          <pic:cNvPr id="0" name="eq_7.png"/>
                          <pic:cNvPicPr/>
                        </pic:nvPicPr>
                        <pic:blipFill>
                          <a:blip r:embed="rId25"/>
                          <a:stretch>
                            <a:fillRect/>
                          </a:stretch>
                        </pic:blipFill>
                        <pic:spPr>
                          <a:xfrm>
                            <a:off x="0" y="0"/>
                            <a:ext cx="3608832"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Macro-F1</w:t>
      </w:r>
      <w:r>
        <w:rPr>
          <w:rFonts w:ascii="Times New Roman" w:hAnsi="Times New Roman" w:eastAsia="Times New Roman"/>
          <w:b w:val="0"/>
          <w:i w:val="0"/>
          <w:color w:val="000000"/>
          <w:sz w:val="24"/>
        </w:rPr>
        <w:t xml:space="preserve"> is the harmonic mean of precision and recall for each tier, averaged over the tiers:</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3310128" cy="502920"/>
                  <wp:docPr id="16" name="Picture 16"/>
                  <wp:cNvGraphicFramePr>
                    <a:graphicFrameLocks noChangeAspect="1"/>
                  </wp:cNvGraphicFramePr>
                  <a:graphic>
                    <a:graphicData uri="http://schemas.openxmlformats.org/drawingml/2006/picture">
                      <pic:pic>
                        <pic:nvPicPr>
                          <pic:cNvPr id="0" name="eq_8.png"/>
                          <pic:cNvPicPr/>
                        </pic:nvPicPr>
                        <pic:blipFill>
                          <a:blip r:embed="rId26"/>
                          <a:stretch>
                            <a:fillRect/>
                          </a:stretch>
                        </pic:blipFill>
                        <pic:spPr>
                          <a:xfrm>
                            <a:off x="0" y="0"/>
                            <a:ext cx="3310128"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(viii)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ROC-AUC</w:t>
      </w:r>
      <w:r>
        <w:rPr>
          <w:rFonts w:ascii="Times New Roman" w:hAnsi="Times New Roman" w:eastAsia="Times New Roman"/>
          <w:b w:val="0"/>
          <w:i w:val="0"/>
          <w:color w:val="000000"/>
          <w:sz w:val="24"/>
        </w:rPr>
        <w:t xml:space="preserve"> is the area under the receiver operating characteristic (ROC) curve of each tier against the other two (one-versus-rest), averaged over the three tiers. It measures how well the predicted probabilities rank patients, independent of any cut-off:</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2279904" cy="502920"/>
                  <wp:docPr id="17" name="Picture 17"/>
                  <wp:cNvGraphicFramePr>
                    <a:graphicFrameLocks noChangeAspect="1"/>
                  </wp:cNvGraphicFramePr>
                  <a:graphic>
                    <a:graphicData uri="http://schemas.openxmlformats.org/drawingml/2006/picture">
                      <pic:pic>
                        <pic:nvPicPr>
                          <pic:cNvPr id="0" name="eq_9.png"/>
                          <pic:cNvPicPr/>
                        </pic:nvPicPr>
                        <pic:blipFill>
                          <a:blip r:embed="rId27"/>
                          <a:stretch>
                            <a:fillRect/>
                          </a:stretch>
                        </pic:blipFill>
                        <pic:spPr>
                          <a:xfrm>
                            <a:off x="0" y="0"/>
                            <a:ext cx="2279904" cy="502920"/>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(ix)</w:t>
            </w:r>
          </w:p>
        </w:tc>
      </w:tr>
    </w:tbl>
    <w:p>
      <w:pPr>
        <w:spacing w:after="120" w:before="0" w:line="240" w:lineRule="auto"/>
      </w:pP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Confusion matrix:</w:t>
      </w:r>
      <w:r>
        <w:rPr>
          <w:rFonts w:ascii="Times New Roman" w:hAnsi="Times New Roman" w:eastAsia="Times New Roman"/>
          <w:b w:val="0"/>
          <w:i w:val="0"/>
          <w:color w:val="000000"/>
          <w:sz w:val="24"/>
        </w:rPr>
        <w:t xml:space="preserve"> shows which tiers are mixed up. This matters here because the tiers are ordered, and confusing Low with High is a worse mistake than confusing neighbouring tiers.</w:t>
      </w:r>
    </w:p>
    <w:p>
      <w:pPr>
        <w:spacing w:after="240" w:before="0" w:line="360" w:lineRule="auto"/>
        <w:jc w:val="both"/>
      </w:pPr>
      <w:r>
        <w:rPr>
          <w:rFonts w:ascii="Times New Roman" w:hAnsi="Times New Roman" w:eastAsia="Times New Roman"/>
          <w:b/>
          <w:i w:val="0"/>
          <w:color w:val="000000"/>
          <w:sz w:val="24"/>
        </w:rPr>
        <w:t>Statistical significance.</w:t>
      </w:r>
      <w:r>
        <w:rPr>
          <w:rFonts w:ascii="Times New Roman" w:hAnsi="Times New Roman" w:eastAsia="Times New Roman"/>
          <w:b w:val="0"/>
          <w:i w:val="0"/>
          <w:color w:val="000000"/>
          <w:sz w:val="24"/>
        </w:rPr>
        <w:t xml:space="preserve"> McNemar's test will be applied to every pair of models on the test set, to decide whether a difference in the number of correct predictions is larger than chance. Let b be the number of records that only the first model predicts correctly and c the number that only the second model predicts correctly:</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039368" cy="359664"/>
                  <wp:docPr id="18" name="Picture 18"/>
                  <wp:cNvGraphicFramePr>
                    <a:graphicFrameLocks noChangeAspect="1"/>
                  </wp:cNvGraphicFramePr>
                  <a:graphic>
                    <a:graphicData uri="http://schemas.openxmlformats.org/drawingml/2006/picture">
                      <pic:pic>
                        <pic:nvPicPr>
                          <pic:cNvPr id="0" name="eq_10.png"/>
                          <pic:cNvPicPr/>
                        </pic:nvPicPr>
                        <pic:blipFill>
                          <a:blip r:embed="rId28"/>
                          <a:stretch>
                            <a:fillRect/>
                          </a:stretch>
                        </pic:blipFill>
                        <pic:spPr>
                          <a:xfrm>
                            <a:off x="0" y="0"/>
                            <a:ext cx="1039368" cy="359664"/>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(x)</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with one degree of freedom (the −1 is the continuity correction). The accuracy of each model is also given with a 95% Wilson confidence interval, where p̂ is the accuracy, n is the number of test records, and z = 1.96:</w:t>
      </w:r>
    </w:p>
    <w:tbl>
      <w:tblPr>
        <w:tblW w:type="auto" w:w="0"/>
        <w:jc w:val="center"/>
        <w:tblLayout w:type="fixed"/>
        <w:tblLook w:firstColumn="1" w:firstRow="1" w:lastColumn="0" w:lastRow="0" w:noHBand="0" w:noVBand="1" w:val="04A0"/>
      </w:tblPr>
      <w:tblGrid>
        <w:gridCol w:w="936"/>
        <w:gridCol w:w="7157"/>
        <w:gridCol w:w="936"/>
      </w:tblGrid>
      <w:tr>
        <w:tc>
          <w:tcPr>
            <w:tcW w:type="dxa" w:w="936"/>
            <w:vAlign w:val="center"/>
          </w:tcPr>
          <w:p>
            <w:pPr>
              <w:spacing w:after="0" w:before="0" w:line="240" w:lineRule="auto"/>
            </w:pPr>
          </w:p>
        </w:tc>
        <w:tc>
          <w:tcPr>
            <w:tcW w:type="dxa" w:w="7157"/>
            <w:vAlign w:val="center"/>
          </w:tcPr>
          <w:p>
            <w:pPr>
              <w:spacing w:after="0" w:before="0" w:line="240" w:lineRule="auto"/>
              <w:jc w:val="center"/>
            </w:pPr>
            <w:r>
              <w:drawing>
                <wp:inline xmlns:a="http://schemas.openxmlformats.org/drawingml/2006/main" xmlns:pic="http://schemas.openxmlformats.org/drawingml/2006/picture">
                  <wp:extent cx="1274064" cy="539496"/>
                  <wp:docPr id="19" name="Picture 19"/>
                  <wp:cNvGraphicFramePr>
                    <a:graphicFrameLocks noChangeAspect="1"/>
                  </wp:cNvGraphicFramePr>
                  <a:graphic>
                    <a:graphicData uri="http://schemas.openxmlformats.org/drawingml/2006/picture">
                      <pic:pic>
                        <pic:nvPicPr>
                          <pic:cNvPr id="0" name="eq_11.png"/>
                          <pic:cNvPicPr/>
                        </pic:nvPicPr>
                        <pic:blipFill>
                          <a:blip r:embed="rId29"/>
                          <a:stretch>
                            <a:fillRect/>
                          </a:stretch>
                        </pic:blipFill>
                        <pic:spPr>
                          <a:xfrm>
                            <a:off x="0" y="0"/>
                            <a:ext cx="1274064" cy="539496"/>
                          </a:xfrm>
                          <a:prstGeom prst="rect"/>
                        </pic:spPr>
                      </pic:pic>
                    </a:graphicData>
                  </a:graphic>
                </wp:inline>
              </w:drawing>
            </w:r>
          </w:p>
        </w:tc>
        <w:tc>
          <w:tcPr>
            <w:tcW w:type="dxa" w:w="936"/>
            <w:vAlign w:val="center"/>
          </w:tcPr>
          <w:p>
            <w:pPr>
              <w:spacing w:after="0" w:before="0" w:line="240" w:lineRule="auto"/>
              <w:jc w:val="right"/>
            </w:pPr>
            <w:r>
              <w:rPr>
                <w:rFonts w:ascii="Times New Roman" w:hAnsi="Times New Roman" w:eastAsia="Times New Roman"/>
                <w:color w:val="000000"/>
                <w:sz w:val="24"/>
              </w:rPr>
              <w:t>(xi)</w:t>
            </w:r>
          </w:p>
        </w:tc>
      </w:tr>
    </w:tbl>
    <w:p>
      <w:pPr>
        <w:spacing w:after="120" w:before="0" w:line="240" w:lineRule="auto"/>
      </w:pPr>
    </w:p>
    <w:p>
      <w:pPr>
        <w:pStyle w:val="Heading1"/>
        <w:keepNext/>
        <w:pageBreakBefore/>
        <w:spacing w:after="360" w:before="0" w:line="360" w:lineRule="auto"/>
        <w:jc w:val="center"/>
      </w:pPr>
      <w:r>
        <w:rPr>
          <w:rFonts w:ascii="Times New Roman" w:hAnsi="Times New Roman" w:eastAsia="Times New Roman"/>
          <w:b/>
          <w:color w:val="000000"/>
          <w:sz w:val="32"/>
        </w:rPr>
        <w:t>Chapter 4: Expected Outcome and Working Schedule</w:t>
      </w:r>
    </w:p>
    <w:p>
      <w:pPr>
        <w:pStyle w:val="Heading2"/>
        <w:keepNext/>
        <w:spacing w:after="240" w:before="120" w:line="360" w:lineRule="auto"/>
        <w:jc w:val="left"/>
      </w:pPr>
      <w:r>
        <w:rPr>
          <w:rFonts w:ascii="Times New Roman" w:hAnsi="Times New Roman" w:eastAsia="Times New Roman"/>
          <w:b/>
          <w:color w:val="000000"/>
          <w:sz w:val="28"/>
        </w:rPr>
        <w:t>4.1 Expected Outcomes</w:t>
      </w:r>
    </w:p>
    <w:p>
      <w:pPr>
        <w:spacing w:after="240" w:before="0" w:line="360" w:lineRule="auto"/>
        <w:jc w:val="both"/>
      </w:pPr>
      <w:r>
        <w:rPr>
          <w:rFonts w:ascii="Times New Roman" w:hAnsi="Times New Roman" w:eastAsia="Times New Roman"/>
          <w:b w:val="0"/>
          <w:i w:val="0"/>
          <w:color w:val="000000"/>
          <w:sz w:val="24"/>
        </w:rPr>
        <w:t>The expected outcomes follow from the research gaps found in the literature review (Section 2.2.1) and from the two objectives in Section 1.3. They are stated as aims to be tested, not as findings, because the experiments are still to be carried out.</w:t>
      </w:r>
    </w:p>
    <w:p>
      <w:pPr>
        <w:spacing w:after="240" w:before="0" w:line="360" w:lineRule="auto"/>
        <w:jc w:val="both"/>
      </w:pPr>
      <w:r>
        <w:rPr>
          <w:rFonts w:ascii="Times New Roman" w:hAnsi="Times New Roman" w:eastAsia="Times New Roman"/>
          <w:b/>
          <w:i w:val="0"/>
          <w:color w:val="000000"/>
          <w:sz w:val="24"/>
        </w:rPr>
        <w:t>1. A fair benchmark of different model families on hair fall data (gap 1, Objective 1).</w:t>
      </w:r>
      <w:r>
        <w:rPr>
          <w:rFonts w:ascii="Times New Roman" w:hAnsi="Times New Roman" w:eastAsia="Times New Roman"/>
          <w:b w:val="0"/>
          <w:i w:val="0"/>
          <w:color w:val="000000"/>
          <w:sz w:val="24"/>
        </w:rPr>
        <w:t xml:space="preserve"> Earlier hair fall studies compared only classical algorithms, on different datasets, with accuracies ranging from about 50% to 100% (Khatun et al., 2022; Kumar et al., 2025; Siami &amp; Azis, 2025). This study is expected to give a comparison that can be trusted, because CatBoost, TabPFN, and TabFM use the same 21,606 records, the same train and test split, the same random seed, and the same metrics.</w:t>
      </w:r>
    </w:p>
    <w:p>
      <w:pPr>
        <w:spacing w:after="240" w:before="0" w:line="360" w:lineRule="auto"/>
        <w:jc w:val="both"/>
      </w:pPr>
      <w:r>
        <w:rPr>
          <w:rFonts w:ascii="Times New Roman" w:hAnsi="Times New Roman" w:eastAsia="Times New Roman"/>
          <w:b/>
          <w:i w:val="0"/>
          <w:color w:val="000000"/>
          <w:sz w:val="24"/>
        </w:rPr>
        <w:t>2. A properly tuned gradient boosting baseline (gap 2, Objective 1).</w:t>
      </w:r>
      <w:r>
        <w:rPr>
          <w:rFonts w:ascii="Times New Roman" w:hAnsi="Times New Roman" w:eastAsia="Times New Roman"/>
          <w:b w:val="0"/>
          <w:i w:val="0"/>
          <w:color w:val="000000"/>
          <w:sz w:val="24"/>
        </w:rPr>
        <w:t xml:space="preserve"> CatBoost scored only 49.5% in the one earlier hair fall study that included it, apparently without tuning (Kumar et al., 2025). Here CatBoost is tuned with a grid search and cross-validation on the training data only, so it is expected to be a strong and fair baseline. Any advantage of a foundation model over it would then be meaningful.</w:t>
      </w:r>
    </w:p>
    <w:p>
      <w:pPr>
        <w:spacing w:after="240" w:before="0" w:line="360" w:lineRule="auto"/>
        <w:jc w:val="both"/>
      </w:pPr>
      <w:r>
        <w:rPr>
          <w:rFonts w:ascii="Times New Roman" w:hAnsi="Times New Roman" w:eastAsia="Times New Roman"/>
          <w:b/>
          <w:i w:val="0"/>
          <w:color w:val="000000"/>
          <w:sz w:val="24"/>
        </w:rPr>
        <w:t>3. The first test of tabular foundation models on hair fall risk (gap 3, Objective 1).</w:t>
      </w:r>
      <w:r>
        <w:rPr>
          <w:rFonts w:ascii="Times New Roman" w:hAnsi="Times New Roman" w:eastAsia="Times New Roman"/>
          <w:b w:val="0"/>
          <w:i w:val="0"/>
          <w:color w:val="000000"/>
          <w:sz w:val="24"/>
        </w:rPr>
        <w:t xml:space="preserve"> TabPFN and TabFM performed well on general benchmarks (Hollmann et al., 2025; Kong et al., 2026), and this study expects them to be competitive with tuned CatBoost on hair fall data without any tuning, especially when only a small part of the training data is used. This is an expectation taken from the benchmark literature, and the study is designed so that it can also show the opposite. A difference between the models is accepted only if McNemar's test shows that it is larger than chance.</w:t>
      </w:r>
    </w:p>
    <w:p>
      <w:pPr>
        <w:spacing w:after="240" w:before="0" w:line="360" w:lineRule="auto"/>
        <w:jc w:val="both"/>
      </w:pPr>
      <w:r>
        <w:rPr>
          <w:rFonts w:ascii="Times New Roman" w:hAnsi="Times New Roman" w:eastAsia="Times New Roman"/>
          <w:b/>
          <w:i w:val="0"/>
          <w:color w:val="000000"/>
          <w:sz w:val="24"/>
        </w:rPr>
        <w:t>4. A record of the practical limits of TabFM (gap 4, Objective 1).</w:t>
      </w:r>
      <w:r>
        <w:rPr>
          <w:rFonts w:ascii="Times New Roman" w:hAnsi="Times New Roman" w:eastAsia="Times New Roman"/>
          <w:b w:val="0"/>
          <w:i w:val="0"/>
          <w:color w:val="000000"/>
          <w:sz w:val="24"/>
        </w:rPr>
        <w:t xml:space="preserve"> An independent reproduction reported software defects and memory failures on larger tables (Pandey, 2026). The study is expected to document how TabFM behaves on a real health dataset, including how much training data it can take, how long it runs, and what problems appear, so that later researchers know what to expect.</w:t>
      </w:r>
    </w:p>
    <w:p>
      <w:pPr>
        <w:spacing w:after="240" w:before="0" w:line="360" w:lineRule="auto"/>
        <w:jc w:val="both"/>
      </w:pPr>
      <w:r>
        <w:rPr>
          <w:rFonts w:ascii="Times New Roman" w:hAnsi="Times New Roman" w:eastAsia="Times New Roman"/>
          <w:b/>
          <w:i w:val="0"/>
          <w:color w:val="000000"/>
          <w:sz w:val="24"/>
        </w:rPr>
        <w:t>5. A side-by-side comparison of explanations (gap 5, Objective 2).</w:t>
      </w:r>
      <w:r>
        <w:rPr>
          <w:rFonts w:ascii="Times New Roman" w:hAnsi="Times New Roman" w:eastAsia="Times New Roman"/>
          <w:b w:val="0"/>
          <w:i w:val="0"/>
          <w:color w:val="000000"/>
          <w:sz w:val="24"/>
        </w:rPr>
        <w:t xml:space="preserve"> SHAP is expected to show which measurements and habits drive each model's predicted tier, and to show whether the three models agree. The factors that the models rely on are expected to match what Chapter 2 describes as the biological causes of hair loss, such as iron level, stress, and family history. Agreement would support the use of the models as decision support. Disagreement would be reported as a finding and not hidden.</w:t>
      </w:r>
    </w:p>
    <w:p>
      <w:pPr>
        <w:keepNext/>
        <w:spacing w:after="120" w:before="0" w:line="360" w:lineRule="auto"/>
        <w:jc w:val="left"/>
      </w:pPr>
      <w:r>
        <w:rPr>
          <w:rFonts w:ascii="Times New Roman" w:hAnsi="Times New Roman" w:eastAsia="Times New Roman"/>
          <w:b/>
          <w:i w:val="0"/>
          <w:color w:val="000000"/>
          <w:sz w:val="24"/>
        </w:rPr>
        <w:t>Table 4.1:</w:t>
      </w:r>
      <w:r>
        <w:rPr>
          <w:rFonts w:ascii="Times New Roman" w:hAnsi="Times New Roman" w:eastAsia="Times New Roman"/>
          <w:b w:val="0"/>
          <w:i w:val="0"/>
          <w:color w:val="000000"/>
          <w:sz w:val="24"/>
        </w:rPr>
        <w:t xml:space="preserve"> Expected outcomes and how they will be checked</w:t>
      </w:r>
    </w:p>
    <w:tbl>
      <w:tblPr>
        <w:tblStyle w:val="TableGrid"/>
        <w:tblW w:type="auto" w:w="0"/>
        <w:jc w:val="center"/>
        <w:tblLayout w:type="fixed"/>
        <w:tblLook w:firstColumn="1" w:firstRow="1" w:lastColumn="0" w:lastRow="0" w:noHBand="0" w:noVBand="1" w:val="04A0"/>
      </w:tblPr>
      <w:tblGrid>
        <w:gridCol w:w="2376"/>
        <w:gridCol w:w="2376"/>
        <w:gridCol w:w="2376"/>
        <w:gridCol w:w="1901"/>
      </w:tblGrid>
      <w:tr>
        <w:trPr>
          <w:cantSplit/>
          <w:tblHeader/>
        </w:trPr>
        <w:tc>
          <w:tcPr>
            <w:tcW w:type="dxa" w:w="2376"/>
            <w:shd w:val="clear" w:color="auto" w:fill="E7E6E6"/>
          </w:tcPr>
          <w:p>
            <w:pPr>
              <w:spacing w:after="40" w:before="40" w:line="240" w:lineRule="auto"/>
              <w:jc w:val="left"/>
            </w:pPr>
            <w:r>
              <w:rPr>
                <w:rFonts w:ascii="Times New Roman" w:hAnsi="Times New Roman" w:eastAsia="Times New Roman"/>
                <w:b/>
                <w:i w:val="0"/>
                <w:color w:val="000000"/>
                <w:sz w:val="24"/>
              </w:rPr>
              <w:t>Research gap (Section 2.2.1)</w:t>
            </w:r>
          </w:p>
        </w:tc>
        <w:tc>
          <w:tcPr>
            <w:tcW w:type="dxa" w:w="2376"/>
            <w:shd w:val="clear" w:color="auto" w:fill="E7E6E6"/>
          </w:tcPr>
          <w:p>
            <w:pPr>
              <w:spacing w:after="40" w:before="40" w:line="240" w:lineRule="auto"/>
              <w:jc w:val="left"/>
            </w:pPr>
            <w:r>
              <w:rPr>
                <w:rFonts w:ascii="Times New Roman" w:hAnsi="Times New Roman" w:eastAsia="Times New Roman"/>
                <w:b/>
                <w:i w:val="0"/>
                <w:color w:val="000000"/>
                <w:sz w:val="24"/>
              </w:rPr>
              <w:t>Expected outcome</w:t>
            </w:r>
          </w:p>
        </w:tc>
        <w:tc>
          <w:tcPr>
            <w:tcW w:type="dxa" w:w="2376"/>
            <w:shd w:val="clear" w:color="auto" w:fill="E7E6E6"/>
          </w:tcPr>
          <w:p>
            <w:pPr>
              <w:spacing w:after="40" w:before="40" w:line="240" w:lineRule="auto"/>
              <w:jc w:val="left"/>
            </w:pPr>
            <w:r>
              <w:rPr>
                <w:rFonts w:ascii="Times New Roman" w:hAnsi="Times New Roman" w:eastAsia="Times New Roman"/>
                <w:b/>
                <w:i w:val="0"/>
                <w:color w:val="000000"/>
                <w:sz w:val="24"/>
              </w:rPr>
              <w:t>How it will be checked</w:t>
            </w:r>
          </w:p>
        </w:tc>
        <w:tc>
          <w:tcPr>
            <w:tcW w:type="dxa" w:w="1901"/>
            <w:shd w:val="clear" w:color="auto" w:fill="E7E6E6"/>
          </w:tcPr>
          <w:p>
            <w:pPr>
              <w:spacing w:after="40" w:before="40" w:line="240" w:lineRule="auto"/>
              <w:jc w:val="left"/>
            </w:pPr>
            <w:r>
              <w:rPr>
                <w:rFonts w:ascii="Times New Roman" w:hAnsi="Times New Roman" w:eastAsia="Times New Roman"/>
                <w:b/>
                <w:i w:val="0"/>
                <w:color w:val="000000"/>
                <w:sz w:val="24"/>
              </w:rPr>
              <w:t>Method in Chapter 3</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1. Only classical models, different datasets</w:t>
            </w:r>
          </w:p>
        </w:tc>
        <w:tc>
          <w:tcPr>
            <w:tcW w:type="dxa" w:w="2376"/>
          </w:tcPr>
          <w:p>
            <w:pPr>
              <w:spacing w:after="40" w:before="40" w:line="240" w:lineRule="auto"/>
              <w:jc w:val="left"/>
            </w:pPr>
            <w:r>
              <w:rPr>
                <w:rFonts w:ascii="Times New Roman" w:hAnsi="Times New Roman" w:eastAsia="Times New Roman"/>
                <w:b w:val="0"/>
                <w:i w:val="0"/>
                <w:color w:val="000000"/>
                <w:sz w:val="24"/>
              </w:rPr>
              <w:t>Fair three-model benchmark</w:t>
            </w:r>
          </w:p>
        </w:tc>
        <w:tc>
          <w:tcPr>
            <w:tcW w:type="dxa" w:w="2376"/>
          </w:tcPr>
          <w:p>
            <w:pPr>
              <w:spacing w:after="40" w:before="40" w:line="240" w:lineRule="auto"/>
              <w:jc w:val="left"/>
            </w:pPr>
            <w:r>
              <w:rPr>
                <w:rFonts w:ascii="Times New Roman" w:hAnsi="Times New Roman" w:eastAsia="Times New Roman"/>
                <w:b w:val="0"/>
                <w:i w:val="0"/>
                <w:color w:val="000000"/>
                <w:sz w:val="24"/>
              </w:rPr>
              <w:t>Same data, split, seed, and metrics</w:t>
            </w:r>
          </w:p>
        </w:tc>
        <w:tc>
          <w:tcPr>
            <w:tcW w:type="dxa" w:w="1901"/>
          </w:tcPr>
          <w:p>
            <w:pPr>
              <w:spacing w:after="40" w:before="40" w:line="240" w:lineRule="auto"/>
              <w:jc w:val="left"/>
            </w:pPr>
            <w:r>
              <w:rPr>
                <w:rFonts w:ascii="Times New Roman" w:hAnsi="Times New Roman" w:eastAsia="Times New Roman"/>
                <w:b w:val="0"/>
                <w:i w:val="0"/>
                <w:color w:val="000000"/>
                <w:sz w:val="24"/>
              </w:rPr>
              <w:t>Sections 3.3, 3.8</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2. CatBoost not tuned</w:t>
            </w:r>
          </w:p>
        </w:tc>
        <w:tc>
          <w:tcPr>
            <w:tcW w:type="dxa" w:w="2376"/>
          </w:tcPr>
          <w:p>
            <w:pPr>
              <w:spacing w:after="40" w:before="40" w:line="240" w:lineRule="auto"/>
              <w:jc w:val="left"/>
            </w:pPr>
            <w:r>
              <w:rPr>
                <w:rFonts w:ascii="Times New Roman" w:hAnsi="Times New Roman" w:eastAsia="Times New Roman"/>
                <w:b w:val="0"/>
                <w:i w:val="0"/>
                <w:color w:val="000000"/>
                <w:sz w:val="24"/>
              </w:rPr>
              <w:t>Strong tuned baseline</w:t>
            </w:r>
          </w:p>
        </w:tc>
        <w:tc>
          <w:tcPr>
            <w:tcW w:type="dxa" w:w="2376"/>
          </w:tcPr>
          <w:p>
            <w:pPr>
              <w:spacing w:after="40" w:before="40" w:line="240" w:lineRule="auto"/>
              <w:jc w:val="left"/>
            </w:pPr>
            <w:r>
              <w:rPr>
                <w:rFonts w:ascii="Times New Roman" w:hAnsi="Times New Roman" w:eastAsia="Times New Roman"/>
                <w:b w:val="0"/>
                <w:i w:val="0"/>
                <w:color w:val="000000"/>
                <w:sz w:val="24"/>
              </w:rPr>
              <w:t>Grid search with cross-validation on training data</w:t>
            </w:r>
          </w:p>
        </w:tc>
        <w:tc>
          <w:tcPr>
            <w:tcW w:type="dxa" w:w="1901"/>
          </w:tcPr>
          <w:p>
            <w:pPr>
              <w:spacing w:after="40" w:before="40" w:line="240" w:lineRule="auto"/>
              <w:jc w:val="left"/>
            </w:pPr>
            <w:r>
              <w:rPr>
                <w:rFonts w:ascii="Times New Roman" w:hAnsi="Times New Roman" w:eastAsia="Times New Roman"/>
                <w:b w:val="0"/>
                <w:i w:val="0"/>
                <w:color w:val="000000"/>
                <w:sz w:val="24"/>
              </w:rPr>
              <w:t>Section 3.4.1</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3. Foundation models not tested on hair fall</w:t>
            </w:r>
          </w:p>
        </w:tc>
        <w:tc>
          <w:tcPr>
            <w:tcW w:type="dxa" w:w="2376"/>
          </w:tcPr>
          <w:p>
            <w:pPr>
              <w:spacing w:after="40" w:before="40" w:line="240" w:lineRule="auto"/>
              <w:jc w:val="left"/>
            </w:pPr>
            <w:r>
              <w:rPr>
                <w:rFonts w:ascii="Times New Roman" w:hAnsi="Times New Roman" w:eastAsia="Times New Roman"/>
                <w:b w:val="0"/>
                <w:i w:val="0"/>
                <w:color w:val="000000"/>
                <w:sz w:val="24"/>
              </w:rPr>
              <w:t>Competitive results without tuning, to be confirmed</w:t>
            </w:r>
          </w:p>
        </w:tc>
        <w:tc>
          <w:tcPr>
            <w:tcW w:type="dxa" w:w="2376"/>
          </w:tcPr>
          <w:p>
            <w:pPr>
              <w:spacing w:after="40" w:before="40" w:line="240" w:lineRule="auto"/>
              <w:jc w:val="left"/>
            </w:pPr>
            <w:r>
              <w:rPr>
                <w:rFonts w:ascii="Times New Roman" w:hAnsi="Times New Roman" w:eastAsia="Times New Roman"/>
                <w:b w:val="0"/>
                <w:i w:val="0"/>
                <w:color w:val="000000"/>
                <w:sz w:val="24"/>
              </w:rPr>
              <w:t>Macro-F1 and ROC-AUC, McNemar's test, Wilson intervals</w:t>
            </w:r>
          </w:p>
        </w:tc>
        <w:tc>
          <w:tcPr>
            <w:tcW w:type="dxa" w:w="1901"/>
          </w:tcPr>
          <w:p>
            <w:pPr>
              <w:spacing w:after="40" w:before="40" w:line="240" w:lineRule="auto"/>
              <w:jc w:val="left"/>
            </w:pPr>
            <w:r>
              <w:rPr>
                <w:rFonts w:ascii="Times New Roman" w:hAnsi="Times New Roman" w:eastAsia="Times New Roman"/>
                <w:b w:val="0"/>
                <w:i w:val="0"/>
                <w:color w:val="000000"/>
                <w:sz w:val="24"/>
              </w:rPr>
              <w:t>Sections 3.4.2, 3.4.3, 3.8</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4. TabFM limits unknown</w:t>
            </w:r>
          </w:p>
        </w:tc>
        <w:tc>
          <w:tcPr>
            <w:tcW w:type="dxa" w:w="2376"/>
          </w:tcPr>
          <w:p>
            <w:pPr>
              <w:spacing w:after="40" w:before="40" w:line="240" w:lineRule="auto"/>
              <w:jc w:val="left"/>
            </w:pPr>
            <w:r>
              <w:rPr>
                <w:rFonts w:ascii="Times New Roman" w:hAnsi="Times New Roman" w:eastAsia="Times New Roman"/>
                <w:b w:val="0"/>
                <w:i w:val="0"/>
                <w:color w:val="000000"/>
                <w:sz w:val="24"/>
              </w:rPr>
              <w:t>Documented limits of TabFM</w:t>
            </w:r>
          </w:p>
        </w:tc>
        <w:tc>
          <w:tcPr>
            <w:tcW w:type="dxa" w:w="2376"/>
          </w:tcPr>
          <w:p>
            <w:pPr>
              <w:spacing w:after="40" w:before="40" w:line="240" w:lineRule="auto"/>
              <w:jc w:val="left"/>
            </w:pPr>
            <w:r>
              <w:rPr>
                <w:rFonts w:ascii="Times New Roman" w:hAnsi="Times New Roman" w:eastAsia="Times New Roman"/>
                <w:b w:val="0"/>
                <w:i w:val="0"/>
                <w:color w:val="000000"/>
                <w:sz w:val="24"/>
              </w:rPr>
              <w:t>Recorded settings, problems, and run conditions</w:t>
            </w:r>
          </w:p>
        </w:tc>
        <w:tc>
          <w:tcPr>
            <w:tcW w:type="dxa" w:w="1901"/>
          </w:tcPr>
          <w:p>
            <w:pPr>
              <w:spacing w:after="40" w:before="40" w:line="240" w:lineRule="auto"/>
              <w:jc w:val="left"/>
            </w:pPr>
            <w:r>
              <w:rPr>
                <w:rFonts w:ascii="Times New Roman" w:hAnsi="Times New Roman" w:eastAsia="Times New Roman"/>
                <w:b w:val="0"/>
                <w:i w:val="0"/>
                <w:color w:val="000000"/>
                <w:sz w:val="24"/>
              </w:rPr>
              <w:t>Section 3.7</w:t>
            </w:r>
          </w:p>
        </w:tc>
      </w:tr>
      <w:tr>
        <w:trPr>
          <w:cantSplit/>
        </w:trPr>
        <w:tc>
          <w:tcPr>
            <w:tcW w:type="dxa" w:w="2376"/>
          </w:tcPr>
          <w:p>
            <w:pPr>
              <w:spacing w:after="40" w:before="40" w:line="240" w:lineRule="auto"/>
              <w:jc w:val="left"/>
            </w:pPr>
            <w:r>
              <w:rPr>
                <w:rFonts w:ascii="Times New Roman" w:hAnsi="Times New Roman" w:eastAsia="Times New Roman"/>
                <w:b w:val="0"/>
                <w:i w:val="0"/>
                <w:color w:val="000000"/>
                <w:sz w:val="24"/>
              </w:rPr>
              <w:t>5. Explanations not compared</w:t>
            </w:r>
          </w:p>
        </w:tc>
        <w:tc>
          <w:tcPr>
            <w:tcW w:type="dxa" w:w="2376"/>
          </w:tcPr>
          <w:p>
            <w:pPr>
              <w:spacing w:after="40" w:before="40" w:line="240" w:lineRule="auto"/>
              <w:jc w:val="left"/>
            </w:pPr>
            <w:r>
              <w:rPr>
                <w:rFonts w:ascii="Times New Roman" w:hAnsi="Times New Roman" w:eastAsia="Times New Roman"/>
                <w:b w:val="0"/>
                <w:i w:val="0"/>
                <w:color w:val="000000"/>
                <w:sz w:val="24"/>
              </w:rPr>
              <w:t>Comparable SHAP explanations for all three models</w:t>
            </w:r>
          </w:p>
        </w:tc>
        <w:tc>
          <w:tcPr>
            <w:tcW w:type="dxa" w:w="2376"/>
          </w:tcPr>
          <w:p>
            <w:pPr>
              <w:spacing w:after="40" w:before="40" w:line="240" w:lineRule="auto"/>
              <w:jc w:val="left"/>
            </w:pPr>
            <w:r>
              <w:rPr>
                <w:rFonts w:ascii="Times New Roman" w:hAnsi="Times New Roman" w:eastAsia="Times New Roman"/>
                <w:b w:val="0"/>
                <w:i w:val="0"/>
                <w:color w:val="000000"/>
                <w:sz w:val="24"/>
              </w:rPr>
              <w:t>Global ranking and per-patient explanations</w:t>
            </w:r>
          </w:p>
        </w:tc>
        <w:tc>
          <w:tcPr>
            <w:tcW w:type="dxa" w:w="1901"/>
          </w:tcPr>
          <w:p>
            <w:pPr>
              <w:spacing w:after="40" w:before="40" w:line="240" w:lineRule="auto"/>
              <w:jc w:val="left"/>
            </w:pPr>
            <w:r>
              <w:rPr>
                <w:rFonts w:ascii="Times New Roman" w:hAnsi="Times New Roman" w:eastAsia="Times New Roman"/>
                <w:b w:val="0"/>
                <w:i w:val="0"/>
                <w:color w:val="000000"/>
                <w:sz w:val="24"/>
              </w:rPr>
              <w:t>Section 3.5</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Beyond the individual outcomes, the study is expected to show whether explainable, data-efficient tabular modelling can be a practical alternative to heavily tuned gradient boosting for structured health risk prediction, and to leave a documented and reproducible pipeline that others can rerun on their own data.</w:t>
      </w:r>
    </w:p>
    <w:p>
      <w:pPr>
        <w:pStyle w:val="Heading2"/>
        <w:keepNext/>
        <w:spacing w:after="240" w:before="120" w:line="360" w:lineRule="auto"/>
        <w:jc w:val="left"/>
      </w:pPr>
      <w:r>
        <w:rPr>
          <w:rFonts w:ascii="Times New Roman" w:hAnsi="Times New Roman" w:eastAsia="Times New Roman"/>
          <w:b/>
          <w:color w:val="000000"/>
          <w:sz w:val="28"/>
        </w:rPr>
        <w:t>4.2 Working Schedule</w:t>
      </w:r>
    </w:p>
    <w:p>
      <w:pPr>
        <w:spacing w:after="240" w:before="0" w:line="360" w:lineRule="auto"/>
        <w:jc w:val="both"/>
      </w:pPr>
      <w:r>
        <w:rPr>
          <w:rFonts w:ascii="Times New Roman" w:hAnsi="Times New Roman" w:eastAsia="Times New Roman"/>
          <w:b w:val="0"/>
          <w:i w:val="0"/>
          <w:color w:val="000000"/>
          <w:sz w:val="24"/>
        </w:rPr>
        <w:t>The work is planned over six months, with the schedule shown as a Gantt chart in Figure 4.1. The tasks on the left are split into what has already been done up to this proposal (black bars) and what will be done after the proposal is approved (hatched bars). The completed tasks are the problem formulation, the literature review, the comparison and preparation of the datasets, the preprocessing and split, and the setup of the local environment and pipeline code. The planned tasks follow the order of the methodology in Chapter 3: model training, the training-size experiment, SHAP, evaluation, discussion, and thesis writing.</w:t>
      </w:r>
    </w:p>
    <w:p>
      <w:pPr>
        <w:keepNext/>
        <w:spacing w:after="120" w:before="0" w:line="240" w:lineRule="auto"/>
        <w:jc w:val="center"/>
      </w:pPr>
      <w:r>
        <w:drawing>
          <wp:inline xmlns:a="http://schemas.openxmlformats.org/drawingml/2006/main" xmlns:pic="http://schemas.openxmlformats.org/drawingml/2006/picture">
            <wp:extent cx="5733288" cy="2873121"/>
            <wp:docPr id="20" name="Picture 20"/>
            <wp:cNvGraphicFramePr>
              <a:graphicFrameLocks noChangeAspect="1"/>
            </wp:cNvGraphicFramePr>
            <a:graphic>
              <a:graphicData uri="http://schemas.openxmlformats.org/drawingml/2006/picture">
                <pic:pic>
                  <pic:nvPicPr>
                    <pic:cNvPr id="0" name="fig_4_1_gantt.png"/>
                    <pic:cNvPicPr/>
                  </pic:nvPicPr>
                  <pic:blipFill>
                    <a:blip r:embed="rId30"/>
                    <a:stretch>
                      <a:fillRect/>
                    </a:stretch>
                  </pic:blipFill>
                  <pic:spPr>
                    <a:xfrm>
                      <a:off x="0" y="0"/>
                      <a:ext cx="5733288" cy="2873121"/>
                    </a:xfrm>
                    <a:prstGeom prst="rect"/>
                  </pic:spPr>
                </pic:pic>
              </a:graphicData>
            </a:graphic>
          </wp:inline>
        </w:drawing>
      </w:r>
    </w:p>
    <w:p>
      <w:pPr>
        <w:spacing w:after="240" w:before="0" w:line="360" w:lineRule="auto"/>
        <w:jc w:val="left"/>
      </w:pPr>
      <w:r>
        <w:rPr>
          <w:rFonts w:ascii="Times New Roman" w:hAnsi="Times New Roman" w:eastAsia="Times New Roman"/>
          <w:b/>
          <w:i w:val="0"/>
          <w:color w:val="000000"/>
          <w:sz w:val="24"/>
        </w:rPr>
        <w:t>Figure 4.1:</w:t>
      </w:r>
      <w:r>
        <w:rPr>
          <w:rFonts w:ascii="Times New Roman" w:hAnsi="Times New Roman" w:eastAsia="Times New Roman"/>
          <w:b w:val="0"/>
          <w:i w:val="0"/>
          <w:color w:val="000000"/>
          <w:sz w:val="24"/>
        </w:rPr>
        <w:t xml:space="preserve"> Working schedule (Gantt chart)</w:t>
      </w:r>
    </w:p>
    <w:p>
      <w:pPr>
        <w:pStyle w:val="Heading1"/>
        <w:keepNext/>
        <w:pageBreakBefore/>
        <w:spacing w:after="360" w:before="0" w:line="360" w:lineRule="auto"/>
        <w:jc w:val="center"/>
      </w:pPr>
      <w:r>
        <w:rPr>
          <w:rFonts w:ascii="Times New Roman" w:hAnsi="Times New Roman" w:eastAsia="Times New Roman"/>
          <w:b/>
          <w:color w:val="000000"/>
          <w:sz w:val="32"/>
        </w:rPr>
        <w:t>References</w:t>
      </w:r>
    </w:p>
    <w:p>
      <w:pPr>
        <w:spacing w:after="160" w:before="0" w:line="360" w:lineRule="auto"/>
        <w:ind w:left="720" w:hanging="720"/>
        <w:jc w:val="left"/>
      </w:pPr>
      <w:r>
        <w:rPr>
          <w:rFonts w:ascii="Times New Roman" w:hAnsi="Times New Roman" w:eastAsia="Times New Roman"/>
          <w:b w:val="0"/>
          <w:i w:val="0"/>
          <w:color w:val="000000"/>
          <w:sz w:val="24"/>
        </w:rPr>
        <w:t xml:space="preserve">Agaoglu, E., Kaya Erdogan, H., Acer, E., Atay, E., Metintas, S., &amp; Saracoglu, Z. N. (2021). Prevalence of early-onset androgenetic alopecia and its relationship with lifestyle and dietary habits. </w:t>
      </w:r>
      <w:r>
        <w:rPr>
          <w:rFonts w:ascii="Times New Roman" w:hAnsi="Times New Roman" w:eastAsia="Times New Roman"/>
          <w:b w:val="0"/>
          <w:i/>
          <w:color w:val="000000"/>
          <w:sz w:val="24"/>
        </w:rPr>
        <w:t>Italian Journal of Dermatology and Venereology, 156</w:t>
      </w:r>
      <w:r>
        <w:rPr>
          <w:rFonts w:ascii="Times New Roman" w:hAnsi="Times New Roman" w:eastAsia="Times New Roman"/>
          <w:b w:val="0"/>
          <w:i w:val="0"/>
          <w:color w:val="000000"/>
          <w:sz w:val="24"/>
        </w:rPr>
        <w:t>(6), 675–680. https://doi.org/10.23736/S2784-8671.21.06874-7</w:t>
      </w:r>
    </w:p>
    <w:p>
      <w:pPr>
        <w:spacing w:after="160" w:before="0" w:line="360" w:lineRule="auto"/>
        <w:ind w:left="720" w:hanging="720"/>
        <w:jc w:val="left"/>
      </w:pPr>
      <w:r>
        <w:rPr>
          <w:rFonts w:ascii="Times New Roman" w:hAnsi="Times New Roman" w:eastAsia="Times New Roman"/>
          <w:b w:val="0"/>
          <w:i w:val="0"/>
          <w:color w:val="000000"/>
          <w:sz w:val="24"/>
        </w:rPr>
        <w:t xml:space="preserve">Arnob, M. S., Islam, O., Tapos, M. A., &amp; Chakraborty, N. R. (2024). </w:t>
      </w:r>
      <w:r>
        <w:rPr>
          <w:rFonts w:ascii="Times New Roman" w:hAnsi="Times New Roman" w:eastAsia="Times New Roman"/>
          <w:b w:val="0"/>
          <w:i/>
          <w:color w:val="000000"/>
          <w:sz w:val="24"/>
        </w:rPr>
        <w:t>Dataset for evaluating hair fall causes using machine learning techniques</w:t>
      </w:r>
      <w:r>
        <w:rPr>
          <w:rFonts w:ascii="Times New Roman" w:hAnsi="Times New Roman" w:eastAsia="Times New Roman"/>
          <w:b w:val="0"/>
          <w:i w:val="0"/>
          <w:color w:val="000000"/>
          <w:sz w:val="24"/>
        </w:rPr>
        <w:t xml:space="preserve"> (Version 1) [Data set]. Mendeley Data. https://doi.org/10.17632/g46n66frrh.1</w:t>
      </w:r>
    </w:p>
    <w:p>
      <w:pPr>
        <w:spacing w:after="160" w:before="0" w:line="360" w:lineRule="auto"/>
        <w:ind w:left="720" w:hanging="720"/>
        <w:jc w:val="left"/>
      </w:pPr>
      <w:r>
        <w:rPr>
          <w:rFonts w:ascii="Times New Roman" w:hAnsi="Times New Roman" w:eastAsia="Times New Roman"/>
          <w:b w:val="0"/>
          <w:i w:val="0"/>
          <w:color w:val="000000"/>
          <w:sz w:val="24"/>
        </w:rPr>
        <w:t xml:space="preserve">Bai, Y., McMullen, E., Sibbald, R. G., Dumont, N., Mainville, L., Julanon, N., &amp; Donovan, J. (2026). The role of psychological stress in hair loss: A review. </w:t>
      </w:r>
      <w:r>
        <w:rPr>
          <w:rFonts w:ascii="Times New Roman" w:hAnsi="Times New Roman" w:eastAsia="Times New Roman"/>
          <w:b w:val="0"/>
          <w:i/>
          <w:color w:val="000000"/>
          <w:sz w:val="24"/>
        </w:rPr>
        <w:t>JAAD Reviews, 7</w:t>
      </w:r>
      <w:r>
        <w:rPr>
          <w:rFonts w:ascii="Times New Roman" w:hAnsi="Times New Roman" w:eastAsia="Times New Roman"/>
          <w:b w:val="0"/>
          <w:i w:val="0"/>
          <w:color w:val="000000"/>
          <w:sz w:val="24"/>
        </w:rPr>
        <w:t>, 9–19. https://doi.org/10.1016/j.jdrv.2025.10.002</w:t>
      </w:r>
    </w:p>
    <w:p>
      <w:pPr>
        <w:spacing w:after="160" w:before="0" w:line="360" w:lineRule="auto"/>
        <w:ind w:left="720" w:hanging="720"/>
        <w:jc w:val="left"/>
      </w:pPr>
      <w:r>
        <w:rPr>
          <w:rFonts w:ascii="Times New Roman" w:hAnsi="Times New Roman" w:eastAsia="Times New Roman"/>
          <w:b w:val="0"/>
          <w:i w:val="0"/>
          <w:color w:val="000000"/>
          <w:sz w:val="24"/>
        </w:rPr>
        <w:t xml:space="preserve">Cline, A., Kazemi, A., Moy, J., Safai, B., &amp; Marmon, S. (2021). A surge in the incidence of telogen effluvium in minority predominant communities heavily impacted by COVID-19. </w:t>
      </w:r>
      <w:r>
        <w:rPr>
          <w:rFonts w:ascii="Times New Roman" w:hAnsi="Times New Roman" w:eastAsia="Times New Roman"/>
          <w:b w:val="0"/>
          <w:i/>
          <w:color w:val="000000"/>
          <w:sz w:val="24"/>
        </w:rPr>
        <w:t>Journal of the American Academy of Dermatology, 84</w:t>
      </w:r>
      <w:r>
        <w:rPr>
          <w:rFonts w:ascii="Times New Roman" w:hAnsi="Times New Roman" w:eastAsia="Times New Roman"/>
          <w:b w:val="0"/>
          <w:i w:val="0"/>
          <w:color w:val="000000"/>
          <w:sz w:val="24"/>
        </w:rPr>
        <w:t>(3), 773–775. https://doi.org/10.1016/j.jaad.2020.11.032</w:t>
      </w:r>
    </w:p>
    <w:p>
      <w:pPr>
        <w:spacing w:after="160" w:before="0" w:line="360" w:lineRule="auto"/>
        <w:ind w:left="720" w:hanging="720"/>
        <w:jc w:val="left"/>
      </w:pPr>
      <w:r>
        <w:rPr>
          <w:rFonts w:ascii="Times New Roman" w:hAnsi="Times New Roman" w:eastAsia="Times New Roman"/>
          <w:b w:val="0"/>
          <w:i w:val="0"/>
          <w:color w:val="000000"/>
          <w:sz w:val="24"/>
        </w:rPr>
        <w:t xml:space="preserve">Dhankour, B. (2023). </w:t>
      </w:r>
      <w:r>
        <w:rPr>
          <w:rFonts w:ascii="Times New Roman" w:hAnsi="Times New Roman" w:eastAsia="Times New Roman"/>
          <w:b w:val="0"/>
          <w:i/>
          <w:color w:val="000000"/>
          <w:sz w:val="24"/>
        </w:rPr>
        <w:t>Hair loss dataset</w:t>
      </w:r>
      <w:r>
        <w:rPr>
          <w:rFonts w:ascii="Times New Roman" w:hAnsi="Times New Roman" w:eastAsia="Times New Roman"/>
          <w:b w:val="0"/>
          <w:i w:val="0"/>
          <w:color w:val="000000"/>
          <w:sz w:val="24"/>
        </w:rPr>
        <w:t xml:space="preserve"> [Data set]. Kaggle. https://www.kaggle.com/datasets/brijlaldhankour/hair-loss-dataset</w:t>
      </w:r>
    </w:p>
    <w:p>
      <w:pPr>
        <w:spacing w:after="160" w:before="0" w:line="360" w:lineRule="auto"/>
        <w:ind w:left="720" w:hanging="720"/>
        <w:jc w:val="left"/>
      </w:pPr>
      <w:r>
        <w:rPr>
          <w:rFonts w:ascii="Times New Roman" w:hAnsi="Times New Roman" w:eastAsia="Times New Roman"/>
          <w:b w:val="0"/>
          <w:i w:val="0"/>
          <w:color w:val="000000"/>
          <w:sz w:val="24"/>
        </w:rPr>
        <w:t xml:space="preserve">Guo, E. L., &amp; Katta, R. (2017). Diet and hair loss: Effects of nutrient deficiency and supplement use. </w:t>
      </w:r>
      <w:r>
        <w:rPr>
          <w:rFonts w:ascii="Times New Roman" w:hAnsi="Times New Roman" w:eastAsia="Times New Roman"/>
          <w:b w:val="0"/>
          <w:i/>
          <w:color w:val="000000"/>
          <w:sz w:val="24"/>
        </w:rPr>
        <w:t>Dermatology Practical &amp; Conceptual, 7</w:t>
      </w:r>
      <w:r>
        <w:rPr>
          <w:rFonts w:ascii="Times New Roman" w:hAnsi="Times New Roman" w:eastAsia="Times New Roman"/>
          <w:b w:val="0"/>
          <w:i w:val="0"/>
          <w:color w:val="000000"/>
          <w:sz w:val="24"/>
        </w:rPr>
        <w:t>(1), 1–10. https://doi.org/10.5826/dpc.0701a01</w:t>
      </w:r>
    </w:p>
    <w:p>
      <w:pPr>
        <w:spacing w:after="160" w:before="0" w:line="360" w:lineRule="auto"/>
        <w:ind w:left="720" w:hanging="720"/>
        <w:jc w:val="left"/>
      </w:pPr>
      <w:r>
        <w:rPr>
          <w:rFonts w:ascii="Times New Roman" w:hAnsi="Times New Roman" w:eastAsia="Times New Roman"/>
          <w:b w:val="0"/>
          <w:i w:val="0"/>
          <w:color w:val="000000"/>
          <w:sz w:val="24"/>
        </w:rPr>
        <w:t xml:space="preserve">Hollmann, N., Müller, S., Purucker, L., Krishnakumar, A., Körfer, M., Hoo, S. B., Schirrmeister, R. T., &amp; Hutter, F. (2025). Accurate predictions on small data with a tabular foundation model. </w:t>
      </w:r>
      <w:r>
        <w:rPr>
          <w:rFonts w:ascii="Times New Roman" w:hAnsi="Times New Roman" w:eastAsia="Times New Roman"/>
          <w:b w:val="0"/>
          <w:i/>
          <w:color w:val="000000"/>
          <w:sz w:val="24"/>
        </w:rPr>
        <w:t>Nature, 637</w:t>
      </w:r>
      <w:r>
        <w:rPr>
          <w:rFonts w:ascii="Times New Roman" w:hAnsi="Times New Roman" w:eastAsia="Times New Roman"/>
          <w:b w:val="0"/>
          <w:i w:val="0"/>
          <w:color w:val="000000"/>
          <w:sz w:val="24"/>
        </w:rPr>
        <w:t>(8045), 319–326. https://doi.org/10.1038/s41586-024-08328-6</w:t>
      </w:r>
    </w:p>
    <w:p>
      <w:pPr>
        <w:spacing w:after="160" w:before="0" w:line="360" w:lineRule="auto"/>
        <w:ind w:left="720" w:hanging="720"/>
        <w:jc w:val="left"/>
      </w:pPr>
      <w:r>
        <w:rPr>
          <w:rFonts w:ascii="Times New Roman" w:hAnsi="Times New Roman" w:eastAsia="Times New Roman"/>
          <w:b w:val="0"/>
          <w:i w:val="0"/>
          <w:color w:val="000000"/>
          <w:sz w:val="24"/>
        </w:rPr>
        <w:t xml:space="preserve">Hussein, R. S., Atia, T., &amp; Bin Dayel, S. (2023). Impact of thyroid dysfunction on hair disorders. </w:t>
      </w:r>
      <w:r>
        <w:rPr>
          <w:rFonts w:ascii="Times New Roman" w:hAnsi="Times New Roman" w:eastAsia="Times New Roman"/>
          <w:b w:val="0"/>
          <w:i/>
          <w:color w:val="000000"/>
          <w:sz w:val="24"/>
        </w:rPr>
        <w:t>Cureus, 15</w:t>
      </w:r>
      <w:r>
        <w:rPr>
          <w:rFonts w:ascii="Times New Roman" w:hAnsi="Times New Roman" w:eastAsia="Times New Roman"/>
          <w:b w:val="0"/>
          <w:i w:val="0"/>
          <w:color w:val="000000"/>
          <w:sz w:val="24"/>
        </w:rPr>
        <w:t>(8), e43266. https://doi.org/10.7759/cureus.43266</w:t>
      </w:r>
    </w:p>
    <w:p>
      <w:pPr>
        <w:spacing w:after="160" w:before="0" w:line="360" w:lineRule="auto"/>
        <w:ind w:left="720" w:hanging="720"/>
        <w:jc w:val="left"/>
      </w:pPr>
      <w:r>
        <w:rPr>
          <w:rFonts w:ascii="Times New Roman" w:hAnsi="Times New Roman" w:eastAsia="Times New Roman"/>
          <w:b w:val="0"/>
          <w:i w:val="0"/>
          <w:color w:val="000000"/>
          <w:sz w:val="24"/>
        </w:rPr>
        <w:t xml:space="preserve">Khatun, M., Ajmain, M., Khushbu, S. A., Ria, N. J., &amp; Noori, S. R. H. (2022). Survey-based machine learning approaches to diagnosis of hair fall disorder in Bangladeshi community. In </w:t>
      </w:r>
      <w:r>
        <w:rPr>
          <w:rFonts w:ascii="Times New Roman" w:hAnsi="Times New Roman" w:eastAsia="Times New Roman"/>
          <w:b w:val="0"/>
          <w:i/>
          <w:color w:val="000000"/>
          <w:sz w:val="24"/>
        </w:rPr>
        <w:t>2022 13th International Conference on Computing, Communication and Networking Technologies (ICCCNT)</w:t>
      </w:r>
      <w:r>
        <w:rPr>
          <w:rFonts w:ascii="Times New Roman" w:hAnsi="Times New Roman" w:eastAsia="Times New Roman"/>
          <w:b w:val="0"/>
          <w:i w:val="0"/>
          <w:color w:val="000000"/>
          <w:sz w:val="24"/>
        </w:rPr>
        <w:t xml:space="preserve"> (pp. 1–6). IEEE. https://doi.org/10.1109/ICCCNT54827.2022.9984226</w:t>
      </w:r>
    </w:p>
    <w:p>
      <w:pPr>
        <w:spacing w:after="160" w:before="0" w:line="360" w:lineRule="auto"/>
        <w:ind w:left="720" w:hanging="720"/>
        <w:jc w:val="left"/>
      </w:pPr>
      <w:r>
        <w:rPr>
          <w:rFonts w:ascii="Times New Roman" w:hAnsi="Times New Roman" w:eastAsia="Times New Roman"/>
          <w:b w:val="0"/>
          <w:i w:val="0"/>
          <w:color w:val="000000"/>
          <w:sz w:val="24"/>
        </w:rPr>
        <w:t xml:space="preserve">Kong, W., Ilan, E. L., Nie, S., Narayan, T., Sen, R., Zhou, Y., Fu, D., Oymak, S., &amp; Das, A. (2026). </w:t>
      </w:r>
      <w:r>
        <w:rPr>
          <w:rFonts w:ascii="Times New Roman" w:hAnsi="Times New Roman" w:eastAsia="Times New Roman"/>
          <w:b w:val="0"/>
          <w:i/>
          <w:color w:val="000000"/>
          <w:sz w:val="24"/>
        </w:rPr>
        <w:t>TabFM: A zero-shot foundation model for tabular data</w:t>
      </w:r>
      <w:r>
        <w:rPr>
          <w:rFonts w:ascii="Times New Roman" w:hAnsi="Times New Roman" w:eastAsia="Times New Roman"/>
          <w:b w:val="0"/>
          <w:i w:val="0"/>
          <w:color w:val="000000"/>
          <w:sz w:val="24"/>
        </w:rPr>
        <w:t xml:space="preserve"> (arXiv:2609.37959). arXiv. https://arxiv.org/abs/2609.37959</w:t>
      </w:r>
    </w:p>
    <w:p>
      <w:pPr>
        <w:spacing w:after="160" w:before="0" w:line="360" w:lineRule="auto"/>
        <w:ind w:left="720" w:hanging="720"/>
        <w:jc w:val="left"/>
      </w:pPr>
      <w:r>
        <w:rPr>
          <w:rFonts w:ascii="Times New Roman" w:hAnsi="Times New Roman" w:eastAsia="Times New Roman"/>
          <w:b w:val="0"/>
          <w:i w:val="0"/>
          <w:color w:val="000000"/>
          <w:sz w:val="24"/>
        </w:rPr>
        <w:t xml:space="preserve">Kumar, M. S., Reddy, P. L. K., Reddy, G. D., Kumar, A. S., &amp; Nagendra, P. (2025). Predictive modeling of hair fall using random forest algorithms. In </w:t>
      </w:r>
      <w:r>
        <w:rPr>
          <w:rFonts w:ascii="Times New Roman" w:hAnsi="Times New Roman" w:eastAsia="Times New Roman"/>
          <w:b w:val="0"/>
          <w:i/>
          <w:color w:val="000000"/>
          <w:sz w:val="24"/>
        </w:rPr>
        <w:t>Proceedings of ICITSM-Part II 2025</w:t>
      </w:r>
      <w:r>
        <w:rPr>
          <w:rFonts w:ascii="Times New Roman" w:hAnsi="Times New Roman" w:eastAsia="Times New Roman"/>
          <w:b w:val="0"/>
          <w:i w:val="0"/>
          <w:color w:val="000000"/>
          <w:sz w:val="24"/>
        </w:rPr>
        <w:t>. European Alliance for Innovation. https://doi.org/10.4108/eai.28-4-2025.2358120</w:t>
      </w:r>
    </w:p>
    <w:p>
      <w:pPr>
        <w:spacing w:after="160" w:before="0" w:line="360" w:lineRule="auto"/>
        <w:ind w:left="720" w:hanging="720"/>
        <w:jc w:val="left"/>
      </w:pPr>
      <w:r>
        <w:rPr>
          <w:rFonts w:ascii="Times New Roman" w:hAnsi="Times New Roman" w:eastAsia="Times New Roman"/>
          <w:b w:val="0"/>
          <w:i w:val="0"/>
          <w:color w:val="000000"/>
          <w:sz w:val="24"/>
        </w:rPr>
        <w:t xml:space="preserve">Leema, A. A., Saktheshwaran, T., Sri, G. R., &amp; Balakrishnan, P. (2025). HairSentinel: A time-aware anomaly detection framework for forecasting hairfall trends using temporal fusion transformers. </w:t>
      </w:r>
      <w:r>
        <w:rPr>
          <w:rFonts w:ascii="Times New Roman" w:hAnsi="Times New Roman" w:eastAsia="Times New Roman"/>
          <w:b w:val="0"/>
          <w:i/>
          <w:color w:val="000000"/>
          <w:sz w:val="24"/>
        </w:rPr>
        <w:t>Frontiers in Artificial Intelligence, 8</w:t>
      </w:r>
      <w:r>
        <w:rPr>
          <w:rFonts w:ascii="Times New Roman" w:hAnsi="Times New Roman" w:eastAsia="Times New Roman"/>
          <w:b w:val="0"/>
          <w:i w:val="0"/>
          <w:color w:val="000000"/>
          <w:sz w:val="24"/>
        </w:rPr>
        <w:t>. https://doi.org/10.3389/frai.2025.1649740</w:t>
      </w:r>
    </w:p>
    <w:p>
      <w:pPr>
        <w:spacing w:after="160" w:before="0" w:line="360" w:lineRule="auto"/>
        <w:ind w:left="720" w:hanging="720"/>
        <w:jc w:val="left"/>
      </w:pPr>
      <w:r>
        <w:rPr>
          <w:rFonts w:ascii="Times New Roman" w:hAnsi="Times New Roman" w:eastAsia="Times New Roman"/>
          <w:b w:val="0"/>
          <w:i w:val="0"/>
          <w:color w:val="000000"/>
          <w:sz w:val="24"/>
        </w:rPr>
        <w:t xml:space="preserve">Lin, C.-S., Chan, L.-Y., Wang, J.-H., &amp; Chang, C.-H. (2023). Diagnosis and treatment of female alopecia: Focusing on the iron deficiency-related alopecia. </w:t>
      </w:r>
      <w:r>
        <w:rPr>
          <w:rFonts w:ascii="Times New Roman" w:hAnsi="Times New Roman" w:eastAsia="Times New Roman"/>
          <w:b w:val="0"/>
          <w:i/>
          <w:color w:val="000000"/>
          <w:sz w:val="24"/>
        </w:rPr>
        <w:t>Tzu Chi Medical Journal, 35</w:t>
      </w:r>
      <w:r>
        <w:rPr>
          <w:rFonts w:ascii="Times New Roman" w:hAnsi="Times New Roman" w:eastAsia="Times New Roman"/>
          <w:b w:val="0"/>
          <w:i w:val="0"/>
          <w:color w:val="000000"/>
          <w:sz w:val="24"/>
        </w:rPr>
        <w:t>(4), 322–328. https://doi.org/10.4103/tcmj.tcmj_95_23</w:t>
      </w:r>
    </w:p>
    <w:p>
      <w:pPr>
        <w:spacing w:after="160" w:before="0" w:line="360" w:lineRule="auto"/>
        <w:ind w:left="720" w:hanging="720"/>
        <w:jc w:val="left"/>
      </w:pPr>
      <w:r>
        <w:rPr>
          <w:rFonts w:ascii="Times New Roman" w:hAnsi="Times New Roman" w:eastAsia="Times New Roman"/>
          <w:b w:val="0"/>
          <w:i w:val="0"/>
          <w:color w:val="000000"/>
          <w:sz w:val="24"/>
        </w:rPr>
        <w:t xml:space="preserve">Lundberg, S. M., &amp; Lee, S.-I. (2017). A unified approach to interpreting model predictions.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30, pp. 4765–4774).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Marahatta, S., Agrawal, S., &amp; Mehata, K. D. (2018). Alopecia areata and thyroid dysfunction association: A study from eastern Nepal. </w:t>
      </w:r>
      <w:r>
        <w:rPr>
          <w:rFonts w:ascii="Times New Roman" w:hAnsi="Times New Roman" w:eastAsia="Times New Roman"/>
          <w:b w:val="0"/>
          <w:i/>
          <w:color w:val="000000"/>
          <w:sz w:val="24"/>
        </w:rPr>
        <w:t>Kathmandu University Medical Journal, 16</w:t>
      </w:r>
      <w:r>
        <w:rPr>
          <w:rFonts w:ascii="Times New Roman" w:hAnsi="Times New Roman" w:eastAsia="Times New Roman"/>
          <w:b w:val="0"/>
          <w:i w:val="0"/>
          <w:color w:val="000000"/>
          <w:sz w:val="24"/>
        </w:rPr>
        <w:t>(62), 161–165.</w:t>
      </w:r>
    </w:p>
    <w:p>
      <w:pPr>
        <w:spacing w:after="160" w:before="0" w:line="360" w:lineRule="auto"/>
        <w:ind w:left="720" w:hanging="720"/>
        <w:jc w:val="left"/>
      </w:pPr>
      <w:r>
        <w:rPr>
          <w:rFonts w:ascii="Times New Roman" w:hAnsi="Times New Roman" w:eastAsia="Times New Roman"/>
          <w:b w:val="0"/>
          <w:i w:val="0"/>
          <w:color w:val="000000"/>
          <w:sz w:val="24"/>
        </w:rPr>
        <w:t xml:space="preserve">Pandey, Y. (devYRPauli). (2026). </w:t>
      </w:r>
      <w:r>
        <w:rPr>
          <w:rFonts w:ascii="Times New Roman" w:hAnsi="Times New Roman" w:eastAsia="Times New Roman"/>
          <w:b w:val="0"/>
          <w:i/>
          <w:color w:val="000000"/>
          <w:sz w:val="24"/>
        </w:rPr>
        <w:t>tabfm-evaluation: An independent reproduction and hardware study of Google TabFM</w:t>
      </w:r>
      <w:r>
        <w:rPr>
          <w:rFonts w:ascii="Times New Roman" w:hAnsi="Times New Roman" w:eastAsia="Times New Roman"/>
          <w:b w:val="0"/>
          <w:i w:val="0"/>
          <w:color w:val="000000"/>
          <w:sz w:val="24"/>
        </w:rPr>
        <w:t xml:space="preserve"> [Computer software]. GitHub. https://github.com/devYRPauli/tabfm-evaluation</w:t>
      </w:r>
    </w:p>
    <w:p>
      <w:pPr>
        <w:spacing w:after="160" w:before="0" w:line="360" w:lineRule="auto"/>
        <w:ind w:left="720" w:hanging="720"/>
        <w:jc w:val="left"/>
      </w:pPr>
      <w:r>
        <w:rPr>
          <w:rFonts w:ascii="Times New Roman" w:hAnsi="Times New Roman" w:eastAsia="Times New Roman"/>
          <w:b w:val="0"/>
          <w:i w:val="0"/>
          <w:color w:val="000000"/>
          <w:sz w:val="24"/>
        </w:rPr>
        <w:t xml:space="preserve">Pandikumar, S., Sevugapandi, N., &amp; Arun, M. (2024). Predicting hair loss with AI: A deep learning framework combining genetic and scalp health data. In </w:t>
      </w:r>
      <w:r>
        <w:rPr>
          <w:rFonts w:ascii="Times New Roman" w:hAnsi="Times New Roman" w:eastAsia="Times New Roman"/>
          <w:b w:val="0"/>
          <w:i/>
          <w:color w:val="000000"/>
          <w:sz w:val="24"/>
        </w:rPr>
        <w:t>Integrating AI, machine learning, and IoT in bioinformatics: Innovations in biotech and medical research</w:t>
      </w:r>
      <w:r>
        <w:rPr>
          <w:rFonts w:ascii="Times New Roman" w:hAnsi="Times New Roman" w:eastAsia="Times New Roman"/>
          <w:b w:val="0"/>
          <w:i w:val="0"/>
          <w:color w:val="000000"/>
          <w:sz w:val="24"/>
        </w:rPr>
        <w:t xml:space="preserve"> (pp. 100–107). QTanalytics. https://doi.org/10.48001/978-81-966500-0-1-6</w:t>
      </w:r>
    </w:p>
    <w:p>
      <w:pPr>
        <w:spacing w:after="160" w:before="0" w:line="360" w:lineRule="auto"/>
        <w:ind w:left="720" w:hanging="720"/>
        <w:jc w:val="left"/>
      </w:pPr>
      <w:r>
        <w:rPr>
          <w:rFonts w:ascii="Times New Roman" w:hAnsi="Times New Roman" w:eastAsia="Times New Roman"/>
          <w:b w:val="0"/>
          <w:i w:val="0"/>
          <w:color w:val="000000"/>
          <w:sz w:val="24"/>
        </w:rPr>
        <w:t xml:space="preserve">Prokhorenkova, L., Gusev, G., Vorobev, A., Dorogush, A. V., &amp; Gulin, A. (2018). CatBoost: Unbiased boosting with categorical features.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31, pp. 6638–6648).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Sai, C. N. V., Archana, E., Vivek, B., Dhanwanth, B., &amp; K. S., V. (2023). Enhancing hairfall prediction: A comparative analysis of individual algorithms and an ensemble method. </w:t>
      </w:r>
      <w:r>
        <w:rPr>
          <w:rFonts w:ascii="Times New Roman" w:hAnsi="Times New Roman" w:eastAsia="Times New Roman"/>
          <w:b w:val="0"/>
          <w:i/>
          <w:color w:val="000000"/>
          <w:sz w:val="24"/>
        </w:rPr>
        <w:t>International Journal on Recent and Innovation Trends in Computing and Communication, 11</w:t>
      </w:r>
      <w:r>
        <w:rPr>
          <w:rFonts w:ascii="Times New Roman" w:hAnsi="Times New Roman" w:eastAsia="Times New Roman"/>
          <w:b w:val="0"/>
          <w:i w:val="0"/>
          <w:color w:val="000000"/>
          <w:sz w:val="24"/>
        </w:rPr>
        <w:t>(6s), 499–508.</w:t>
      </w:r>
    </w:p>
    <w:p>
      <w:pPr>
        <w:spacing w:after="160" w:before="0" w:line="360" w:lineRule="auto"/>
        <w:ind w:left="720" w:hanging="720"/>
        <w:jc w:val="left"/>
      </w:pPr>
      <w:r>
        <w:rPr>
          <w:rFonts w:ascii="Times New Roman" w:hAnsi="Times New Roman" w:eastAsia="Times New Roman"/>
          <w:b w:val="0"/>
          <w:i w:val="0"/>
          <w:color w:val="000000"/>
          <w:sz w:val="24"/>
        </w:rPr>
        <w:t xml:space="preserve">Sayyad, S., Midhunchakkaravarthy, D., &amp; Sayyad, F. (2022). An analysis of alopecia areata classification framework for human hair loss based on VGG-SVM approach. </w:t>
      </w:r>
      <w:r>
        <w:rPr>
          <w:rFonts w:ascii="Times New Roman" w:hAnsi="Times New Roman" w:eastAsia="Times New Roman"/>
          <w:b w:val="0"/>
          <w:i/>
          <w:color w:val="000000"/>
          <w:sz w:val="24"/>
        </w:rPr>
        <w:t>Journal of Pharmaceutical Negative Results, 13</w:t>
      </w:r>
      <w:r>
        <w:rPr>
          <w:rFonts w:ascii="Times New Roman" w:hAnsi="Times New Roman" w:eastAsia="Times New Roman"/>
          <w:b w:val="0"/>
          <w:i w:val="0"/>
          <w:color w:val="000000"/>
          <w:sz w:val="24"/>
        </w:rPr>
        <w:t>(Suppl. 1), 9–15. https://doi.org/10.47750/pnr.2022.13.s01.02</w:t>
      </w:r>
    </w:p>
    <w:p>
      <w:pPr>
        <w:spacing w:after="160" w:before="0" w:line="360" w:lineRule="auto"/>
        <w:ind w:left="720" w:hanging="720"/>
        <w:jc w:val="left"/>
      </w:pPr>
      <w:r>
        <w:rPr>
          <w:rFonts w:ascii="Times New Roman" w:hAnsi="Times New Roman" w:eastAsia="Times New Roman"/>
          <w:b w:val="0"/>
          <w:i w:val="0"/>
          <w:color w:val="000000"/>
          <w:sz w:val="24"/>
        </w:rPr>
        <w:t xml:space="preserve">Shakeel, C. S., Khan, S. J., Chaudhry, B., Aijaz, S. F., &amp; Hassan, U. (2021). Classification framework for healthy hairs and alopecia areata: A machine learning (ML) approach. </w:t>
      </w:r>
      <w:r>
        <w:rPr>
          <w:rFonts w:ascii="Times New Roman" w:hAnsi="Times New Roman" w:eastAsia="Times New Roman"/>
          <w:b w:val="0"/>
          <w:i/>
          <w:color w:val="000000"/>
          <w:sz w:val="24"/>
        </w:rPr>
        <w:t>Computational and Mathematical Methods in Medicine, 2021</w:t>
      </w:r>
      <w:r>
        <w:rPr>
          <w:rFonts w:ascii="Times New Roman" w:hAnsi="Times New Roman" w:eastAsia="Times New Roman"/>
          <w:b w:val="0"/>
          <w:i w:val="0"/>
          <w:color w:val="000000"/>
          <w:sz w:val="24"/>
        </w:rPr>
        <w:t>, Article 1102083. https://doi.org/10.1155/2021/1102083</w:t>
      </w:r>
    </w:p>
    <w:p>
      <w:pPr>
        <w:spacing w:after="160" w:before="0" w:line="360" w:lineRule="auto"/>
        <w:ind w:left="720" w:hanging="720"/>
        <w:jc w:val="left"/>
      </w:pPr>
      <w:r>
        <w:rPr>
          <w:rFonts w:ascii="Times New Roman" w:hAnsi="Times New Roman" w:eastAsia="Times New Roman"/>
          <w:b w:val="0"/>
          <w:i w:val="0"/>
          <w:color w:val="000000"/>
          <w:sz w:val="24"/>
        </w:rPr>
        <w:t xml:space="preserve">Siami, M. I., &amp; Azis, H. (2025). Predicting hair loss with machine learning: A multi-factor analysis. </w:t>
      </w:r>
      <w:r>
        <w:rPr>
          <w:rFonts w:ascii="Times New Roman" w:hAnsi="Times New Roman" w:eastAsia="Times New Roman"/>
          <w:b w:val="0"/>
          <w:i/>
          <w:color w:val="000000"/>
          <w:sz w:val="24"/>
        </w:rPr>
        <w:t>International Journal of Artificial Intelligence in Medical Issues, 3</w:t>
      </w:r>
      <w:r>
        <w:rPr>
          <w:rFonts w:ascii="Times New Roman" w:hAnsi="Times New Roman" w:eastAsia="Times New Roman"/>
          <w:b w:val="0"/>
          <w:i w:val="0"/>
          <w:color w:val="000000"/>
          <w:sz w:val="24"/>
        </w:rPr>
        <w:t>(1). https://doi.org/10.56705/ijaimi.v3i1.360</w:t>
      </w:r>
    </w:p>
    <w:p>
      <w:pPr>
        <w:spacing w:after="160" w:before="0" w:line="360" w:lineRule="auto"/>
        <w:ind w:left="720" w:hanging="720"/>
        <w:jc w:val="left"/>
      </w:pPr>
      <w:r>
        <w:rPr>
          <w:rFonts w:ascii="Times New Roman" w:hAnsi="Times New Roman" w:eastAsia="Times New Roman"/>
          <w:b w:val="0"/>
          <w:i w:val="0"/>
          <w:color w:val="000000"/>
          <w:sz w:val="24"/>
        </w:rPr>
        <w:t xml:space="preserve">Sun, J., Li, Y., Ye, Z., Wang, S., &amp; Wang, W. (2025). Global sex disparities in lifetime risk of alopecia areata: A systematic analysis from the Global Burden of Disease Study, 1990 to 2021. </w:t>
      </w:r>
      <w:r>
        <w:rPr>
          <w:rFonts w:ascii="Times New Roman" w:hAnsi="Times New Roman" w:eastAsia="Times New Roman"/>
          <w:b w:val="0"/>
          <w:i/>
          <w:color w:val="000000"/>
          <w:sz w:val="24"/>
        </w:rPr>
        <w:t>Biology of Sex Differences, 16</w:t>
      </w:r>
      <w:r>
        <w:rPr>
          <w:rFonts w:ascii="Times New Roman" w:hAnsi="Times New Roman" w:eastAsia="Times New Roman"/>
          <w:b w:val="0"/>
          <w:i w:val="0"/>
          <w:color w:val="000000"/>
          <w:sz w:val="24"/>
        </w:rPr>
        <w:t>, Article 68. https://doi.org/10.1186/s13293-025-00749-w</w:t>
      </w:r>
    </w:p>
    <w:p>
      <w:pPr>
        <w:spacing w:after="160" w:before="0" w:line="360" w:lineRule="auto"/>
        <w:ind w:left="720" w:hanging="720"/>
        <w:jc w:val="left"/>
      </w:pPr>
      <w:r>
        <w:rPr>
          <w:rFonts w:ascii="Times New Roman" w:hAnsi="Times New Roman" w:eastAsia="Times New Roman"/>
          <w:b w:val="0"/>
          <w:i w:val="0"/>
          <w:color w:val="000000"/>
          <w:sz w:val="24"/>
        </w:rPr>
        <w:t xml:space="preserve">Todorova, L., &amp; Kluger, N. (2026). Hair loss treatments: A Google Trends analysis worldwide of the past 5 years (2018–2023). </w:t>
      </w:r>
      <w:r>
        <w:rPr>
          <w:rFonts w:ascii="Times New Roman" w:hAnsi="Times New Roman" w:eastAsia="Times New Roman"/>
          <w:b w:val="0"/>
          <w:i/>
          <w:color w:val="000000"/>
          <w:sz w:val="24"/>
        </w:rPr>
        <w:t>Skin Appendage Disorders, 12</w:t>
      </w:r>
      <w:r>
        <w:rPr>
          <w:rFonts w:ascii="Times New Roman" w:hAnsi="Times New Roman" w:eastAsia="Times New Roman"/>
          <w:b w:val="0"/>
          <w:i w:val="0"/>
          <w:color w:val="000000"/>
          <w:sz w:val="24"/>
        </w:rPr>
        <w:t>, 46–49. https://doi.org/10.1159/000547418</w:t>
      </w:r>
    </w:p>
    <w:p>
      <w:pPr>
        <w:spacing w:after="160" w:before="0" w:line="360" w:lineRule="auto"/>
        <w:ind w:left="720" w:hanging="720"/>
        <w:jc w:val="left"/>
      </w:pPr>
      <w:r>
        <w:rPr>
          <w:rFonts w:ascii="Times New Roman" w:hAnsi="Times New Roman" w:eastAsia="Times New Roman"/>
          <w:b w:val="0"/>
          <w:i w:val="0"/>
          <w:color w:val="000000"/>
          <w:sz w:val="24"/>
        </w:rPr>
        <w:t xml:space="preserve">Treister-Goltzman, Y., Yarza, S., &amp; Peleg, R. (2022). Iron deficiency and nonscarring alopecia in women: Systematic review and meta-analysis. </w:t>
      </w:r>
      <w:r>
        <w:rPr>
          <w:rFonts w:ascii="Times New Roman" w:hAnsi="Times New Roman" w:eastAsia="Times New Roman"/>
          <w:b w:val="0"/>
          <w:i/>
          <w:color w:val="000000"/>
          <w:sz w:val="24"/>
        </w:rPr>
        <w:t>Skin Appendage Disorders, 8</w:t>
      </w:r>
      <w:r>
        <w:rPr>
          <w:rFonts w:ascii="Times New Roman" w:hAnsi="Times New Roman" w:eastAsia="Times New Roman"/>
          <w:b w:val="0"/>
          <w:i w:val="0"/>
          <w:color w:val="000000"/>
          <w:sz w:val="24"/>
        </w:rPr>
        <w:t>(2), 83–92. https://doi.org/10.1159/000519952</w:t>
      </w:r>
    </w:p>
    <w:p>
      <w:pPr>
        <w:spacing w:after="160" w:before="0" w:line="360" w:lineRule="auto"/>
        <w:ind w:left="720" w:hanging="720"/>
        <w:jc w:val="left"/>
      </w:pPr>
      <w:r>
        <w:rPr>
          <w:rFonts w:ascii="Times New Roman" w:hAnsi="Times New Roman" w:eastAsia="Times New Roman"/>
          <w:b w:val="0"/>
          <w:i w:val="0"/>
          <w:color w:val="000000"/>
          <w:sz w:val="24"/>
        </w:rPr>
        <w:t xml:space="preserve">Wang, Y., Li, D., Hu, N., Qi, H., &amp; Wang, Y. (2026). A comprehensive bibliometric analysis of global research trends in hair loss treatment: Key contributions, emerging hotspots, and future directions. </w:t>
      </w:r>
      <w:r>
        <w:rPr>
          <w:rFonts w:ascii="Times New Roman" w:hAnsi="Times New Roman" w:eastAsia="Times New Roman"/>
          <w:b w:val="0"/>
          <w:i/>
          <w:color w:val="000000"/>
          <w:sz w:val="24"/>
        </w:rPr>
        <w:t>Aesthetic Surgery Journal Open Forum, 8</w:t>
      </w:r>
      <w:r>
        <w:rPr>
          <w:rFonts w:ascii="Times New Roman" w:hAnsi="Times New Roman" w:eastAsia="Times New Roman"/>
          <w:b w:val="0"/>
          <w:i w:val="0"/>
          <w:color w:val="000000"/>
          <w:sz w:val="24"/>
        </w:rPr>
        <w:t>, Article ojag036. https://doi.org/10.1093/asjof/ojag036</w:t>
      </w:r>
    </w:p>
    <w:sectPr w:rsidR="00FC693F" w:rsidRPr="0006063C" w:rsidSect="00034616">
      <w:footerReference w:type="default" r:id="rId11"/>
      <w:pgSz w:w="11909" w:h="16834"/>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