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8</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What the comparison showed</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3.2.3 The final dataset</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17</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21</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24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24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25</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27</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17</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21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26</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2.1: Summary of reviewed studies</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11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Where each column of the final dataset comes from</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3.3: Risk factors in Dataset 2 and in the final dataset (percentage points)</w:t>
      </w:r>
      <w:r>
        <w:rPr>
          <w:rFonts w:ascii="Times New Roman" w:hAnsi="Times New Roman" w:eastAsia="Times New Roman"/>
          <w:b w:val="0"/>
          <w:color w:val="000000"/>
          <w:sz w:val="24"/>
        </w:rPr>
        <w:tab/>
        <w:t>14</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3.4: Clinical range check of the final dataset</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3.5: Software tools</w:t>
      </w:r>
      <w:r>
        <w:rPr>
          <w:rFonts w:ascii="Times New Roman" w:hAnsi="Times New Roman" w:eastAsia="Times New Roman"/>
          <w:b w:val="0"/>
          <w:color w:val="000000"/>
          <w:sz w:val="24"/>
        </w:rPr>
        <w:tab/>
        <w:t>20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4.1: Expected outcomes and how they will be checked</w:t>
      </w:r>
      <w:r>
        <w:rPr>
          <w:rFonts w:ascii="Times New Roman" w:hAnsi="Times New Roman" w:eastAsia="Times New Roman"/>
          <w:b w:val="0"/>
          <w:color w:val="000000"/>
          <w:sz w:val="24"/>
        </w:rPr>
        <w:tab/>
        <w:t>25</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genuinely difficult clinical problem, shaped by the interplay of hormonal shifts, metabolic irregularities, chronic stress, nutritional gaps, and hair care habits. Current practice leans heavily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in principle, model these interacting risk factors systematically, but the literature reviewed in Chapter 2 leaves five problems open. First, studies that predict hair loss from survey and clinical tables have compared only classical algorithms such as Logistic Regression, Random Forest, and Extreme Gradient Boosting (XGBoost), on different datasets, and their reported accuracies range from about 50% to 100% (Khatun et al., 2022; Kumar et al., 2025; Siami &amp; Azis, 2025), so it is not clear which type of model suits this problem. Second, CatBoost, which was designed for categorical data, appeared in only one hair loss study as a side comparison with a low score, apparently without tuning (Kumar et al., 2025). Third, tabular foundation models such as TabPFN and TabFM have been evaluated only on general benchmarks (Hollmann et al., 2025; Kong et al., 2026), and none has been tested on hair loss data. Fourth, TabFM is very new and has been reproduced independently only once, with software and memory problems reported (Pandey, 2026), so its practical limits are unclear. Fifth, the hair loss studies concentrate on accuracy, and none compares how a boosted-tree model and foundation models explain their predictions.</w:t>
      </w:r>
    </w:p>
    <w:p>
      <w:pPr>
        <w:spacing w:after="240" w:before="0" w:line="360" w:lineRule="auto"/>
        <w:jc w:val="both"/>
      </w:pPr>
      <w:r>
        <w:rPr>
          <w:rFonts w:ascii="Times New Roman" w:hAnsi="Times New Roman" w:eastAsia="Times New Roman"/>
          <w:b w:val="0"/>
          <w:i w:val="0"/>
          <w:color w:val="000000"/>
          <w:sz w:val="24"/>
        </w:rPr>
        <w:t>These gaps matter because a risk tier is useful to a clinician or a patient only if it is reliable and can be explained. This study therefore builds and benchmarks an explainable machine learning framework for multi-tier hair fall risk classification. By evaluating CatBoost against two independently developed tabular foundation models, TabPFN and TabFM, alongside SHAP-based feature attribution, it examines whether zero-shot, prior-fitted transformer approaches can match a carefully tuned gradient-boosted tree on tabular health data, while keeping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val="0"/>
          <w:i w:val="0"/>
          <w:color w:val="000000"/>
          <w:sz w:val="24"/>
        </w:rPr>
        <w:t>The biological factors that disturb the hair cycle are well documented, and they usually act together rather than alone. The main ones are described below.</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one of the strongest risk indicators.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These studies are why blood indicators such as haemoglobin and iron are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 Stress can also make an existing condition worse, so it is both a cause and a consequence of hair loss.</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post-infection shedding rose sharply during the COVID-19 period (Cline et al., 2021). Research and public interest have followed the same direction: bibliometric work has mapped global research trends and emerging topics in hair loss treatment (Wang et al., 2026), and Google search patterns have been used to track worldwide interest in hair loss treatments (Todorova &amp; Kluger, 2026).</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on a real health problem is unusual and may point to an easy or synthetic-looking dataset, so it is better read as a result on that one dataset than as proof that Random Forest is best. The very low CatBoost score also suggests that the boosting models were not tuned, which is an open question this study tests properly.</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keepNext/>
        <w:spacing w:after="120" w:before="0" w:line="360" w:lineRule="auto"/>
        <w:jc w:val="left"/>
      </w:pPr>
      <w:r>
        <w:rPr>
          <w:rFonts w:ascii="Times New Roman" w:hAnsi="Times New Roman" w:eastAsia="Times New Roman"/>
          <w:b/>
          <w:i w:val="0"/>
          <w:color w:val="000000"/>
          <w:sz w:val="24"/>
        </w:rPr>
        <w:t>Table 2.1:</w:t>
      </w:r>
      <w:r>
        <w:rPr>
          <w:rFonts w:ascii="Times New Roman" w:hAnsi="Times New Roman" w:eastAsia="Times New Roman"/>
          <w:b w:val="0"/>
          <w:i w:val="0"/>
          <w:color w:val="000000"/>
          <w:sz w:val="24"/>
        </w:rPr>
        <w:t xml:space="preserve"> Summary of reviewed studies</w:t>
      </w:r>
    </w:p>
    <w:tbl>
      <w:tblPr>
        <w:tblStyle w:val="TableGrid"/>
        <w:tblW w:type="auto" w:w="0"/>
        <w:jc w:val="center"/>
        <w:tblLayout w:type="fixed"/>
        <w:tblLook w:firstColumn="1" w:firstRow="1" w:lastColumn="0" w:lastRow="0" w:noHBand="0" w:noVBand="1" w:val="04A0"/>
      </w:tblPr>
      <w:tblGrid>
        <w:gridCol w:w="1544"/>
        <w:gridCol w:w="1871"/>
        <w:gridCol w:w="1871"/>
        <w:gridCol w:w="1871"/>
        <w:gridCol w:w="1871"/>
      </w:tblGrid>
      <w:tr>
        <w:trPr>
          <w:cantSplit/>
          <w:tblHeader/>
        </w:trPr>
        <w:tc>
          <w:tcPr>
            <w:tcW w:type="dxa" w:w="1544"/>
            <w:shd w:val="clear" w:color="auto" w:fill="E7E6E6"/>
          </w:tcPr>
          <w:p>
            <w:pPr>
              <w:spacing w:after="40" w:before="40" w:line="240" w:lineRule="auto"/>
              <w:jc w:val="left"/>
            </w:pPr>
            <w:r>
              <w:rPr>
                <w:rFonts w:ascii="Times New Roman" w:hAnsi="Times New Roman" w:eastAsia="Times New Roman"/>
                <w:b/>
                <w:i w:val="0"/>
                <w:color w:val="000000"/>
                <w:sz w:val="21"/>
              </w:rPr>
              <w:t>Study</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Data</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Models</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Main result</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Limitation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Khatun et al. (2022)</w:t>
            </w:r>
          </w:p>
        </w:tc>
        <w:tc>
          <w:tcPr>
            <w:tcW w:type="dxa" w:w="1871"/>
          </w:tcPr>
          <w:p>
            <w:pPr>
              <w:spacing w:after="40" w:before="40" w:line="240" w:lineRule="auto"/>
              <w:jc w:val="left"/>
            </w:pPr>
            <w:r>
              <w:rPr>
                <w:rFonts w:ascii="Times New Roman" w:hAnsi="Times New Roman" w:eastAsia="Times New Roman"/>
                <w:b w:val="0"/>
                <w:i w:val="0"/>
                <w:color w:val="000000"/>
                <w:sz w:val="21"/>
              </w:rPr>
              <w:t>Survey, 610 people, Bangladesh</w:t>
            </w:r>
          </w:p>
        </w:tc>
        <w:tc>
          <w:tcPr>
            <w:tcW w:type="dxa" w:w="1871"/>
          </w:tcPr>
          <w:p>
            <w:pPr>
              <w:spacing w:after="40" w:before="40" w:line="240" w:lineRule="auto"/>
              <w:jc w:val="left"/>
            </w:pPr>
            <w:r>
              <w:rPr>
                <w:rFonts w:ascii="Times New Roman" w:hAnsi="Times New Roman" w:eastAsia="Times New Roman"/>
                <w:b w:val="0"/>
                <w:i w:val="0"/>
                <w:color w:val="000000"/>
                <w:sz w:val="21"/>
              </w:rPr>
              <w:t>SVM, KNN, LR, RF, XGBoost</w:t>
            </w:r>
          </w:p>
        </w:tc>
        <w:tc>
          <w:tcPr>
            <w:tcW w:type="dxa" w:w="1871"/>
          </w:tcPr>
          <w:p>
            <w:pPr>
              <w:spacing w:after="40" w:before="40" w:line="240" w:lineRule="auto"/>
              <w:jc w:val="left"/>
            </w:pPr>
            <w:r>
              <w:rPr>
                <w:rFonts w:ascii="Times New Roman" w:hAnsi="Times New Roman" w:eastAsia="Times New Roman"/>
                <w:b w:val="0"/>
                <w:i w:val="0"/>
                <w:color w:val="000000"/>
                <w:sz w:val="21"/>
              </w:rPr>
              <w:t>XGBoost 92.62%</w:t>
            </w:r>
          </w:p>
        </w:tc>
        <w:tc>
          <w:tcPr>
            <w:tcW w:type="dxa" w:w="1871"/>
          </w:tcPr>
          <w:p>
            <w:pPr>
              <w:spacing w:after="40" w:before="40" w:line="240" w:lineRule="auto"/>
              <w:jc w:val="left"/>
            </w:pPr>
            <w:r>
              <w:rPr>
                <w:rFonts w:ascii="Times New Roman" w:hAnsi="Times New Roman" w:eastAsia="Times New Roman"/>
                <w:b w:val="0"/>
                <w:i w:val="0"/>
                <w:color w:val="000000"/>
                <w:sz w:val="21"/>
              </w:rPr>
              <w:t>Classical models only,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Sai et al. (2023)</w:t>
            </w:r>
          </w:p>
        </w:tc>
        <w:tc>
          <w:tcPr>
            <w:tcW w:type="dxa" w:w="1871"/>
          </w:tcPr>
          <w:p>
            <w:pPr>
              <w:spacing w:after="40" w:before="40" w:line="240" w:lineRule="auto"/>
              <w:jc w:val="left"/>
            </w:pPr>
            <w:r>
              <w:rPr>
                <w:rFonts w:ascii="Times New Roman" w:hAnsi="Times New Roman" w:eastAsia="Times New Roman"/>
                <w:b w:val="0"/>
                <w:i w:val="0"/>
                <w:color w:val="000000"/>
                <w:sz w:val="21"/>
              </w:rPr>
              <w:t>Hair fall data</w:t>
            </w:r>
          </w:p>
        </w:tc>
        <w:tc>
          <w:tcPr>
            <w:tcW w:type="dxa" w:w="1871"/>
          </w:tcPr>
          <w:p>
            <w:pPr>
              <w:spacing w:after="40" w:before="40" w:line="240" w:lineRule="auto"/>
              <w:jc w:val="left"/>
            </w:pPr>
            <w:r>
              <w:rPr>
                <w:rFonts w:ascii="Times New Roman" w:hAnsi="Times New Roman" w:eastAsia="Times New Roman"/>
                <w:b w:val="0"/>
                <w:i w:val="0"/>
                <w:color w:val="000000"/>
                <w:sz w:val="21"/>
              </w:rPr>
              <w:t>SVM, KNN, DT, RF, LR, ensemble</w:t>
            </w:r>
          </w:p>
        </w:tc>
        <w:tc>
          <w:tcPr>
            <w:tcW w:type="dxa" w:w="1871"/>
          </w:tcPr>
          <w:p>
            <w:pPr>
              <w:spacing w:after="40" w:before="40" w:line="240" w:lineRule="auto"/>
              <w:jc w:val="left"/>
            </w:pPr>
            <w:r>
              <w:rPr>
                <w:rFonts w:ascii="Times New Roman" w:hAnsi="Times New Roman" w:eastAsia="Times New Roman"/>
                <w:b w:val="0"/>
                <w:i w:val="0"/>
                <w:color w:val="000000"/>
                <w:sz w:val="21"/>
              </w:rPr>
              <w:t>Ensemble best</w:t>
            </w:r>
          </w:p>
        </w:tc>
        <w:tc>
          <w:tcPr>
            <w:tcW w:type="dxa" w:w="1871"/>
          </w:tcPr>
          <w:p>
            <w:pPr>
              <w:spacing w:after="40" w:before="40" w:line="240" w:lineRule="auto"/>
              <w:jc w:val="left"/>
            </w:pPr>
            <w:r>
              <w:rPr>
                <w:rFonts w:ascii="Times New Roman" w:hAnsi="Times New Roman" w:eastAsia="Times New Roman"/>
                <w:b w:val="0"/>
                <w:i w:val="0"/>
                <w:color w:val="000000"/>
                <w:sz w:val="21"/>
              </w:rPr>
              <w:t>No categorical-aware boosting,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Kumar et al. (2025)</w:t>
            </w:r>
          </w:p>
        </w:tc>
        <w:tc>
          <w:tcPr>
            <w:tcW w:type="dxa" w:w="1871"/>
          </w:tcPr>
          <w:p>
            <w:pPr>
              <w:spacing w:after="40" w:before="40" w:line="240" w:lineRule="auto"/>
              <w:jc w:val="left"/>
            </w:pPr>
            <w:r>
              <w:rPr>
                <w:rFonts w:ascii="Times New Roman" w:hAnsi="Times New Roman" w:eastAsia="Times New Roman"/>
                <w:b w:val="0"/>
                <w:i w:val="0"/>
                <w:color w:val="000000"/>
                <w:sz w:val="21"/>
              </w:rPr>
              <w:t>2,000 records, 10 features</w:t>
            </w:r>
          </w:p>
        </w:tc>
        <w:tc>
          <w:tcPr>
            <w:tcW w:type="dxa" w:w="1871"/>
          </w:tcPr>
          <w:p>
            <w:pPr>
              <w:spacing w:after="40" w:before="40" w:line="240" w:lineRule="auto"/>
              <w:jc w:val="left"/>
            </w:pPr>
            <w:r>
              <w:rPr>
                <w:rFonts w:ascii="Times New Roman" w:hAnsi="Times New Roman" w:eastAsia="Times New Roman"/>
                <w:b w:val="0"/>
                <w:i w:val="0"/>
                <w:color w:val="000000"/>
                <w:sz w:val="21"/>
              </w:rPr>
              <w:t>RF, XGBoost, CatBoost, LightGBM and others</w:t>
            </w:r>
          </w:p>
        </w:tc>
        <w:tc>
          <w:tcPr>
            <w:tcW w:type="dxa" w:w="1871"/>
          </w:tcPr>
          <w:p>
            <w:pPr>
              <w:spacing w:after="40" w:before="40" w:line="240" w:lineRule="auto"/>
              <w:jc w:val="left"/>
            </w:pPr>
            <w:r>
              <w:rPr>
                <w:rFonts w:ascii="Times New Roman" w:hAnsi="Times New Roman" w:eastAsia="Times New Roman"/>
                <w:b w:val="0"/>
                <w:i w:val="0"/>
                <w:color w:val="000000"/>
                <w:sz w:val="21"/>
              </w:rPr>
              <w:t>RF 100%, CatBoost 49.5%</w:t>
            </w:r>
          </w:p>
        </w:tc>
        <w:tc>
          <w:tcPr>
            <w:tcW w:type="dxa" w:w="1871"/>
          </w:tcPr>
          <w:p>
            <w:pPr>
              <w:spacing w:after="40" w:before="40" w:line="240" w:lineRule="auto"/>
              <w:jc w:val="left"/>
            </w:pPr>
            <w:r>
              <w:rPr>
                <w:rFonts w:ascii="Times New Roman" w:hAnsi="Times New Roman" w:eastAsia="Times New Roman"/>
                <w:b w:val="0"/>
                <w:i w:val="0"/>
                <w:color w:val="000000"/>
                <w:sz w:val="21"/>
              </w:rPr>
              <w:t>Suspiciously high score, CatBoost untuned</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Siami and Azis (2025)</w:t>
            </w:r>
          </w:p>
        </w:tc>
        <w:tc>
          <w:tcPr>
            <w:tcW w:type="dxa" w:w="1871"/>
          </w:tcPr>
          <w:p>
            <w:pPr>
              <w:spacing w:after="40" w:before="40" w:line="240" w:lineRule="auto"/>
              <w:jc w:val="left"/>
            </w:pPr>
            <w:r>
              <w:rPr>
                <w:rFonts w:ascii="Times New Roman" w:hAnsi="Times New Roman" w:eastAsia="Times New Roman"/>
                <w:b w:val="0"/>
                <w:i w:val="0"/>
                <w:color w:val="000000"/>
                <w:sz w:val="21"/>
              </w:rPr>
              <w:t>Balanced multi-factor data</w:t>
            </w:r>
          </w:p>
        </w:tc>
        <w:tc>
          <w:tcPr>
            <w:tcW w:type="dxa" w:w="1871"/>
          </w:tcPr>
          <w:p>
            <w:pPr>
              <w:spacing w:after="40" w:before="40" w:line="240" w:lineRule="auto"/>
              <w:jc w:val="left"/>
            </w:pPr>
            <w:r>
              <w:rPr>
                <w:rFonts w:ascii="Times New Roman" w:hAnsi="Times New Roman" w:eastAsia="Times New Roman"/>
                <w:b w:val="0"/>
                <w:i w:val="0"/>
                <w:color w:val="000000"/>
                <w:sz w:val="21"/>
              </w:rPr>
              <w:t>LR, DT, RF, GB, XGBoost, voting</w:t>
            </w:r>
          </w:p>
        </w:tc>
        <w:tc>
          <w:tcPr>
            <w:tcW w:type="dxa" w:w="1871"/>
          </w:tcPr>
          <w:p>
            <w:pPr>
              <w:spacing w:after="40" w:before="40" w:line="240" w:lineRule="auto"/>
              <w:jc w:val="left"/>
            </w:pPr>
            <w:r>
              <w:rPr>
                <w:rFonts w:ascii="Times New Roman" w:hAnsi="Times New Roman" w:eastAsia="Times New Roman"/>
                <w:b w:val="0"/>
                <w:i w:val="0"/>
                <w:color w:val="000000"/>
                <w:sz w:val="21"/>
              </w:rPr>
              <w:t>About 50% at best</w:t>
            </w:r>
          </w:p>
        </w:tc>
        <w:tc>
          <w:tcPr>
            <w:tcW w:type="dxa" w:w="1871"/>
          </w:tcPr>
          <w:p>
            <w:pPr>
              <w:spacing w:after="40" w:before="40" w:line="240" w:lineRule="auto"/>
              <w:jc w:val="left"/>
            </w:pPr>
            <w:r>
              <w:rPr>
                <w:rFonts w:ascii="Times New Roman" w:hAnsi="Times New Roman" w:eastAsia="Times New Roman"/>
                <w:b w:val="0"/>
                <w:i w:val="0"/>
                <w:color w:val="000000"/>
                <w:sz w:val="21"/>
              </w:rPr>
              <w:t>Weak signal, modest accuracy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Leema et al. (2025)</w:t>
            </w:r>
          </w:p>
        </w:tc>
        <w:tc>
          <w:tcPr>
            <w:tcW w:type="dxa" w:w="1871"/>
          </w:tcPr>
          <w:p>
            <w:pPr>
              <w:spacing w:after="40" w:before="40" w:line="240" w:lineRule="auto"/>
              <w:jc w:val="left"/>
            </w:pPr>
            <w:r>
              <w:rPr>
                <w:rFonts w:ascii="Times New Roman" w:hAnsi="Times New Roman" w:eastAsia="Times New Roman"/>
                <w:b w:val="0"/>
                <w:i w:val="0"/>
                <w:color w:val="000000"/>
                <w:sz w:val="21"/>
              </w:rPr>
              <w:t>Survey, 750 people</w:t>
            </w:r>
          </w:p>
        </w:tc>
        <w:tc>
          <w:tcPr>
            <w:tcW w:type="dxa" w:w="1871"/>
          </w:tcPr>
          <w:p>
            <w:pPr>
              <w:spacing w:after="40" w:before="40" w:line="240" w:lineRule="auto"/>
              <w:jc w:val="left"/>
            </w:pPr>
            <w:r>
              <w:rPr>
                <w:rFonts w:ascii="Times New Roman" w:hAnsi="Times New Roman" w:eastAsia="Times New Roman"/>
                <w:b w:val="0"/>
                <w:i w:val="0"/>
                <w:color w:val="000000"/>
                <w:sz w:val="21"/>
              </w:rPr>
              <w:t>LSTM, RF, TFT, ARIMAX</w:t>
            </w:r>
          </w:p>
        </w:tc>
        <w:tc>
          <w:tcPr>
            <w:tcW w:type="dxa" w:w="1871"/>
          </w:tcPr>
          <w:p>
            <w:pPr>
              <w:spacing w:after="40" w:before="40" w:line="240" w:lineRule="auto"/>
              <w:jc w:val="left"/>
            </w:pPr>
            <w:r>
              <w:rPr>
                <w:rFonts w:ascii="Times New Roman" w:hAnsi="Times New Roman" w:eastAsia="Times New Roman"/>
                <w:b w:val="0"/>
                <w:i w:val="0"/>
                <w:color w:val="000000"/>
                <w:sz w:val="21"/>
              </w:rPr>
              <w:t>TFT 97.5%</w:t>
            </w:r>
          </w:p>
        </w:tc>
        <w:tc>
          <w:tcPr>
            <w:tcW w:type="dxa" w:w="1871"/>
          </w:tcPr>
          <w:p>
            <w:pPr>
              <w:spacing w:after="40" w:before="40" w:line="240" w:lineRule="auto"/>
              <w:jc w:val="left"/>
            </w:pPr>
            <w:r>
              <w:rPr>
                <w:rFonts w:ascii="Times New Roman" w:hAnsi="Times New Roman" w:eastAsia="Times New Roman"/>
                <w:b w:val="0"/>
                <w:i w:val="0"/>
                <w:color w:val="000000"/>
                <w:sz w:val="21"/>
              </w:rPr>
              <w:t>Private data, self-reported only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Shakeel et al. (2021)</w:t>
            </w:r>
          </w:p>
        </w:tc>
        <w:tc>
          <w:tcPr>
            <w:tcW w:type="dxa" w:w="1871"/>
          </w:tcPr>
          <w:p>
            <w:pPr>
              <w:spacing w:after="40" w:before="40" w:line="240" w:lineRule="auto"/>
              <w:jc w:val="left"/>
            </w:pPr>
            <w:r>
              <w:rPr>
                <w:rFonts w:ascii="Times New Roman" w:hAnsi="Times New Roman" w:eastAsia="Times New Roman"/>
                <w:b w:val="0"/>
                <w:i w:val="0"/>
                <w:color w:val="000000"/>
                <w:sz w:val="21"/>
              </w:rPr>
              <w:t>Hair images</w:t>
            </w:r>
          </w:p>
        </w:tc>
        <w:tc>
          <w:tcPr>
            <w:tcW w:type="dxa" w:w="1871"/>
          </w:tcPr>
          <w:p>
            <w:pPr>
              <w:spacing w:after="40" w:before="40" w:line="240" w:lineRule="auto"/>
              <w:jc w:val="left"/>
            </w:pPr>
            <w:r>
              <w:rPr>
                <w:rFonts w:ascii="Times New Roman" w:hAnsi="Times New Roman" w:eastAsia="Times New Roman"/>
                <w:b w:val="0"/>
                <w:i w:val="0"/>
                <w:color w:val="000000"/>
                <w:sz w:val="21"/>
              </w:rPr>
              <w:t>SVM, KNN</w:t>
            </w:r>
          </w:p>
        </w:tc>
        <w:tc>
          <w:tcPr>
            <w:tcW w:type="dxa" w:w="1871"/>
          </w:tcPr>
          <w:p>
            <w:pPr>
              <w:spacing w:after="40" w:before="40" w:line="240" w:lineRule="auto"/>
              <w:jc w:val="left"/>
            </w:pPr>
            <w:r>
              <w:rPr>
                <w:rFonts w:ascii="Times New Roman" w:hAnsi="Times New Roman" w:eastAsia="Times New Roman"/>
                <w:b w:val="0"/>
                <w:i w:val="0"/>
                <w:color w:val="000000"/>
                <w:sz w:val="21"/>
              </w:rPr>
              <w:t>91.4% and 88.9%</w:t>
            </w:r>
          </w:p>
        </w:tc>
        <w:tc>
          <w:tcPr>
            <w:tcW w:type="dxa" w:w="1871"/>
          </w:tcPr>
          <w:p>
            <w:pPr>
              <w:spacing w:after="40" w:before="40" w:line="240" w:lineRule="auto"/>
              <w:jc w:val="left"/>
            </w:pPr>
            <w:r>
              <w:rPr>
                <w:rFonts w:ascii="Times New Roman" w:hAnsi="Times New Roman" w:eastAsia="Times New Roman"/>
                <w:b w:val="0"/>
                <w:i w:val="0"/>
                <w:color w:val="000000"/>
                <w:sz w:val="21"/>
              </w:rPr>
              <w:t>Images needed,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Sayyad et al. (2022)</w:t>
            </w:r>
          </w:p>
        </w:tc>
        <w:tc>
          <w:tcPr>
            <w:tcW w:type="dxa" w:w="1871"/>
          </w:tcPr>
          <w:p>
            <w:pPr>
              <w:spacing w:after="40" w:before="40" w:line="240" w:lineRule="auto"/>
              <w:jc w:val="left"/>
            </w:pPr>
            <w:r>
              <w:rPr>
                <w:rFonts w:ascii="Times New Roman" w:hAnsi="Times New Roman" w:eastAsia="Times New Roman"/>
                <w:b w:val="0"/>
                <w:i w:val="0"/>
                <w:color w:val="000000"/>
                <w:sz w:val="21"/>
              </w:rPr>
              <w:t>268 images</w:t>
            </w:r>
          </w:p>
        </w:tc>
        <w:tc>
          <w:tcPr>
            <w:tcW w:type="dxa" w:w="1871"/>
          </w:tcPr>
          <w:p>
            <w:pPr>
              <w:spacing w:after="40" w:before="40" w:line="240" w:lineRule="auto"/>
              <w:jc w:val="left"/>
            </w:pPr>
            <w:r>
              <w:rPr>
                <w:rFonts w:ascii="Times New Roman" w:hAnsi="Times New Roman" w:eastAsia="Times New Roman"/>
                <w:b w:val="0"/>
                <w:i w:val="0"/>
                <w:color w:val="000000"/>
                <w:sz w:val="21"/>
              </w:rPr>
              <w:t>VGG with SVM</w:t>
            </w:r>
          </w:p>
        </w:tc>
        <w:tc>
          <w:tcPr>
            <w:tcW w:type="dxa" w:w="1871"/>
          </w:tcPr>
          <w:p>
            <w:pPr>
              <w:spacing w:after="40" w:before="40" w:line="240" w:lineRule="auto"/>
              <w:jc w:val="left"/>
            </w:pPr>
            <w:r>
              <w:rPr>
                <w:rFonts w:ascii="Times New Roman" w:hAnsi="Times New Roman" w:eastAsia="Times New Roman"/>
                <w:b w:val="0"/>
                <w:i w:val="0"/>
                <w:color w:val="000000"/>
                <w:sz w:val="21"/>
              </w:rPr>
              <w:t>98.31%</w:t>
            </w:r>
          </w:p>
        </w:tc>
        <w:tc>
          <w:tcPr>
            <w:tcW w:type="dxa" w:w="1871"/>
          </w:tcPr>
          <w:p>
            <w:pPr>
              <w:spacing w:after="40" w:before="40" w:line="240" w:lineRule="auto"/>
              <w:jc w:val="left"/>
            </w:pPr>
            <w:r>
              <w:rPr>
                <w:rFonts w:ascii="Times New Roman" w:hAnsi="Times New Roman" w:eastAsia="Times New Roman"/>
                <w:b w:val="0"/>
                <w:i w:val="0"/>
                <w:color w:val="000000"/>
                <w:sz w:val="21"/>
              </w:rPr>
              <w:t>Small image set,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Pandikumar et al. (2024)</w:t>
            </w:r>
          </w:p>
        </w:tc>
        <w:tc>
          <w:tcPr>
            <w:tcW w:type="dxa" w:w="1871"/>
          </w:tcPr>
          <w:p>
            <w:pPr>
              <w:spacing w:after="40" w:before="40" w:line="240" w:lineRule="auto"/>
              <w:jc w:val="left"/>
            </w:pPr>
            <w:r>
              <w:rPr>
                <w:rFonts w:ascii="Times New Roman" w:hAnsi="Times New Roman" w:eastAsia="Times New Roman"/>
                <w:b w:val="0"/>
                <w:i w:val="0"/>
                <w:color w:val="000000"/>
                <w:sz w:val="21"/>
              </w:rPr>
              <w:t>Scalp images and lifestyle sequences</w:t>
            </w:r>
          </w:p>
        </w:tc>
        <w:tc>
          <w:tcPr>
            <w:tcW w:type="dxa" w:w="1871"/>
          </w:tcPr>
          <w:p>
            <w:pPr>
              <w:spacing w:after="40" w:before="40" w:line="240" w:lineRule="auto"/>
              <w:jc w:val="left"/>
            </w:pPr>
            <w:r>
              <w:rPr>
                <w:rFonts w:ascii="Times New Roman" w:hAnsi="Times New Roman" w:eastAsia="Times New Roman"/>
                <w:b w:val="0"/>
                <w:i w:val="0"/>
                <w:color w:val="000000"/>
                <w:sz w:val="21"/>
              </w:rPr>
              <w:t>CNN, LSTM</w:t>
            </w:r>
          </w:p>
        </w:tc>
        <w:tc>
          <w:tcPr>
            <w:tcW w:type="dxa" w:w="1871"/>
          </w:tcPr>
          <w:p>
            <w:pPr>
              <w:spacing w:after="40" w:before="40" w:line="240" w:lineRule="auto"/>
              <w:jc w:val="left"/>
            </w:pPr>
            <w:r>
              <w:rPr>
                <w:rFonts w:ascii="Times New Roman" w:hAnsi="Times New Roman" w:eastAsia="Times New Roman"/>
                <w:b w:val="0"/>
                <w:i w:val="0"/>
                <w:color w:val="000000"/>
                <w:sz w:val="21"/>
              </w:rPr>
              <w:t>Framework proposed</w:t>
            </w:r>
          </w:p>
        </w:tc>
        <w:tc>
          <w:tcPr>
            <w:tcW w:type="dxa" w:w="1871"/>
          </w:tcPr>
          <w:p>
            <w:pPr>
              <w:spacing w:after="40" w:before="40" w:line="240" w:lineRule="auto"/>
              <w:jc w:val="left"/>
            </w:pPr>
            <w:r>
              <w:rPr>
                <w:rFonts w:ascii="Times New Roman" w:hAnsi="Times New Roman" w:eastAsia="Times New Roman"/>
                <w:b w:val="0"/>
                <w:i w:val="0"/>
                <w:color w:val="000000"/>
                <w:sz w:val="21"/>
              </w:rPr>
              <w:t>Needs images</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Prokhorenkova et al. (2018)</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CatBoost</w:t>
            </w:r>
          </w:p>
        </w:tc>
        <w:tc>
          <w:tcPr>
            <w:tcW w:type="dxa" w:w="1871"/>
          </w:tcPr>
          <w:p>
            <w:pPr>
              <w:spacing w:after="40" w:before="40" w:line="240" w:lineRule="auto"/>
              <w:jc w:val="left"/>
            </w:pPr>
            <w:r>
              <w:rPr>
                <w:rFonts w:ascii="Times New Roman" w:hAnsi="Times New Roman" w:eastAsia="Times New Roman"/>
                <w:b w:val="0"/>
                <w:i w:val="0"/>
                <w:color w:val="000000"/>
                <w:sz w:val="21"/>
              </w:rPr>
              <w:t>Beats other boosting libraries</w:t>
            </w:r>
          </w:p>
        </w:tc>
        <w:tc>
          <w:tcPr>
            <w:tcW w:type="dxa" w:w="1871"/>
          </w:tcPr>
          <w:p>
            <w:pPr>
              <w:spacing w:after="40" w:before="40" w:line="240" w:lineRule="auto"/>
              <w:jc w:val="left"/>
            </w:pPr>
            <w:r>
              <w:rPr>
                <w:rFonts w:ascii="Times New Roman" w:hAnsi="Times New Roman" w:eastAsia="Times New Roman"/>
                <w:b w:val="0"/>
                <w:i w:val="0"/>
                <w:color w:val="000000"/>
                <w:sz w:val="21"/>
              </w:rPr>
              <w:t>Not health-specific</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Hollmann et al. (2025)</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TabPFN</w:t>
            </w:r>
          </w:p>
        </w:tc>
        <w:tc>
          <w:tcPr>
            <w:tcW w:type="dxa" w:w="1871"/>
          </w:tcPr>
          <w:p>
            <w:pPr>
              <w:spacing w:after="40" w:before="40" w:line="240" w:lineRule="auto"/>
              <w:jc w:val="left"/>
            </w:pPr>
            <w:r>
              <w:rPr>
                <w:rFonts w:ascii="Times New Roman" w:hAnsi="Times New Roman" w:eastAsia="Times New Roman"/>
                <w:b w:val="0"/>
                <w:i w:val="0"/>
                <w:color w:val="000000"/>
                <w:sz w:val="21"/>
              </w:rPr>
              <w:t>Strong on small tables</w:t>
            </w:r>
          </w:p>
        </w:tc>
        <w:tc>
          <w:tcPr>
            <w:tcW w:type="dxa" w:w="1871"/>
          </w:tcPr>
          <w:p>
            <w:pPr>
              <w:spacing w:after="40" w:before="40" w:line="240" w:lineRule="auto"/>
              <w:jc w:val="left"/>
            </w:pPr>
            <w:r>
              <w:rPr>
                <w:rFonts w:ascii="Times New Roman" w:hAnsi="Times New Roman" w:eastAsia="Times New Roman"/>
                <w:b w:val="0"/>
                <w:i w:val="0"/>
                <w:color w:val="000000"/>
                <w:sz w:val="21"/>
              </w:rPr>
              <w:t>No hair loss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Kong et al. (2026)</w:t>
            </w:r>
          </w:p>
        </w:tc>
        <w:tc>
          <w:tcPr>
            <w:tcW w:type="dxa" w:w="1871"/>
          </w:tcPr>
          <w:p>
            <w:pPr>
              <w:spacing w:after="40" w:before="40" w:line="240" w:lineRule="auto"/>
              <w:jc w:val="left"/>
            </w:pPr>
            <w:r>
              <w:rPr>
                <w:rFonts w:ascii="Times New Roman" w:hAnsi="Times New Roman" w:eastAsia="Times New Roman"/>
                <w:b w:val="0"/>
                <w:i w:val="0"/>
                <w:color w:val="000000"/>
                <w:sz w:val="21"/>
              </w:rPr>
              <w:t>TabArena, 51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w:t>
            </w:r>
          </w:p>
        </w:tc>
        <w:tc>
          <w:tcPr>
            <w:tcW w:type="dxa" w:w="1871"/>
          </w:tcPr>
          <w:p>
            <w:pPr>
              <w:spacing w:after="40" w:before="40" w:line="240" w:lineRule="auto"/>
              <w:jc w:val="left"/>
            </w:pPr>
            <w:r>
              <w:rPr>
                <w:rFonts w:ascii="Times New Roman" w:hAnsi="Times New Roman" w:eastAsia="Times New Roman"/>
                <w:b w:val="0"/>
                <w:i w:val="0"/>
                <w:color w:val="000000"/>
                <w:sz w:val="21"/>
              </w:rPr>
              <w:t>First among default foundation models</w:t>
            </w:r>
          </w:p>
        </w:tc>
        <w:tc>
          <w:tcPr>
            <w:tcW w:type="dxa" w:w="1871"/>
          </w:tcPr>
          <w:p>
            <w:pPr>
              <w:spacing w:after="40" w:before="40" w:line="240" w:lineRule="auto"/>
              <w:jc w:val="left"/>
            </w:pPr>
            <w:r>
              <w:rPr>
                <w:rFonts w:ascii="Times New Roman" w:hAnsi="Times New Roman" w:eastAsia="Times New Roman"/>
                <w:b w:val="0"/>
                <w:i w:val="0"/>
                <w:color w:val="000000"/>
                <w:sz w:val="21"/>
              </w:rPr>
              <w:t>No health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Pandey (2026)</w:t>
            </w:r>
          </w:p>
        </w:tc>
        <w:tc>
          <w:tcPr>
            <w:tcW w:type="dxa" w:w="1871"/>
          </w:tcPr>
          <w:p>
            <w:pPr>
              <w:spacing w:after="40" w:before="40" w:line="240" w:lineRule="auto"/>
              <w:jc w:val="left"/>
            </w:pPr>
            <w:r>
              <w:rPr>
                <w:rFonts w:ascii="Times New Roman" w:hAnsi="Times New Roman" w:eastAsia="Times New Roman"/>
                <w:b w:val="0"/>
                <w:i w:val="0"/>
                <w:color w:val="000000"/>
                <w:sz w:val="21"/>
              </w:rPr>
              <w:t>13 TabArena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 vs XGBoost, RF, TabPFN</w:t>
            </w:r>
          </w:p>
        </w:tc>
        <w:tc>
          <w:tcPr>
            <w:tcW w:type="dxa" w:w="1871"/>
          </w:tcPr>
          <w:p>
            <w:pPr>
              <w:spacing w:after="40" w:before="40" w:line="240" w:lineRule="auto"/>
              <w:jc w:val="left"/>
            </w:pPr>
            <w:r>
              <w:rPr>
                <w:rFonts w:ascii="Times New Roman" w:hAnsi="Times New Roman" w:eastAsia="Times New Roman"/>
                <w:b w:val="0"/>
                <w:i w:val="0"/>
                <w:color w:val="000000"/>
                <w:sz w:val="21"/>
              </w:rPr>
              <w:t>Confirmed competitive</w:t>
            </w:r>
          </w:p>
        </w:tc>
        <w:tc>
          <w:tcPr>
            <w:tcW w:type="dxa" w:w="1871"/>
          </w:tcPr>
          <w:p>
            <w:pPr>
              <w:spacing w:after="40" w:before="40" w:line="240" w:lineRule="auto"/>
              <w:jc w:val="left"/>
            </w:pPr>
            <w:r>
              <w:rPr>
                <w:rFonts w:ascii="Times New Roman" w:hAnsi="Times New Roman" w:eastAsia="Times New Roman"/>
                <w:b w:val="0"/>
                <w:i w:val="0"/>
                <w:color w:val="000000"/>
                <w:sz w:val="21"/>
              </w:rPr>
              <w:t>Four defects, memory limit</w:t>
            </w:r>
          </w:p>
        </w:tc>
      </w:tr>
    </w:tbl>
    <w:p>
      <w:pPr>
        <w:spacing w:after="120" w:before="0" w:line="240" w:lineRule="auto"/>
      </w:pPr>
    </w:p>
    <w:p>
      <w:pPr>
        <w:spacing w:after="240" w:before="0" w:line="360" w:lineRule="auto"/>
        <w:jc w:val="both"/>
      </w:pPr>
      <w:r>
        <w:rPr>
          <w:rFonts w:ascii="Times New Roman" w:hAnsi="Times New Roman" w:eastAsia="Times New Roman"/>
          <w:b w:val="0"/>
          <w:i/>
          <w:color w:val="000000"/>
          <w:sz w:val="24"/>
        </w:rPr>
        <w:t>LR = Logistic Regression, DT = Decision Tree, RF = Random Forest, GB = Gradient Boosting.</w:t>
      </w:r>
    </w:p>
    <w:p>
      <w:pPr>
        <w:pStyle w:val="Heading3"/>
        <w:keepNext/>
        <w:spacing w:after="240" w:before="120" w:line="360" w:lineRule="auto"/>
        <w:jc w:val="left"/>
      </w:pPr>
      <w:r>
        <w:rPr>
          <w:rFonts w:ascii="Times New Roman" w:hAnsi="Times New Roman" w:eastAsia="Times New Roman"/>
          <w:b/>
          <w:color w:val="000000"/>
          <w:sz w:val="24"/>
        </w:rPr>
        <w:t>2.2.1 Research Gap</w:t>
      </w:r>
    </w:p>
    <w:p>
      <w:pPr>
        <w:spacing w:after="240" w:before="0" w:line="360" w:lineRule="auto"/>
        <w:jc w:val="both"/>
      </w:pPr>
      <w:r>
        <w:rPr>
          <w:rFonts w:ascii="Times New Roman" w:hAnsi="Times New Roman" w:eastAsia="Times New Roman"/>
          <w:b w:val="0"/>
          <w:i w:val="0"/>
          <w:color w:val="000000"/>
          <w:sz w:val="24"/>
        </w:rPr>
        <w:t>Reading the studies together shows five gaps, and each one explains a choice made in this project.</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Only classical algorithms were compared on hair loss tables.</w:t>
      </w:r>
      <w:r>
        <w:rPr>
          <w:rFonts w:ascii="Times New Roman" w:hAnsi="Times New Roman" w:eastAsia="Times New Roman"/>
          <w:b w:val="0"/>
          <w:i w:val="0"/>
          <w:color w:val="000000"/>
          <w:sz w:val="24"/>
        </w:rPr>
        <w:t xml:space="preserve"> The survey-based studies used Logistic Regression, SVM, KNN, Random Forest, and XGBoost (Khatun et al., 2022; Sai et al., 2023; Siami &amp; Azis, 2025). The reported accuracies range from about 50% to 100% on different datasets, so there is no reliable picture of which type of model suits hair loss data. This project therefore compares different families of models on one dataset with one fixed split.</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CatBoost was never properly tuned for hair loss.</w:t>
      </w:r>
      <w:r>
        <w:rPr>
          <w:rFonts w:ascii="Times New Roman" w:hAnsi="Times New Roman" w:eastAsia="Times New Roman"/>
          <w:b w:val="0"/>
          <w:i w:val="0"/>
          <w:color w:val="000000"/>
          <w:sz w:val="24"/>
        </w:rPr>
        <w:t xml:space="preserve"> CatBoost was designed for categorical features, which dominate survey data, yet it appears only once as a side comparison with a low score (Kumar et al., 2025). This project tunes CatBoost carefully so that it acts as a strong baseline.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Tabular foundation models have not been tested on hair loss or on health survey data.</w:t>
      </w:r>
      <w:r>
        <w:rPr>
          <w:rFonts w:ascii="Times New Roman" w:hAnsi="Times New Roman" w:eastAsia="Times New Roman"/>
          <w:b w:val="0"/>
          <w:i w:val="0"/>
          <w:color w:val="000000"/>
          <w:sz w:val="24"/>
        </w:rPr>
        <w:t xml:space="preserve"> TabPFN and TabFM were evaluated on general benchmarks (Hollmann et al., 2025; Kong et al., 2026), and the only independent check of TabFM used TabArena datasets (Pandey, 2026). Whether such models can match a tuned boosted-tree model on a health table is not known. This is the reason TabPFN and TabFM are included and given the same data.</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TabFM is very new and its practical limits are unclear.</w:t>
      </w:r>
      <w:r>
        <w:rPr>
          <w:rFonts w:ascii="Times New Roman" w:hAnsi="Times New Roman" w:eastAsia="Times New Roman"/>
          <w:b w:val="0"/>
          <w:i w:val="0"/>
          <w:color w:val="000000"/>
          <w:sz w:val="24"/>
        </w:rPr>
        <w:t xml:space="preserve"> The independent reproduction found software defects and memory failures on larger tables (Pandey, 2026). Running TabFM on a real dataset and reporting its cost and limitations is a contribution in itself.</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Explanations are not compared across models.</w:t>
      </w:r>
      <w:r>
        <w:rPr>
          <w:rFonts w:ascii="Times New Roman" w:hAnsi="Times New Roman" w:eastAsia="Times New Roman"/>
          <w:b w:val="0"/>
          <w:i w:val="0"/>
          <w:color w:val="000000"/>
          <w:sz w:val="24"/>
        </w:rPr>
        <w:t xml:space="preserve"> The hair loss studies report accuracy and rarely explain individual predictions, and none explains a boosted-tree model and foundation models side by side. This project applies SHAP (Lundberg &amp; Lee, 2017) to all three models so the clinical plausibility of their explanations can be compared.</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spacing w:after="240" w:before="0" w:line="360" w:lineRule="auto"/>
        <w:jc w:val="both"/>
      </w:pPr>
      <w:r>
        <w:rPr>
          <w:rFonts w:ascii="Times New Roman" w:hAnsi="Times New Roman" w:eastAsia="Times New Roman"/>
          <w:b w:val="0"/>
          <w:i w:val="0"/>
          <w:color w:val="000000"/>
          <w:sz w:val="24"/>
        </w:rPr>
        <w:t>The framework serves the two objectives in Chapter 1. Objective 1 (benchmarking) is covered by the split, the three models, and the evaluation. Objective 2 (transparent insight) is covered by the SHAP stage.</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were the sources of the data: Dataset 1, with 100,000 records of blood and body measurements (Dhankour, 2023), and Dataset 2, a survey of 716 people on their health and lifestyle (Arnob et al., 2024). Because they describe different people and share no record key, they were combined in five steps, which are implemented in a script with a fixed random seed (42) so that they can be repeated.</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Super dataset.</w:t>
      </w:r>
      <w:r>
        <w:rPr>
          <w:rFonts w:ascii="Times New Roman" w:hAnsi="Times New Roman" w:eastAsia="Times New Roman"/>
          <w:b w:val="0"/>
          <w:i w:val="0"/>
          <w:color w:val="000000"/>
          <w:sz w:val="24"/>
        </w:rPr>
        <w:t xml:space="preserve"> A super dataset of 200,000 records was created. Every Dataset 1 record was used twice, and each was paired at random with a Dataset 2 respondent, so every record holds all columns of Dataset 1 and of Dataset 2 together with the row numbers of the two source records. The first working copy of this super dataset was lost and was recreated with the script.</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Cleaning.</w:t>
      </w:r>
      <w:r>
        <w:rPr>
          <w:rFonts w:ascii="Times New Roman" w:hAnsi="Times New Roman" w:eastAsia="Times New Roman"/>
          <w:b w:val="0"/>
          <w:i w:val="0"/>
          <w:color w:val="000000"/>
          <w:sz w:val="24"/>
        </w:rPr>
        <w:t xml:space="preserve"> Typing errors in Dataset 2 were corrected, one impossible age (218 years) was removed, and 145 duplicate records were removed, leaving 199,855 records.</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Matching.</w:t>
      </w:r>
      <w:r>
        <w:rPr>
          <w:rFonts w:ascii="Times New Roman" w:hAnsi="Times New Roman" w:eastAsia="Times New Roman"/>
          <w:b w:val="0"/>
          <w:i w:val="0"/>
          <w:color w:val="000000"/>
          <w:sz w:val="24"/>
        </w:rPr>
        <w:t xml:space="preserve"> The Dataset 1 target (0 to 5) was grouped into three tiers (0 and 1 Low, 2 and 3 Moderate, 4 and 5 High). A record was kept only when the answer to "Do you have a hair fall problem?" from Dataset 2 agreed with this tier (No for Low, Yes for Moderate and High). This left 111,599 records.</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Selection.</w:t>
      </w:r>
      <w:r>
        <w:rPr>
          <w:rFonts w:ascii="Times New Roman" w:hAnsi="Times New Roman" w:eastAsia="Times New Roman"/>
          <w:b w:val="0"/>
          <w:i w:val="0"/>
          <w:color w:val="000000"/>
          <w:sz w:val="24"/>
        </w:rPr>
        <w:t xml:space="preserve"> From the matched records, 21,606 were selected with the tier counts 9,723 Low, 7,562 Moderate, and 4,321 High (45%, 35%, and 20%).</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Mapping.</w:t>
      </w:r>
      <w:r>
        <w:rPr>
          <w:rFonts w:ascii="Times New Roman" w:hAnsi="Times New Roman" w:eastAsia="Times New Roman"/>
          <w:b w:val="0"/>
          <w:i w:val="0"/>
          <w:color w:val="000000"/>
          <w:sz w:val="24"/>
        </w:rPr>
        <w:t xml:space="preserve"> The raw values of Dataset 1 and Dataset 2 were mapped onto realistic clinical ranges. Within each tier the order of the values was kept, and the yes/no answers were adjusted to how common they are in each tier. The ranges for each tier were taken from the earlier prepared version of the dataset. The result is the final dataset (data.csv).</w:t>
      </w:r>
    </w:p>
    <w:p>
      <w:pPr>
        <w:keepNext/>
        <w:spacing w:after="120" w:before="0" w:line="360" w:lineRule="auto"/>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1539"/>
        <w:gridCol w:w="2052"/>
        <w:gridCol w:w="975"/>
        <w:gridCol w:w="1282"/>
        <w:gridCol w:w="2052"/>
        <w:gridCol w:w="1129"/>
      </w:tblGrid>
      <w:tr>
        <w:trPr>
          <w:cantSplit/>
          <w:tblHeader/>
        </w:trPr>
        <w:tc>
          <w:tcPr>
            <w:tcW w:type="dxa" w:w="1539"/>
            <w:shd w:val="clear" w:color="auto" w:fill="E7E6E6"/>
          </w:tcPr>
          <w:p>
            <w:pPr>
              <w:spacing w:after="40" w:before="40" w:line="240" w:lineRule="auto"/>
              <w:jc w:val="left"/>
            </w:pPr>
            <w:r>
              <w:rPr>
                <w:rFonts w:ascii="Times New Roman" w:hAnsi="Times New Roman" w:eastAsia="Times New Roman"/>
                <w:b/>
                <w:i w:val="0"/>
                <w:color w:val="000000"/>
                <w:sz w:val="21"/>
              </w:rPr>
              <w:t>Dataset</w:t>
            </w:r>
          </w:p>
        </w:tc>
        <w:tc>
          <w:tcPr>
            <w:tcW w:type="dxa" w:w="2052"/>
            <w:shd w:val="clear" w:color="auto" w:fill="E7E6E6"/>
          </w:tcPr>
          <w:p>
            <w:pPr>
              <w:spacing w:after="40" w:before="40" w:line="240" w:lineRule="auto"/>
              <w:jc w:val="left"/>
            </w:pPr>
            <w:r>
              <w:rPr>
                <w:rFonts w:ascii="Times New Roman" w:hAnsi="Times New Roman" w:eastAsia="Times New Roman"/>
                <w:b/>
                <w:i w:val="0"/>
                <w:color w:val="000000"/>
                <w:sz w:val="21"/>
              </w:rPr>
              <w:t>Source</w:t>
            </w:r>
          </w:p>
        </w:tc>
        <w:tc>
          <w:tcPr>
            <w:tcW w:type="dxa" w:w="975"/>
            <w:shd w:val="clear" w:color="auto" w:fill="E7E6E6"/>
          </w:tcPr>
          <w:p>
            <w:pPr>
              <w:spacing w:after="40" w:before="40" w:line="240" w:lineRule="auto"/>
              <w:jc w:val="left"/>
            </w:pPr>
            <w:r>
              <w:rPr>
                <w:rFonts w:ascii="Times New Roman" w:hAnsi="Times New Roman" w:eastAsia="Times New Roman"/>
                <w:b/>
                <w:i w:val="0"/>
                <w:color w:val="000000"/>
                <w:sz w:val="21"/>
              </w:rPr>
              <w:t>Rows</w:t>
            </w:r>
          </w:p>
        </w:tc>
        <w:tc>
          <w:tcPr>
            <w:tcW w:type="dxa" w:w="1282"/>
            <w:shd w:val="clear" w:color="auto" w:fill="E7E6E6"/>
          </w:tcPr>
          <w:p>
            <w:pPr>
              <w:spacing w:after="40" w:before="40" w:line="240" w:lineRule="auto"/>
              <w:jc w:val="left"/>
            </w:pPr>
            <w:r>
              <w:rPr>
                <w:rFonts w:ascii="Times New Roman" w:hAnsi="Times New Roman" w:eastAsia="Times New Roman"/>
                <w:b/>
                <w:i w:val="0"/>
                <w:color w:val="000000"/>
                <w:sz w:val="21"/>
              </w:rPr>
              <w:t>Columns</w:t>
            </w:r>
          </w:p>
        </w:tc>
        <w:tc>
          <w:tcPr>
            <w:tcW w:type="dxa" w:w="2052"/>
            <w:shd w:val="clear" w:color="auto" w:fill="E7E6E6"/>
          </w:tcPr>
          <w:p>
            <w:pPr>
              <w:spacing w:after="40" w:before="40" w:line="240" w:lineRule="auto"/>
              <w:jc w:val="left"/>
            </w:pPr>
            <w:r>
              <w:rPr>
                <w:rFonts w:ascii="Times New Roman" w:hAnsi="Times New Roman" w:eastAsia="Times New Roman"/>
                <w:b/>
                <w:i w:val="0"/>
                <w:color w:val="000000"/>
                <w:sz w:val="21"/>
              </w:rPr>
              <w:t>Content</w:t>
            </w:r>
          </w:p>
        </w:tc>
        <w:tc>
          <w:tcPr>
            <w:tcW w:type="dxa" w:w="1129"/>
            <w:shd w:val="clear" w:color="auto" w:fill="E7E6E6"/>
          </w:tcPr>
          <w:p>
            <w:pPr>
              <w:spacing w:after="40" w:before="40" w:line="240" w:lineRule="auto"/>
              <w:jc w:val="left"/>
            </w:pPr>
            <w:r>
              <w:rPr>
                <w:rFonts w:ascii="Times New Roman" w:hAnsi="Times New Roman" w:eastAsia="Times New Roman"/>
                <w:b/>
                <w:i w:val="0"/>
                <w:color w:val="000000"/>
                <w:sz w:val="21"/>
              </w:rPr>
              <w:t>Row identifier</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Dataset 1</w:t>
            </w:r>
          </w:p>
        </w:tc>
        <w:tc>
          <w:tcPr>
            <w:tcW w:type="dxa" w:w="2052"/>
          </w:tcPr>
          <w:p>
            <w:pPr>
              <w:spacing w:after="40" w:before="40" w:line="240" w:lineRule="auto"/>
              <w:jc w:val="left"/>
            </w:pPr>
            <w:r>
              <w:rPr>
                <w:rFonts w:ascii="Times New Roman" w:hAnsi="Times New Roman" w:eastAsia="Times New Roman"/>
                <w:b w:val="0"/>
                <w:i w:val="0"/>
                <w:color w:val="000000"/>
                <w:sz w:val="21"/>
              </w:rPr>
              <w:t>Kaggle "Hair Loss Dataset" (Dhankour, 2023)</w:t>
            </w:r>
          </w:p>
        </w:tc>
        <w:tc>
          <w:tcPr>
            <w:tcW w:type="dxa" w:w="975"/>
          </w:tcPr>
          <w:p>
            <w:pPr>
              <w:spacing w:after="40" w:before="40" w:line="240" w:lineRule="auto"/>
              <w:jc w:val="left"/>
            </w:pPr>
            <w:r>
              <w:rPr>
                <w:rFonts w:ascii="Times New Roman" w:hAnsi="Times New Roman" w:eastAsia="Times New Roman"/>
                <w:b w:val="0"/>
                <w:i w:val="0"/>
                <w:color w:val="000000"/>
                <w:sz w:val="21"/>
              </w:rPr>
              <w:t>100,000</w:t>
            </w:r>
          </w:p>
        </w:tc>
        <w:tc>
          <w:tcPr>
            <w:tcW w:type="dxa" w:w="1282"/>
          </w:tcPr>
          <w:p>
            <w:pPr>
              <w:spacing w:after="40" w:before="40" w:line="240" w:lineRule="auto"/>
              <w:jc w:val="left"/>
            </w:pPr>
            <w:r>
              <w:rPr>
                <w:rFonts w:ascii="Times New Roman" w:hAnsi="Times New Roman" w:eastAsia="Times New Roman"/>
                <w:b w:val="0"/>
                <w:i w:val="0"/>
                <w:color w:val="000000"/>
                <w:sz w:val="21"/>
              </w:rPr>
              <w:t>11</w:t>
            </w:r>
          </w:p>
        </w:tc>
        <w:tc>
          <w:tcPr>
            <w:tcW w:type="dxa" w:w="2052"/>
          </w:tcPr>
          <w:p>
            <w:pPr>
              <w:spacing w:after="40" w:before="40" w:line="240" w:lineRule="auto"/>
              <w:jc w:val="left"/>
            </w:pPr>
            <w:r>
              <w:rPr>
                <w:rFonts w:ascii="Times New Roman" w:hAnsi="Times New Roman" w:eastAsia="Times New Roman"/>
                <w:b w:val="0"/>
                <w:i w:val="0"/>
                <w:color w:val="000000"/>
                <w:sz w:val="21"/>
              </w:rPr>
              <w:t>10 numeric biomarker and index columns and hair_fall (0 to 5)</w:t>
            </w:r>
          </w:p>
        </w:tc>
        <w:tc>
          <w:tcPr>
            <w:tcW w:type="dxa" w:w="1129"/>
          </w:tcPr>
          <w:p>
            <w:pPr>
              <w:spacing w:after="40" w:before="40" w:line="240" w:lineRule="auto"/>
              <w:jc w:val="left"/>
            </w:pPr>
            <w:r>
              <w:rPr>
                <w:rFonts w:ascii="Times New Roman" w:hAnsi="Times New Roman" w:eastAsia="Times New Roman"/>
                <w:b w:val="0"/>
                <w:i w:val="0"/>
                <w:color w:val="000000"/>
                <w:sz w:val="21"/>
              </w:rPr>
              <w:t>None</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Dataset 2</w:t>
            </w:r>
          </w:p>
        </w:tc>
        <w:tc>
          <w:tcPr>
            <w:tcW w:type="dxa" w:w="2052"/>
          </w:tcPr>
          <w:p>
            <w:pPr>
              <w:spacing w:after="40" w:before="40" w:line="240" w:lineRule="auto"/>
              <w:jc w:val="left"/>
            </w:pPr>
            <w:r>
              <w:rPr>
                <w:rFonts w:ascii="Times New Roman" w:hAnsi="Times New Roman" w:eastAsia="Times New Roman"/>
                <w:b w:val="0"/>
                <w:i w:val="0"/>
                <w:color w:val="000000"/>
                <w:sz w:val="21"/>
              </w:rPr>
              <w:t>Mendeley "Dataset for evaluating hair fall causes" (Arnob et al., 2024)</w:t>
            </w:r>
          </w:p>
        </w:tc>
        <w:tc>
          <w:tcPr>
            <w:tcW w:type="dxa" w:w="975"/>
          </w:tcPr>
          <w:p>
            <w:pPr>
              <w:spacing w:after="40" w:before="40" w:line="240" w:lineRule="auto"/>
              <w:jc w:val="left"/>
            </w:pPr>
            <w:r>
              <w:rPr>
                <w:rFonts w:ascii="Times New Roman" w:hAnsi="Times New Roman" w:eastAsia="Times New Roman"/>
                <w:b w:val="0"/>
                <w:i w:val="0"/>
                <w:color w:val="000000"/>
                <w:sz w:val="21"/>
              </w:rPr>
              <w:t>716</w:t>
            </w:r>
          </w:p>
        </w:tc>
        <w:tc>
          <w:tcPr>
            <w:tcW w:type="dxa" w:w="1282"/>
          </w:tcPr>
          <w:p>
            <w:pPr>
              <w:spacing w:after="40" w:before="40" w:line="240" w:lineRule="auto"/>
              <w:jc w:val="left"/>
            </w:pPr>
            <w:r>
              <w:rPr>
                <w:rFonts w:ascii="Times New Roman" w:hAnsi="Times New Roman" w:eastAsia="Times New Roman"/>
                <w:b w:val="0"/>
                <w:i w:val="0"/>
                <w:color w:val="000000"/>
                <w:sz w:val="21"/>
              </w:rPr>
              <w:t>14</w:t>
            </w:r>
          </w:p>
        </w:tc>
        <w:tc>
          <w:tcPr>
            <w:tcW w:type="dxa" w:w="2052"/>
          </w:tcPr>
          <w:p>
            <w:pPr>
              <w:spacing w:after="40" w:before="40" w:line="240" w:lineRule="auto"/>
              <w:jc w:val="left"/>
            </w:pPr>
            <w:r>
              <w:rPr>
                <w:rFonts w:ascii="Times New Roman" w:hAnsi="Times New Roman" w:eastAsia="Times New Roman"/>
                <w:b w:val="0"/>
                <w:i w:val="0"/>
                <w:color w:val="000000"/>
                <w:sz w:val="21"/>
              </w:rPr>
              <w:t>Questionnaire: age, gender, 8 Yes/No health and lifestyle answers, hair fall problem, food habit</w:t>
            </w:r>
          </w:p>
        </w:tc>
        <w:tc>
          <w:tcPr>
            <w:tcW w:type="dxa" w:w="1129"/>
          </w:tcPr>
          <w:p>
            <w:pPr>
              <w:spacing w:after="40" w:before="40" w:line="240" w:lineRule="auto"/>
              <w:jc w:val="left"/>
            </w:pPr>
            <w:r>
              <w:rPr>
                <w:rFonts w:ascii="Times New Roman" w:hAnsi="Times New Roman" w:eastAsia="Times New Roman"/>
                <w:b w:val="0"/>
                <w:i w:val="0"/>
                <w:color w:val="000000"/>
                <w:sz w:val="21"/>
              </w:rPr>
              <w:t>Timestamp</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Super dataset</w:t>
            </w:r>
          </w:p>
        </w:tc>
        <w:tc>
          <w:tcPr>
            <w:tcW w:type="dxa" w:w="2052"/>
          </w:tcPr>
          <w:p>
            <w:pPr>
              <w:spacing w:after="40" w:before="40" w:line="240" w:lineRule="auto"/>
              <w:jc w:val="left"/>
            </w:pPr>
            <w:r>
              <w:rPr>
                <w:rFonts w:ascii="Times New Roman" w:hAnsi="Times New Roman" w:eastAsia="Times New Roman"/>
                <w:b w:val="0"/>
                <w:i w:val="0"/>
                <w:color w:val="000000"/>
                <w:sz w:val="21"/>
              </w:rPr>
              <w:t>Dataset 1 and Dataset 2 combined</w:t>
            </w:r>
          </w:p>
        </w:tc>
        <w:tc>
          <w:tcPr>
            <w:tcW w:type="dxa" w:w="975"/>
          </w:tcPr>
          <w:p>
            <w:pPr>
              <w:spacing w:after="40" w:before="40" w:line="240" w:lineRule="auto"/>
              <w:jc w:val="left"/>
            </w:pPr>
            <w:r>
              <w:rPr>
                <w:rFonts w:ascii="Times New Roman" w:hAnsi="Times New Roman" w:eastAsia="Times New Roman"/>
                <w:b w:val="0"/>
                <w:i w:val="0"/>
                <w:color w:val="000000"/>
                <w:sz w:val="21"/>
              </w:rPr>
              <w:t>About 200,000</w:t>
            </w:r>
          </w:p>
        </w:tc>
        <w:tc>
          <w:tcPr>
            <w:tcW w:type="dxa" w:w="1282"/>
          </w:tcPr>
          <w:p>
            <w:pPr>
              <w:spacing w:after="40" w:before="40" w:line="240" w:lineRule="auto"/>
              <w:jc w:val="left"/>
            </w:pPr>
            <w:r>
              <w:rPr>
                <w:rFonts w:ascii="Times New Roman" w:hAnsi="Times New Roman" w:eastAsia="Times New Roman"/>
                <w:b w:val="0"/>
                <w:i w:val="0"/>
                <w:color w:val="000000"/>
                <w:sz w:val="21"/>
              </w:rPr>
              <w:t>All columns of both</w:t>
            </w:r>
          </w:p>
        </w:tc>
        <w:tc>
          <w:tcPr>
            <w:tcW w:type="dxa" w:w="2052"/>
          </w:tcPr>
          <w:p>
            <w:pPr>
              <w:spacing w:after="40" w:before="40" w:line="240" w:lineRule="auto"/>
              <w:jc w:val="left"/>
            </w:pPr>
            <w:r>
              <w:rPr>
                <w:rFonts w:ascii="Times New Roman" w:hAnsi="Times New Roman" w:eastAsia="Times New Roman"/>
                <w:b w:val="0"/>
                <w:i w:val="0"/>
                <w:color w:val="000000"/>
                <w:sz w:val="21"/>
              </w:rPr>
              <w:t>Every column of Dataset 1 and Dataset 2</w:t>
            </w:r>
          </w:p>
        </w:tc>
        <w:tc>
          <w:tcPr>
            <w:tcW w:type="dxa" w:w="1129"/>
          </w:tcPr>
          <w:p>
            <w:pPr>
              <w:spacing w:after="40" w:before="40" w:line="240" w:lineRule="auto"/>
              <w:jc w:val="left"/>
            </w:pPr>
            <w:r>
              <w:rPr>
                <w:rFonts w:ascii="Times New Roman" w:hAnsi="Times New Roman" w:eastAsia="Times New Roman"/>
                <w:b w:val="0"/>
                <w:i w:val="0"/>
                <w:color w:val="000000"/>
                <w:sz w:val="21"/>
              </w:rPr>
              <w:t>None</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Final dataset (data.csv)</w:t>
            </w:r>
          </w:p>
        </w:tc>
        <w:tc>
          <w:tcPr>
            <w:tcW w:type="dxa" w:w="2052"/>
          </w:tcPr>
          <w:p>
            <w:pPr>
              <w:spacing w:after="40" w:before="40" w:line="240" w:lineRule="auto"/>
              <w:jc w:val="left"/>
            </w:pPr>
            <w:r>
              <w:rPr>
                <w:rFonts w:ascii="Times New Roman" w:hAnsi="Times New Roman" w:eastAsia="Times New Roman"/>
                <w:b w:val="0"/>
                <w:i w:val="0"/>
                <w:color w:val="000000"/>
                <w:sz w:val="21"/>
              </w:rPr>
              <w:t>Cleaned and mapped from the super dataset</w:t>
            </w:r>
          </w:p>
        </w:tc>
        <w:tc>
          <w:tcPr>
            <w:tcW w:type="dxa" w:w="975"/>
          </w:tcPr>
          <w:p>
            <w:pPr>
              <w:spacing w:after="40" w:before="40" w:line="240" w:lineRule="auto"/>
              <w:jc w:val="left"/>
            </w:pPr>
            <w:r>
              <w:rPr>
                <w:rFonts w:ascii="Times New Roman" w:hAnsi="Times New Roman" w:eastAsia="Times New Roman"/>
                <w:b w:val="0"/>
                <w:i w:val="0"/>
                <w:color w:val="000000"/>
                <w:sz w:val="21"/>
              </w:rPr>
              <w:t>21,606</w:t>
            </w:r>
          </w:p>
        </w:tc>
        <w:tc>
          <w:tcPr>
            <w:tcW w:type="dxa" w:w="1282"/>
          </w:tcPr>
          <w:p>
            <w:pPr>
              <w:spacing w:after="40" w:before="40" w:line="240" w:lineRule="auto"/>
              <w:jc w:val="left"/>
            </w:pPr>
            <w:r>
              <w:rPr>
                <w:rFonts w:ascii="Times New Roman" w:hAnsi="Times New Roman" w:eastAsia="Times New Roman"/>
                <w:b w:val="0"/>
                <w:i w:val="0"/>
                <w:color w:val="000000"/>
                <w:sz w:val="21"/>
              </w:rPr>
              <w:t>23</w:t>
            </w:r>
          </w:p>
        </w:tc>
        <w:tc>
          <w:tcPr>
            <w:tcW w:type="dxa" w:w="2052"/>
          </w:tcPr>
          <w:p>
            <w:pPr>
              <w:spacing w:after="40" w:before="40" w:line="240" w:lineRule="auto"/>
              <w:jc w:val="left"/>
            </w:pPr>
            <w:r>
              <w:rPr>
                <w:rFonts w:ascii="Times New Roman" w:hAnsi="Times New Roman" w:eastAsia="Times New Roman"/>
                <w:b w:val="0"/>
                <w:i w:val="0"/>
                <w:color w:val="000000"/>
                <w:sz w:val="21"/>
              </w:rPr>
              <w:t>20 features and the 3-tier target hair_fall</w:t>
            </w:r>
          </w:p>
        </w:tc>
        <w:tc>
          <w:tcPr>
            <w:tcW w:type="dxa" w:w="1129"/>
          </w:tcPr>
          <w:p>
            <w:pPr>
              <w:spacing w:after="40" w:before="40" w:line="240" w:lineRule="auto"/>
              <w:jc w:val="left"/>
            </w:pPr>
            <w:r>
              <w:rPr>
                <w:rFonts w:ascii="Times New Roman" w:hAnsi="Times New Roman" w:eastAsia="Times New Roman"/>
                <w:b w:val="0"/>
                <w:i w:val="0"/>
                <w:color w:val="000000"/>
                <w:sz w:val="21"/>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1905242"/>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190524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spacing w:after="240" w:before="0" w:line="360" w:lineRule="auto"/>
        <w:jc w:val="both"/>
      </w:pPr>
      <w:r>
        <w:rPr>
          <w:rFonts w:ascii="Times New Roman" w:hAnsi="Times New Roman" w:eastAsia="Times New Roman"/>
          <w:b w:val="0"/>
          <w:i w:val="0"/>
          <w:color w:val="000000"/>
          <w:sz w:val="24"/>
        </w:rPr>
        <w:t>The source datasets are related by the meaning of their columns and not by a record key. Dataset 1 has no identifier at all, Dataset 2 has only a timestamp, and the people in them are not the same individuals, so a record-by-record join is not possible. Instead, each column of the final dataset was matched to the column or question that measures the same thing, as shown in Table 3.2. The primary key of the final dataset is its own id column, which runs from 1 to 21,606 and was removed before modelling.</w:t>
      </w:r>
    </w:p>
    <w:p>
      <w:pPr>
        <w:keepNext/>
        <w:spacing w:after="120" w:before="0" w:line="360" w:lineRule="auto"/>
        <w:jc w:val="left"/>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Where each column of the final dataset comes from</w:t>
      </w:r>
    </w:p>
    <w:tbl>
      <w:tblPr>
        <w:tblStyle w:val="TableGrid"/>
        <w:tblW w:type="auto" w:w="0"/>
        <w:jc w:val="center"/>
        <w:tblLayout w:type="fixed"/>
        <w:tblLook w:firstColumn="1" w:firstRow="1" w:lastColumn="0" w:lastRow="0" w:noHBand="0" w:noVBand="1" w:val="04A0"/>
      </w:tblPr>
      <w:tblGrid>
        <w:gridCol w:w="2167"/>
        <w:gridCol w:w="1734"/>
        <w:gridCol w:w="2889"/>
        <w:gridCol w:w="2239"/>
      </w:tblGrid>
      <w:tr>
        <w:trPr>
          <w:cantSplit/>
          <w:tblHeader/>
        </w:trPr>
        <w:tc>
          <w:tcPr>
            <w:tcW w:type="dxa" w:w="2167"/>
            <w:shd w:val="clear" w:color="auto" w:fill="E7E6E6"/>
          </w:tcPr>
          <w:p>
            <w:pPr>
              <w:spacing w:after="40" w:before="40" w:line="240" w:lineRule="auto"/>
              <w:jc w:val="left"/>
            </w:pPr>
            <w:r>
              <w:rPr>
                <w:rFonts w:ascii="Times New Roman" w:hAnsi="Times New Roman" w:eastAsia="Times New Roman"/>
                <w:b/>
                <w:i w:val="0"/>
                <w:color w:val="000000"/>
                <w:sz w:val="24"/>
              </w:rPr>
              <w:t>Final column</w:t>
            </w:r>
          </w:p>
        </w:tc>
        <w:tc>
          <w:tcPr>
            <w:tcW w:type="dxa" w:w="1734"/>
            <w:shd w:val="clear" w:color="auto" w:fill="E7E6E6"/>
          </w:tcPr>
          <w:p>
            <w:pPr>
              <w:spacing w:after="40" w:before="40" w:line="240" w:lineRule="auto"/>
              <w:jc w:val="left"/>
            </w:pPr>
            <w:r>
              <w:rPr>
                <w:rFonts w:ascii="Times New Roman" w:hAnsi="Times New Roman" w:eastAsia="Times New Roman"/>
                <w:b/>
                <w:i w:val="0"/>
                <w:color w:val="000000"/>
                <w:sz w:val="24"/>
              </w:rPr>
              <w:t>Dataset 1 column</w:t>
            </w:r>
          </w:p>
        </w:tc>
        <w:tc>
          <w:tcPr>
            <w:tcW w:type="dxa" w:w="2889"/>
            <w:shd w:val="clear" w:color="auto" w:fill="E7E6E6"/>
          </w:tcPr>
          <w:p>
            <w:pPr>
              <w:spacing w:after="40" w:before="40" w:line="240" w:lineRule="auto"/>
              <w:jc w:val="left"/>
            </w:pPr>
            <w:r>
              <w:rPr>
                <w:rFonts w:ascii="Times New Roman" w:hAnsi="Times New Roman" w:eastAsia="Times New Roman"/>
                <w:b/>
                <w:i w:val="0"/>
                <w:color w:val="000000"/>
                <w:sz w:val="24"/>
              </w:rPr>
              <w:t>Dataset 2 question</w:t>
            </w:r>
          </w:p>
        </w:tc>
        <w:tc>
          <w:tcPr>
            <w:tcW w:type="dxa" w:w="2239"/>
            <w:shd w:val="clear" w:color="auto" w:fill="E7E6E6"/>
          </w:tcPr>
          <w:p>
            <w:pPr>
              <w:spacing w:after="40" w:before="40" w:line="240" w:lineRule="auto"/>
              <w:jc w:val="left"/>
            </w:pPr>
            <w:r>
              <w:rPr>
                <w:rFonts w:ascii="Times New Roman" w:hAnsi="Times New Roman" w:eastAsia="Times New Roman"/>
                <w:b/>
                <w:i w:val="0"/>
                <w:color w:val="000000"/>
                <w:sz w:val="24"/>
              </w:rPr>
              <w:t>Unit or coding</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age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What is your age?</w:t>
            </w:r>
          </w:p>
        </w:tc>
        <w:tc>
          <w:tcPr>
            <w:tcW w:type="dxa" w:w="2239"/>
          </w:tcPr>
          <w:p>
            <w:pPr>
              <w:spacing w:after="40" w:before="40" w:line="240" w:lineRule="auto"/>
              <w:jc w:val="left"/>
            </w:pPr>
            <w:r>
              <w:rPr>
                <w:rFonts w:ascii="Times New Roman" w:hAnsi="Times New Roman" w:eastAsia="Times New Roman"/>
                <w:b w:val="0"/>
                <w:i w:val="0"/>
                <w:color w:val="000000"/>
                <w:sz w:val="24"/>
              </w:rPr>
              <w:t>years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gender</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What is your gender?</w:t>
            </w:r>
          </w:p>
        </w:tc>
        <w:tc>
          <w:tcPr>
            <w:tcW w:type="dxa" w:w="2239"/>
          </w:tcPr>
          <w:p>
            <w:pPr>
              <w:spacing w:after="40" w:before="40" w:line="240" w:lineRule="auto"/>
              <w:jc w:val="left"/>
            </w:pPr>
            <w:r>
              <w:rPr>
                <w:rFonts w:ascii="Times New Roman" w:hAnsi="Times New Roman" w:eastAsia="Times New Roman"/>
                <w:b w:val="0"/>
                <w:i w:val="0"/>
                <w:color w:val="000000"/>
                <w:sz w:val="24"/>
              </w:rPr>
              <w:t>Female, Male, Other</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total_protein</w:t>
            </w:r>
          </w:p>
        </w:tc>
        <w:tc>
          <w:tcPr>
            <w:tcW w:type="dxa" w:w="1734"/>
          </w:tcPr>
          <w:p>
            <w:pPr>
              <w:spacing w:after="40" w:before="40" w:line="240" w:lineRule="auto"/>
              <w:jc w:val="left"/>
            </w:pPr>
            <w:r>
              <w:rPr>
                <w:rFonts w:ascii="Times New Roman" w:hAnsi="Times New Roman" w:eastAsia="Times New Roman"/>
                <w:b w:val="0"/>
                <w:i w:val="0"/>
                <w:color w:val="000000"/>
                <w:sz w:val="24"/>
              </w:rPr>
              <w:t>total_protein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calcium</w:t>
            </w:r>
          </w:p>
        </w:tc>
        <w:tc>
          <w:tcPr>
            <w:tcW w:type="dxa" w:w="1734"/>
          </w:tcPr>
          <w:p>
            <w:pPr>
              <w:spacing w:after="40" w:before="40" w:line="240" w:lineRule="auto"/>
              <w:jc w:val="left"/>
            </w:pPr>
            <w:r>
              <w:rPr>
                <w:rFonts w:ascii="Times New Roman" w:hAnsi="Times New Roman" w:eastAsia="Times New Roman"/>
                <w:b w:val="0"/>
                <w:i w:val="0"/>
                <w:color w:val="000000"/>
                <w:sz w:val="24"/>
              </w:rPr>
              <w:t>calcium</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mg/dL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iron</w:t>
            </w:r>
          </w:p>
        </w:tc>
        <w:tc>
          <w:tcPr>
            <w:tcW w:type="dxa" w:w="1734"/>
          </w:tcPr>
          <w:p>
            <w:pPr>
              <w:spacing w:after="40" w:before="40" w:line="240" w:lineRule="auto"/>
              <w:jc w:val="left"/>
            </w:pPr>
            <w:r>
              <w:rPr>
                <w:rFonts w:ascii="Times New Roman" w:hAnsi="Times New Roman" w:eastAsia="Times New Roman"/>
                <w:b w:val="0"/>
                <w:i w:val="0"/>
                <w:color w:val="000000"/>
                <w:sz w:val="24"/>
              </w:rPr>
              <w:t>iron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vitamin_d</w:t>
            </w:r>
          </w:p>
        </w:tc>
        <w:tc>
          <w:tcPr>
            <w:tcW w:type="dxa" w:w="1734"/>
          </w:tcPr>
          <w:p>
            <w:pPr>
              <w:spacing w:after="40" w:before="40" w:line="240" w:lineRule="auto"/>
              <w:jc w:val="left"/>
            </w:pPr>
            <w:r>
              <w:rPr>
                <w:rFonts w:ascii="Times New Roman" w:hAnsi="Times New Roman" w:eastAsia="Times New Roman"/>
                <w:b w:val="0"/>
                <w:i w:val="0"/>
                <w:color w:val="000000"/>
                <w:sz w:val="24"/>
              </w:rPr>
              <w:t>vitamin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ng/mL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alt_liver</w:t>
            </w:r>
          </w:p>
        </w:tc>
        <w:tc>
          <w:tcPr>
            <w:tcW w:type="dxa" w:w="1734"/>
          </w:tcPr>
          <w:p>
            <w:pPr>
              <w:spacing w:after="40" w:before="40" w:line="240" w:lineRule="auto"/>
              <w:jc w:val="left"/>
            </w:pPr>
            <w:r>
              <w:rPr>
                <w:rFonts w:ascii="Times New Roman" w:hAnsi="Times New Roman" w:eastAsia="Times New Roman"/>
                <w:b w:val="0"/>
                <w:i w:val="0"/>
                <w:color w:val="000000"/>
                <w:sz w:val="24"/>
              </w:rPr>
              <w:t>liver_data</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U/L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manganese</w:t>
            </w:r>
          </w:p>
        </w:tc>
        <w:tc>
          <w:tcPr>
            <w:tcW w:type="dxa" w:w="1734"/>
          </w:tcPr>
          <w:p>
            <w:pPr>
              <w:spacing w:after="40" w:before="40" w:line="240" w:lineRule="auto"/>
              <w:jc w:val="left"/>
            </w:pPr>
            <w:r>
              <w:rPr>
                <w:rFonts w:ascii="Times New Roman" w:hAnsi="Times New Roman" w:eastAsia="Times New Roman"/>
                <w:b w:val="0"/>
                <w:i w:val="0"/>
                <w:color w:val="000000"/>
                <w:sz w:val="24"/>
              </w:rPr>
              <w:t>manganese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1734"/>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stress_level</w:t>
            </w:r>
          </w:p>
        </w:tc>
        <w:tc>
          <w:tcPr>
            <w:tcW w:type="dxa" w:w="1734"/>
          </w:tcPr>
          <w:p>
            <w:pPr>
              <w:spacing w:after="40" w:before="40" w:line="240" w:lineRule="auto"/>
              <w:jc w:val="left"/>
            </w:pPr>
            <w:r>
              <w:rPr>
                <w:rFonts w:ascii="Times New Roman" w:hAnsi="Times New Roman" w:eastAsia="Times New Roman"/>
                <w:b w:val="0"/>
                <w:i w:val="0"/>
                <w:color w:val="000000"/>
                <w:sz w:val="24"/>
              </w:rPr>
              <w:t>stress_level</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40</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total_keratine</w:t>
            </w:r>
          </w:p>
        </w:tc>
        <w:tc>
          <w:tcPr>
            <w:tcW w:type="dxa" w:w="1734"/>
          </w:tcPr>
          <w:p>
            <w:pPr>
              <w:spacing w:after="40" w:before="40" w:line="240" w:lineRule="auto"/>
              <w:jc w:val="left"/>
            </w:pPr>
            <w:r>
              <w:rPr>
                <w:rFonts w:ascii="Times New Roman" w:hAnsi="Times New Roman" w:eastAsia="Times New Roman"/>
                <w:b w:val="0"/>
                <w:i w:val="0"/>
                <w:color w:val="000000"/>
                <w:sz w:val="24"/>
              </w:rPr>
              <w:t>total_keratine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hair_texture</w:t>
            </w:r>
          </w:p>
        </w:tc>
        <w:tc>
          <w:tcPr>
            <w:tcW w:type="dxa" w:w="1734"/>
          </w:tcPr>
          <w:p>
            <w:pPr>
              <w:spacing w:after="40" w:before="40" w:line="240" w:lineRule="auto"/>
              <w:jc w:val="left"/>
            </w:pPr>
            <w:r>
              <w:rPr>
                <w:rFonts w:ascii="Times New Roman" w:hAnsi="Times New Roman" w:eastAsia="Times New Roman"/>
                <w:b w:val="0"/>
                <w:i w:val="0"/>
                <w:color w:val="000000"/>
                <w:sz w:val="24"/>
              </w:rPr>
              <w:t>hair_texture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family_hair_fall_history</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Family member with hair fall or baldness?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chronic_illness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Chronic illness in the past?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late_night_sleep</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Stay up late at night?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sleep_disturbance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Any sleep disturbance?</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water_reason</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Water in your area a reason for hair fall?</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chemical_use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Use chemicals, gel or colour in hair?</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anemia</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anemia?</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too much stress?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hair_fall (target)</w:t>
            </w:r>
          </w:p>
        </w:tc>
        <w:tc>
          <w:tcPr>
            <w:tcW w:type="dxa" w:w="1734"/>
          </w:tcPr>
          <w:p>
            <w:pPr>
              <w:spacing w:after="40" w:before="40" w:line="240" w:lineRule="auto"/>
              <w:jc w:val="left"/>
            </w:pPr>
            <w:r>
              <w:rPr>
                <w:rFonts w:ascii="Times New Roman" w:hAnsi="Times New Roman" w:eastAsia="Times New Roman"/>
                <w:b w:val="0"/>
                <w:i w:val="0"/>
                <w:color w:val="000000"/>
                <w:sz w:val="24"/>
              </w:rPr>
              <w:t>hair_fall (0 to 5)</w:t>
            </w:r>
          </w:p>
        </w:tc>
        <w:tc>
          <w:tcPr>
            <w:tcW w:type="dxa" w:w="2889"/>
          </w:tcPr>
          <w:p>
            <w:pPr>
              <w:spacing w:after="40" w:before="40" w:line="240" w:lineRule="auto"/>
              <w:jc w:val="left"/>
            </w:pPr>
            <w:r>
              <w:rPr>
                <w:rFonts w:ascii="Times New Roman" w:hAnsi="Times New Roman" w:eastAsia="Times New Roman"/>
                <w:b w:val="0"/>
                <w:i w:val="0"/>
                <w:color w:val="000000"/>
                <w:sz w:val="24"/>
              </w:rPr>
              <w:t>Do you have a hair fall problem?</w:t>
            </w:r>
          </w:p>
        </w:tc>
        <w:tc>
          <w:tcPr>
            <w:tcW w:type="dxa" w:w="2239"/>
          </w:tcPr>
          <w:p>
            <w:pPr>
              <w:spacing w:after="40" w:before="40" w:line="240" w:lineRule="auto"/>
              <w:jc w:val="left"/>
            </w:pPr>
            <w:r>
              <w:rPr>
                <w:rFonts w:ascii="Times New Roman" w:hAnsi="Times New Roman" w:eastAsia="Times New Roman"/>
                <w:b w:val="0"/>
                <w:i w:val="0"/>
                <w:color w:val="000000"/>
                <w:sz w:val="24"/>
              </w:rPr>
              <w:t>0 Low, 1 Moderate, 2 High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What the comparison showed</w:t>
      </w:r>
    </w:p>
    <w:p>
      <w:pPr>
        <w:spacing w:after="240" w:before="0" w:line="360" w:lineRule="auto"/>
        <w:jc w:val="both"/>
      </w:pPr>
      <w:r>
        <w:rPr>
          <w:rFonts w:ascii="Times New Roman" w:hAnsi="Times New Roman" w:eastAsia="Times New Roman"/>
          <w:b w:val="0"/>
          <w:i w:val="0"/>
          <w:color w:val="000000"/>
          <w:sz w:val="24"/>
        </w:rPr>
        <w:t>The comparison was done with a script (Datasets/comparison/dataset_comparison.py), and all numbers below come from it.</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Every column of Dataset 1 is spread evenly between its minimum and maximum (for example, iron runs from 0 to 499 and stress_level from 0 to 99), and the target hair_fall is spread evenly over the six values 0 to 5. Its columns also show no relationship with its own target: the Spearman correlation between every biomarker and hair_fall lies between −0.006 and +0.004. Dataset 1 therefore supplies the list of biomarkers and their types, but its values cannot be used directly to predict risk. In the final dataset the values lie in real clinical ranges (for example iron 10 to 217 µg/dL and total protein 4.8 to 9.5 g/dL) and most biomarkers are related to the target (for example iron ρ = −0.31, stress_level ρ = +0.33, total_protein ρ = −0.30).</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Dataset 2 is a real survey of young people (mean age 23.9 years) and was cleaned first: one age of 218 was removed and two typing errors ("Yea" and "\No") were corrected, leaving 715 usable rows. Two checks were made against the final dataset, shown in Table 3.3. First, the risk factors are much more common in the survey (for example stress 72.0% and family history 72.7%) than in the final dataset (40.3% and 34.5%), because the survey respondents are self-selected and many were interested in hair fall. Second, and more important, the direction of each risk factor is the same in both datasets. In the survey, people with a hair fall problem more often reported every one of the eight factors than those without, and the same is true in the final dataset for all eight.</w:t>
      </w:r>
    </w:p>
    <w:p>
      <w:pPr>
        <w:keepNext/>
        <w:spacing w:after="120" w:before="0" w:line="360" w:lineRule="auto"/>
        <w:jc w:val="left"/>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Risk factors in Dataset 2 and in the final dataset (percentage points)</w:t>
      </w:r>
    </w:p>
    <w:tbl>
      <w:tblPr>
        <w:tblStyle w:val="TableGrid"/>
        <w:tblW w:type="auto" w:w="0"/>
        <w:jc w:val="center"/>
        <w:tblLayout w:type="fixed"/>
        <w:tblLook w:firstColumn="1" w:firstRow="1" w:lastColumn="0" w:lastRow="0" w:noHBand="0" w:noVBand="1" w:val="04A0"/>
      </w:tblPr>
      <w:tblGrid>
        <w:gridCol w:w="1187"/>
        <w:gridCol w:w="1599"/>
        <w:gridCol w:w="1393"/>
        <w:gridCol w:w="2012"/>
        <w:gridCol w:w="1806"/>
        <w:gridCol w:w="1032"/>
      </w:tblGrid>
      <w:tr>
        <w:trPr>
          <w:cantSplit/>
          <w:tblHeader/>
        </w:trPr>
        <w:tc>
          <w:tcPr>
            <w:tcW w:type="dxa" w:w="1187"/>
            <w:shd w:val="clear" w:color="auto" w:fill="E7E6E6"/>
          </w:tcPr>
          <w:p>
            <w:pPr>
              <w:spacing w:after="40" w:before="40" w:line="240" w:lineRule="auto"/>
              <w:jc w:val="left"/>
            </w:pPr>
            <w:r>
              <w:rPr>
                <w:rFonts w:ascii="Times New Roman" w:hAnsi="Times New Roman" w:eastAsia="Times New Roman"/>
                <w:b/>
                <w:i w:val="0"/>
                <w:color w:val="000000"/>
                <w:sz w:val="21"/>
              </w:rPr>
              <w:t>Risk factor</w:t>
            </w:r>
          </w:p>
        </w:tc>
        <w:tc>
          <w:tcPr>
            <w:tcW w:type="dxa" w:w="1599"/>
            <w:shd w:val="clear" w:color="auto" w:fill="E7E6E6"/>
          </w:tcPr>
          <w:p>
            <w:pPr>
              <w:spacing w:after="40" w:before="40" w:line="240" w:lineRule="auto"/>
              <w:jc w:val="left"/>
            </w:pPr>
            <w:r>
              <w:rPr>
                <w:rFonts w:ascii="Times New Roman" w:hAnsi="Times New Roman" w:eastAsia="Times New Roman"/>
                <w:b/>
                <w:i w:val="0"/>
                <w:color w:val="000000"/>
                <w:sz w:val="21"/>
              </w:rPr>
              <w:t>Dataset 2: how common (%)</w:t>
            </w:r>
          </w:p>
        </w:tc>
        <w:tc>
          <w:tcPr>
            <w:tcW w:type="dxa" w:w="1393"/>
            <w:shd w:val="clear" w:color="auto" w:fill="E7E6E6"/>
          </w:tcPr>
          <w:p>
            <w:pPr>
              <w:spacing w:after="40" w:before="40" w:line="240" w:lineRule="auto"/>
              <w:jc w:val="left"/>
            </w:pPr>
            <w:r>
              <w:rPr>
                <w:rFonts w:ascii="Times New Roman" w:hAnsi="Times New Roman" w:eastAsia="Times New Roman"/>
                <w:b/>
                <w:i w:val="0"/>
                <w:color w:val="000000"/>
                <w:sz w:val="21"/>
              </w:rPr>
              <w:t>Final: how common (%)</w:t>
            </w:r>
          </w:p>
        </w:tc>
        <w:tc>
          <w:tcPr>
            <w:tcW w:type="dxa" w:w="2012"/>
            <w:shd w:val="clear" w:color="auto" w:fill="E7E6E6"/>
          </w:tcPr>
          <w:p>
            <w:pPr>
              <w:spacing w:after="40" w:before="40" w:line="240" w:lineRule="auto"/>
              <w:jc w:val="left"/>
            </w:pPr>
            <w:r>
              <w:rPr>
                <w:rFonts w:ascii="Times New Roman" w:hAnsi="Times New Roman" w:eastAsia="Times New Roman"/>
                <w:b/>
                <w:i w:val="0"/>
                <w:color w:val="000000"/>
                <w:sz w:val="21"/>
              </w:rPr>
              <w:t>Dataset 2: gap, hair fall vs none</w:t>
            </w:r>
          </w:p>
        </w:tc>
        <w:tc>
          <w:tcPr>
            <w:tcW w:type="dxa" w:w="1806"/>
            <w:shd w:val="clear" w:color="auto" w:fill="E7E6E6"/>
          </w:tcPr>
          <w:p>
            <w:pPr>
              <w:spacing w:after="40" w:before="40" w:line="240" w:lineRule="auto"/>
              <w:jc w:val="left"/>
            </w:pPr>
            <w:r>
              <w:rPr>
                <w:rFonts w:ascii="Times New Roman" w:hAnsi="Times New Roman" w:eastAsia="Times New Roman"/>
                <w:b/>
                <w:i w:val="0"/>
                <w:color w:val="000000"/>
                <w:sz w:val="21"/>
              </w:rPr>
              <w:t>Final: gap, hair fall vs none</w:t>
            </w:r>
          </w:p>
        </w:tc>
        <w:tc>
          <w:tcPr>
            <w:tcW w:type="dxa" w:w="1032"/>
            <w:shd w:val="clear" w:color="auto" w:fill="E7E6E6"/>
          </w:tcPr>
          <w:p>
            <w:pPr>
              <w:spacing w:after="40" w:before="40" w:line="240" w:lineRule="auto"/>
              <w:jc w:val="left"/>
            </w:pPr>
            <w:r>
              <w:rPr>
                <w:rFonts w:ascii="Times New Roman" w:hAnsi="Times New Roman" w:eastAsia="Times New Roman"/>
                <w:b/>
                <w:i w:val="0"/>
                <w:color w:val="000000"/>
                <w:sz w:val="21"/>
              </w:rPr>
              <w:t>Same direction</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Family history</w:t>
            </w:r>
          </w:p>
        </w:tc>
        <w:tc>
          <w:tcPr>
            <w:tcW w:type="dxa" w:w="1599"/>
          </w:tcPr>
          <w:p>
            <w:pPr>
              <w:spacing w:after="40" w:before="40" w:line="240" w:lineRule="auto"/>
              <w:jc w:val="left"/>
            </w:pPr>
            <w:r>
              <w:rPr>
                <w:rFonts w:ascii="Times New Roman" w:hAnsi="Times New Roman" w:eastAsia="Times New Roman"/>
                <w:b w:val="0"/>
                <w:i w:val="0"/>
                <w:color w:val="000000"/>
                <w:sz w:val="21"/>
              </w:rPr>
              <w:t>72.7</w:t>
            </w:r>
          </w:p>
        </w:tc>
        <w:tc>
          <w:tcPr>
            <w:tcW w:type="dxa" w:w="1393"/>
          </w:tcPr>
          <w:p>
            <w:pPr>
              <w:spacing w:after="40" w:before="40" w:line="240" w:lineRule="auto"/>
              <w:jc w:val="left"/>
            </w:pPr>
            <w:r>
              <w:rPr>
                <w:rFonts w:ascii="Times New Roman" w:hAnsi="Times New Roman" w:eastAsia="Times New Roman"/>
                <w:b w:val="0"/>
                <w:i w:val="0"/>
                <w:color w:val="000000"/>
                <w:sz w:val="21"/>
              </w:rPr>
              <w:t>34.5</w:t>
            </w:r>
          </w:p>
        </w:tc>
        <w:tc>
          <w:tcPr>
            <w:tcW w:type="dxa" w:w="2012"/>
          </w:tcPr>
          <w:p>
            <w:pPr>
              <w:spacing w:after="40" w:before="40" w:line="240" w:lineRule="auto"/>
              <w:jc w:val="left"/>
            </w:pPr>
            <w:r>
              <w:rPr>
                <w:rFonts w:ascii="Times New Roman" w:hAnsi="Times New Roman" w:eastAsia="Times New Roman"/>
                <w:b w:val="0"/>
                <w:i w:val="0"/>
                <w:color w:val="000000"/>
                <w:sz w:val="21"/>
              </w:rPr>
              <w:t>+41.0</w:t>
            </w:r>
          </w:p>
        </w:tc>
        <w:tc>
          <w:tcPr>
            <w:tcW w:type="dxa" w:w="1806"/>
          </w:tcPr>
          <w:p>
            <w:pPr>
              <w:spacing w:after="40" w:before="40" w:line="240" w:lineRule="auto"/>
              <w:jc w:val="left"/>
            </w:pPr>
            <w:r>
              <w:rPr>
                <w:rFonts w:ascii="Times New Roman" w:hAnsi="Times New Roman" w:eastAsia="Times New Roman"/>
                <w:b w:val="0"/>
                <w:i w:val="0"/>
                <w:color w:val="000000"/>
                <w:sz w:val="21"/>
              </w:rPr>
              <w:t>+10.1</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Chronic illness</w:t>
            </w:r>
          </w:p>
        </w:tc>
        <w:tc>
          <w:tcPr>
            <w:tcW w:type="dxa" w:w="1599"/>
          </w:tcPr>
          <w:p>
            <w:pPr>
              <w:spacing w:after="40" w:before="40" w:line="240" w:lineRule="auto"/>
              <w:jc w:val="left"/>
            </w:pPr>
            <w:r>
              <w:rPr>
                <w:rFonts w:ascii="Times New Roman" w:hAnsi="Times New Roman" w:eastAsia="Times New Roman"/>
                <w:b w:val="0"/>
                <w:i w:val="0"/>
                <w:color w:val="000000"/>
                <w:sz w:val="21"/>
              </w:rPr>
              <w:t>45.7</w:t>
            </w:r>
          </w:p>
        </w:tc>
        <w:tc>
          <w:tcPr>
            <w:tcW w:type="dxa" w:w="1393"/>
          </w:tcPr>
          <w:p>
            <w:pPr>
              <w:spacing w:after="40" w:before="40" w:line="240" w:lineRule="auto"/>
              <w:jc w:val="left"/>
            </w:pPr>
            <w:r>
              <w:rPr>
                <w:rFonts w:ascii="Times New Roman" w:hAnsi="Times New Roman" w:eastAsia="Times New Roman"/>
                <w:b w:val="0"/>
                <w:i w:val="0"/>
                <w:color w:val="000000"/>
                <w:sz w:val="21"/>
              </w:rPr>
              <w:t>29.9</w:t>
            </w:r>
          </w:p>
        </w:tc>
        <w:tc>
          <w:tcPr>
            <w:tcW w:type="dxa" w:w="2012"/>
          </w:tcPr>
          <w:p>
            <w:pPr>
              <w:spacing w:after="40" w:before="40" w:line="240" w:lineRule="auto"/>
              <w:jc w:val="left"/>
            </w:pPr>
            <w:r>
              <w:rPr>
                <w:rFonts w:ascii="Times New Roman" w:hAnsi="Times New Roman" w:eastAsia="Times New Roman"/>
                <w:b w:val="0"/>
                <w:i w:val="0"/>
                <w:color w:val="000000"/>
                <w:sz w:val="21"/>
              </w:rPr>
              <w:t>+41.1</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Late-night sleep</w:t>
            </w:r>
          </w:p>
        </w:tc>
        <w:tc>
          <w:tcPr>
            <w:tcW w:type="dxa" w:w="1599"/>
          </w:tcPr>
          <w:p>
            <w:pPr>
              <w:spacing w:after="40" w:before="40" w:line="240" w:lineRule="auto"/>
              <w:jc w:val="left"/>
            </w:pPr>
            <w:r>
              <w:rPr>
                <w:rFonts w:ascii="Times New Roman" w:hAnsi="Times New Roman" w:eastAsia="Times New Roman"/>
                <w:b w:val="0"/>
                <w:i w:val="0"/>
                <w:color w:val="000000"/>
                <w:sz w:val="21"/>
              </w:rPr>
              <w:t>65.3</w:t>
            </w:r>
          </w:p>
        </w:tc>
        <w:tc>
          <w:tcPr>
            <w:tcW w:type="dxa" w:w="1393"/>
          </w:tcPr>
          <w:p>
            <w:pPr>
              <w:spacing w:after="40" w:before="40" w:line="240" w:lineRule="auto"/>
              <w:jc w:val="left"/>
            </w:pPr>
            <w:r>
              <w:rPr>
                <w:rFonts w:ascii="Times New Roman" w:hAnsi="Times New Roman" w:eastAsia="Times New Roman"/>
                <w:b w:val="0"/>
                <w:i w:val="0"/>
                <w:color w:val="000000"/>
                <w:sz w:val="21"/>
              </w:rPr>
              <w:t>40.2</w:t>
            </w:r>
          </w:p>
        </w:tc>
        <w:tc>
          <w:tcPr>
            <w:tcW w:type="dxa" w:w="2012"/>
          </w:tcPr>
          <w:p>
            <w:pPr>
              <w:spacing w:after="40" w:before="40" w:line="240" w:lineRule="auto"/>
              <w:jc w:val="left"/>
            </w:pPr>
            <w:r>
              <w:rPr>
                <w:rFonts w:ascii="Times New Roman" w:hAnsi="Times New Roman" w:eastAsia="Times New Roman"/>
                <w:b w:val="0"/>
                <w:i w:val="0"/>
                <w:color w:val="000000"/>
                <w:sz w:val="21"/>
              </w:rPr>
              <w:t>+44.7</w:t>
            </w:r>
          </w:p>
        </w:tc>
        <w:tc>
          <w:tcPr>
            <w:tcW w:type="dxa" w:w="1806"/>
          </w:tcPr>
          <w:p>
            <w:pPr>
              <w:spacing w:after="40" w:before="40" w:line="240" w:lineRule="auto"/>
              <w:jc w:val="left"/>
            </w:pPr>
            <w:r>
              <w:rPr>
                <w:rFonts w:ascii="Times New Roman" w:hAnsi="Times New Roman" w:eastAsia="Times New Roman"/>
                <w:b w:val="0"/>
                <w:i w:val="0"/>
                <w:color w:val="000000"/>
                <w:sz w:val="21"/>
              </w:rPr>
              <w:t>+6.7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Sleep disturbance</w:t>
            </w:r>
          </w:p>
        </w:tc>
        <w:tc>
          <w:tcPr>
            <w:tcW w:type="dxa" w:w="1599"/>
          </w:tcPr>
          <w:p>
            <w:pPr>
              <w:spacing w:after="40" w:before="40" w:line="240" w:lineRule="auto"/>
              <w:jc w:val="left"/>
            </w:pPr>
            <w:r>
              <w:rPr>
                <w:rFonts w:ascii="Times New Roman" w:hAnsi="Times New Roman" w:eastAsia="Times New Roman"/>
                <w:b w:val="0"/>
                <w:i w:val="0"/>
                <w:color w:val="000000"/>
                <w:sz w:val="21"/>
              </w:rPr>
              <w:t>55.4</w:t>
            </w:r>
          </w:p>
        </w:tc>
        <w:tc>
          <w:tcPr>
            <w:tcW w:type="dxa" w:w="1393"/>
          </w:tcPr>
          <w:p>
            <w:pPr>
              <w:spacing w:after="40" w:before="40" w:line="240" w:lineRule="auto"/>
              <w:jc w:val="left"/>
            </w:pPr>
            <w:r>
              <w:rPr>
                <w:rFonts w:ascii="Times New Roman" w:hAnsi="Times New Roman" w:eastAsia="Times New Roman"/>
                <w:b w:val="0"/>
                <w:i w:val="0"/>
                <w:color w:val="000000"/>
                <w:sz w:val="21"/>
              </w:rPr>
              <w:t>35.2</w:t>
            </w:r>
          </w:p>
        </w:tc>
        <w:tc>
          <w:tcPr>
            <w:tcW w:type="dxa" w:w="2012"/>
          </w:tcPr>
          <w:p>
            <w:pPr>
              <w:spacing w:after="40" w:before="40" w:line="240" w:lineRule="auto"/>
              <w:jc w:val="left"/>
            </w:pPr>
            <w:r>
              <w:rPr>
                <w:rFonts w:ascii="Times New Roman" w:hAnsi="Times New Roman" w:eastAsia="Times New Roman"/>
                <w:b w:val="0"/>
                <w:i w:val="0"/>
                <w:color w:val="000000"/>
                <w:sz w:val="21"/>
              </w:rPr>
              <w:t>+41.4</w:t>
            </w:r>
          </w:p>
        </w:tc>
        <w:tc>
          <w:tcPr>
            <w:tcW w:type="dxa" w:w="1806"/>
          </w:tcPr>
          <w:p>
            <w:pPr>
              <w:spacing w:after="40" w:before="40" w:line="240" w:lineRule="auto"/>
              <w:jc w:val="left"/>
            </w:pPr>
            <w:r>
              <w:rPr>
                <w:rFonts w:ascii="Times New Roman" w:hAnsi="Times New Roman" w:eastAsia="Times New Roman"/>
                <w:b w:val="0"/>
                <w:i w:val="0"/>
                <w:color w:val="000000"/>
                <w:sz w:val="21"/>
              </w:rPr>
              <w:t>+6.5</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Water as a reason</w:t>
            </w:r>
          </w:p>
        </w:tc>
        <w:tc>
          <w:tcPr>
            <w:tcW w:type="dxa" w:w="1599"/>
          </w:tcPr>
          <w:p>
            <w:pPr>
              <w:spacing w:after="40" w:before="40" w:line="240" w:lineRule="auto"/>
              <w:jc w:val="left"/>
            </w:pPr>
            <w:r>
              <w:rPr>
                <w:rFonts w:ascii="Times New Roman" w:hAnsi="Times New Roman" w:eastAsia="Times New Roman"/>
                <w:b w:val="0"/>
                <w:i w:val="0"/>
                <w:color w:val="000000"/>
                <w:sz w:val="21"/>
              </w:rPr>
              <w:t>60.0</w:t>
            </w:r>
          </w:p>
        </w:tc>
        <w:tc>
          <w:tcPr>
            <w:tcW w:type="dxa" w:w="1393"/>
          </w:tcPr>
          <w:p>
            <w:pPr>
              <w:spacing w:after="40" w:before="40" w:line="240" w:lineRule="auto"/>
              <w:jc w:val="left"/>
            </w:pPr>
            <w:r>
              <w:rPr>
                <w:rFonts w:ascii="Times New Roman" w:hAnsi="Times New Roman" w:eastAsia="Times New Roman"/>
                <w:b w:val="0"/>
                <w:i w:val="0"/>
                <w:color w:val="000000"/>
                <w:sz w:val="21"/>
              </w:rPr>
              <w:t>29.8</w:t>
            </w:r>
          </w:p>
        </w:tc>
        <w:tc>
          <w:tcPr>
            <w:tcW w:type="dxa" w:w="2012"/>
          </w:tcPr>
          <w:p>
            <w:pPr>
              <w:spacing w:after="40" w:before="40" w:line="240" w:lineRule="auto"/>
              <w:jc w:val="left"/>
            </w:pPr>
            <w:r>
              <w:rPr>
                <w:rFonts w:ascii="Times New Roman" w:hAnsi="Times New Roman" w:eastAsia="Times New Roman"/>
                <w:b w:val="0"/>
                <w:i w:val="0"/>
                <w:color w:val="000000"/>
                <w:sz w:val="21"/>
              </w:rPr>
              <w:t>+51.4</w:t>
            </w:r>
          </w:p>
        </w:tc>
        <w:tc>
          <w:tcPr>
            <w:tcW w:type="dxa" w:w="1806"/>
          </w:tcPr>
          <w:p>
            <w:pPr>
              <w:spacing w:after="40" w:before="40" w:line="240" w:lineRule="auto"/>
              <w:jc w:val="left"/>
            </w:pPr>
            <w:r>
              <w:rPr>
                <w:rFonts w:ascii="Times New Roman" w:hAnsi="Times New Roman" w:eastAsia="Times New Roman"/>
                <w:b w:val="0"/>
                <w:i w:val="0"/>
                <w:color w:val="000000"/>
                <w:sz w:val="21"/>
              </w:rPr>
              <w:t>+5.0</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Chemical use</w:t>
            </w:r>
          </w:p>
        </w:tc>
        <w:tc>
          <w:tcPr>
            <w:tcW w:type="dxa" w:w="1599"/>
          </w:tcPr>
          <w:p>
            <w:pPr>
              <w:spacing w:after="40" w:before="40" w:line="240" w:lineRule="auto"/>
              <w:jc w:val="left"/>
            </w:pPr>
            <w:r>
              <w:rPr>
                <w:rFonts w:ascii="Times New Roman" w:hAnsi="Times New Roman" w:eastAsia="Times New Roman"/>
                <w:b w:val="0"/>
                <w:i w:val="0"/>
                <w:color w:val="000000"/>
                <w:sz w:val="21"/>
              </w:rPr>
              <w:t>63.9</w:t>
            </w:r>
          </w:p>
        </w:tc>
        <w:tc>
          <w:tcPr>
            <w:tcW w:type="dxa" w:w="1393"/>
          </w:tcPr>
          <w:p>
            <w:pPr>
              <w:spacing w:after="40" w:before="40" w:line="240" w:lineRule="auto"/>
              <w:jc w:val="left"/>
            </w:pPr>
            <w:r>
              <w:rPr>
                <w:rFonts w:ascii="Times New Roman" w:hAnsi="Times New Roman" w:eastAsia="Times New Roman"/>
                <w:b w:val="0"/>
                <w:i w:val="0"/>
                <w:color w:val="000000"/>
                <w:sz w:val="21"/>
              </w:rPr>
              <w:t>39.9</w:t>
            </w:r>
          </w:p>
        </w:tc>
        <w:tc>
          <w:tcPr>
            <w:tcW w:type="dxa" w:w="2012"/>
          </w:tcPr>
          <w:p>
            <w:pPr>
              <w:spacing w:after="40" w:before="40" w:line="240" w:lineRule="auto"/>
              <w:jc w:val="left"/>
            </w:pPr>
            <w:r>
              <w:rPr>
                <w:rFonts w:ascii="Times New Roman" w:hAnsi="Times New Roman" w:eastAsia="Times New Roman"/>
                <w:b w:val="0"/>
                <w:i w:val="0"/>
                <w:color w:val="000000"/>
                <w:sz w:val="21"/>
              </w:rPr>
              <w:t>+40.7</w:t>
            </w:r>
          </w:p>
        </w:tc>
        <w:tc>
          <w:tcPr>
            <w:tcW w:type="dxa" w:w="1806"/>
          </w:tcPr>
          <w:p>
            <w:pPr>
              <w:spacing w:after="40" w:before="40" w:line="240" w:lineRule="auto"/>
              <w:jc w:val="left"/>
            </w:pPr>
            <w:r>
              <w:rPr>
                <w:rFonts w:ascii="Times New Roman" w:hAnsi="Times New Roman" w:eastAsia="Times New Roman"/>
                <w:b w:val="0"/>
                <w:i w:val="0"/>
                <w:color w:val="000000"/>
                <w:sz w:val="21"/>
              </w:rPr>
              <w:t>+10.8</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Anemia</w:t>
            </w:r>
          </w:p>
        </w:tc>
        <w:tc>
          <w:tcPr>
            <w:tcW w:type="dxa" w:w="1599"/>
          </w:tcPr>
          <w:p>
            <w:pPr>
              <w:spacing w:after="40" w:before="40" w:line="240" w:lineRule="auto"/>
              <w:jc w:val="left"/>
            </w:pPr>
            <w:r>
              <w:rPr>
                <w:rFonts w:ascii="Times New Roman" w:hAnsi="Times New Roman" w:eastAsia="Times New Roman"/>
                <w:b w:val="0"/>
                <w:i w:val="0"/>
                <w:color w:val="000000"/>
                <w:sz w:val="21"/>
              </w:rPr>
              <w:t>28.7</w:t>
            </w:r>
          </w:p>
        </w:tc>
        <w:tc>
          <w:tcPr>
            <w:tcW w:type="dxa" w:w="1393"/>
          </w:tcPr>
          <w:p>
            <w:pPr>
              <w:spacing w:after="40" w:before="40" w:line="240" w:lineRule="auto"/>
              <w:jc w:val="left"/>
            </w:pPr>
            <w:r>
              <w:rPr>
                <w:rFonts w:ascii="Times New Roman" w:hAnsi="Times New Roman" w:eastAsia="Times New Roman"/>
                <w:b w:val="0"/>
                <w:i w:val="0"/>
                <w:color w:val="000000"/>
                <w:sz w:val="21"/>
              </w:rPr>
              <w:t>24.6</w:t>
            </w:r>
          </w:p>
        </w:tc>
        <w:tc>
          <w:tcPr>
            <w:tcW w:type="dxa" w:w="2012"/>
          </w:tcPr>
          <w:p>
            <w:pPr>
              <w:spacing w:after="40" w:before="40" w:line="240" w:lineRule="auto"/>
              <w:jc w:val="left"/>
            </w:pPr>
            <w:r>
              <w:rPr>
                <w:rFonts w:ascii="Times New Roman" w:hAnsi="Times New Roman" w:eastAsia="Times New Roman"/>
                <w:b w:val="0"/>
                <w:i w:val="0"/>
                <w:color w:val="000000"/>
                <w:sz w:val="21"/>
              </w:rPr>
              <w:t>+22.2</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Stress</w:t>
            </w:r>
          </w:p>
        </w:tc>
        <w:tc>
          <w:tcPr>
            <w:tcW w:type="dxa" w:w="1599"/>
          </w:tcPr>
          <w:p>
            <w:pPr>
              <w:spacing w:after="40" w:before="40" w:line="240" w:lineRule="auto"/>
              <w:jc w:val="left"/>
            </w:pPr>
            <w:r>
              <w:rPr>
                <w:rFonts w:ascii="Times New Roman" w:hAnsi="Times New Roman" w:eastAsia="Times New Roman"/>
                <w:b w:val="0"/>
                <w:i w:val="0"/>
                <w:color w:val="000000"/>
                <w:sz w:val="21"/>
              </w:rPr>
              <w:t>72.0</w:t>
            </w:r>
          </w:p>
        </w:tc>
        <w:tc>
          <w:tcPr>
            <w:tcW w:type="dxa" w:w="1393"/>
          </w:tcPr>
          <w:p>
            <w:pPr>
              <w:spacing w:after="40" w:before="40" w:line="240" w:lineRule="auto"/>
              <w:jc w:val="left"/>
            </w:pPr>
            <w:r>
              <w:rPr>
                <w:rFonts w:ascii="Times New Roman" w:hAnsi="Times New Roman" w:eastAsia="Times New Roman"/>
                <w:b w:val="0"/>
                <w:i w:val="0"/>
                <w:color w:val="000000"/>
                <w:sz w:val="21"/>
              </w:rPr>
              <w:t>40.3</w:t>
            </w:r>
          </w:p>
        </w:tc>
        <w:tc>
          <w:tcPr>
            <w:tcW w:type="dxa" w:w="2012"/>
          </w:tcPr>
          <w:p>
            <w:pPr>
              <w:spacing w:after="40" w:before="40" w:line="240" w:lineRule="auto"/>
              <w:jc w:val="left"/>
            </w:pPr>
            <w:r>
              <w:rPr>
                <w:rFonts w:ascii="Times New Roman" w:hAnsi="Times New Roman" w:eastAsia="Times New Roman"/>
                <w:b w:val="0"/>
                <w:i w:val="0"/>
                <w:color w:val="000000"/>
                <w:sz w:val="21"/>
              </w:rPr>
              <w:t>+48.3</w:t>
            </w:r>
          </w:p>
        </w:tc>
        <w:tc>
          <w:tcPr>
            <w:tcW w:type="dxa" w:w="1806"/>
          </w:tcPr>
          <w:p>
            <w:pPr>
              <w:spacing w:after="40" w:before="40" w:line="240" w:lineRule="auto"/>
              <w:jc w:val="left"/>
            </w:pPr>
            <w:r>
              <w:rPr>
                <w:rFonts w:ascii="Times New Roman" w:hAnsi="Times New Roman" w:eastAsia="Times New Roman"/>
                <w:b w:val="0"/>
                <w:i w:val="0"/>
                <w:color w:val="000000"/>
                <w:sz w:val="21"/>
              </w:rPr>
              <w:t>+11.2</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bl>
    <w:p>
      <w:pPr>
        <w:spacing w:after="120" w:before="0" w:line="240" w:lineRule="auto"/>
      </w:pPr>
    </w:p>
    <w:p>
      <w:pPr>
        <w:spacing w:after="240" w:before="0" w:line="360" w:lineRule="auto"/>
        <w:jc w:val="both"/>
      </w:pPr>
      <w:r>
        <w:rPr>
          <w:rFonts w:ascii="Times New Roman" w:hAnsi="Times New Roman" w:eastAsia="Times New Roman"/>
          <w:b w:val="0"/>
          <w:i/>
          <w:color w:val="000000"/>
          <w:sz w:val="24"/>
        </w:rPr>
        <w:t>Gap = share of people with the factor among those with hair fall minus the share among those without. For the final dataset, "hair fall" means Moderate or High risk.</w:t>
      </w:r>
    </w:p>
    <w:p>
      <w:pPr>
        <w:spacing w:after="240" w:before="0" w:line="360" w:lineRule="auto"/>
        <w:jc w:val="both"/>
      </w:pPr>
      <w:r>
        <w:rPr>
          <w:rFonts w:ascii="Times New Roman" w:hAnsi="Times New Roman" w:eastAsia="Times New Roman"/>
          <w:b w:val="0"/>
          <w:i w:val="0"/>
          <w:color w:val="000000"/>
          <w:sz w:val="24"/>
        </w:rPr>
        <w:t xml:space="preserve">The survey shows stronger gaps than the final dataset because survey respondents answered about a problem they already knew they had, while the final dataset describes graded risk. Because of these differences the final dataset is treated as a </w:t>
      </w:r>
      <w:r>
        <w:rPr>
          <w:rFonts w:ascii="Times New Roman" w:hAnsi="Times New Roman" w:eastAsia="Times New Roman"/>
          <w:b/>
          <w:i w:val="0"/>
          <w:color w:val="000000"/>
          <w:sz w:val="24"/>
        </w:rPr>
        <w:t>semi-synthetic benchmark</w:t>
      </w:r>
      <w:r>
        <w:rPr>
          <w:rFonts w:ascii="Times New Roman" w:hAnsi="Times New Roman" w:eastAsia="Times New Roman"/>
          <w:b w:val="0"/>
          <w:i w:val="0"/>
          <w:color w:val="000000"/>
          <w:sz w:val="24"/>
        </w:rPr>
        <w:t>: the associations learned by the models reflect relationships built into the data from the dermatology literature and the survey, and they are not new clinical evidence. This limitation is stated again when the results are discussed.</w:t>
      </w:r>
    </w:p>
    <w:p>
      <w:pPr>
        <w:pStyle w:val="Heading3"/>
        <w:keepNext/>
        <w:spacing w:after="240" w:before="120" w:line="360" w:lineRule="auto"/>
        <w:jc w:val="left"/>
      </w:pPr>
      <w:r>
        <w:rPr>
          <w:rFonts w:ascii="Times New Roman" w:hAnsi="Times New Roman" w:eastAsia="Times New Roman"/>
          <w:b/>
          <w:color w:val="000000"/>
          <w:sz w:val="24"/>
        </w:rPr>
        <w:t>3.2.3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 in four groups.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(0 to 40 scale), and two 0 to 100 hair condition scores,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spacing w:after="240" w:before="0" w:line="360" w:lineRule="auto"/>
        <w:jc w:val="both"/>
      </w:pPr>
      <w:r>
        <w:rPr>
          <w:rFonts w:ascii="Times New Roman" w:hAnsi="Times New Roman" w:eastAsia="Times New Roman"/>
          <w:b w:val="0"/>
          <w:i w:val="0"/>
          <w:color w:val="000000"/>
          <w:sz w:val="24"/>
        </w:rPr>
        <w:t>The target hair_fall has three risk tiers: 0 = Low (9,723 records, 45%), 1 = Moderate (7,562, 35%), and 2 = High (4,321, 20%). Gender is Male for 12,109 records, Female for 9,485, and Other for 12.</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(Table 3.4).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keepNext/>
        <w:spacing w:after="120" w:before="0" w:line="360" w:lineRule="auto"/>
        <w:jc w:val="left"/>
      </w:pPr>
      <w:r>
        <w:rPr>
          <w:rFonts w:ascii="Times New Roman" w:hAnsi="Times New Roman" w:eastAsia="Times New Roman"/>
          <w:b/>
          <w:i w:val="0"/>
          <w:color w:val="000000"/>
          <w:sz w:val="24"/>
        </w:rPr>
        <w:t>Table 3.4:</w:t>
      </w:r>
      <w:r>
        <w:rPr>
          <w:rFonts w:ascii="Times New Roman" w:hAnsi="Times New Roman" w:eastAsia="Times New Roman"/>
          <w:b w:val="0"/>
          <w:i w:val="0"/>
          <w:color w:val="000000"/>
          <w:sz w:val="24"/>
        </w:rPr>
        <w:t xml:space="preserve"> Clinical range check of the final dataset</w:t>
      </w:r>
    </w:p>
    <w:tbl>
      <w:tblPr>
        <w:tblStyle w:val="TableGrid"/>
        <w:tblW w:type="auto" w:w="0"/>
        <w:jc w:val="center"/>
        <w:tblLayout w:type="fixed"/>
        <w:tblLook w:firstColumn="1" w:firstRow="1" w:lastColumn="0" w:lastRow="0" w:noHBand="0" w:noVBand="1" w:val="04A0"/>
      </w:tblPr>
      <w:tblGrid>
        <w:gridCol w:w="1991"/>
        <w:gridCol w:w="1280"/>
        <w:gridCol w:w="1280"/>
        <w:gridCol w:w="1280"/>
        <w:gridCol w:w="1564"/>
        <w:gridCol w:w="1635"/>
      </w:tblGrid>
      <w:tr>
        <w:trPr>
          <w:cantSplit/>
          <w:tblHeader/>
        </w:trPr>
        <w:tc>
          <w:tcPr>
            <w:tcW w:type="dxa" w:w="1991"/>
            <w:shd w:val="clear" w:color="auto" w:fill="E7E6E6"/>
          </w:tcPr>
          <w:p>
            <w:pPr>
              <w:spacing w:after="40" w:before="40" w:line="240" w:lineRule="auto"/>
              <w:jc w:val="left"/>
            </w:pPr>
            <w:r>
              <w:rPr>
                <w:rFonts w:ascii="Times New Roman" w:hAnsi="Times New Roman" w:eastAsia="Times New Roman"/>
                <w:b/>
                <w:i w:val="0"/>
                <w:color w:val="000000"/>
                <w:sz w:val="21"/>
              </w:rPr>
              <w:t>Measurement</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Normal range</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Below normal</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Above normal</w:t>
            </w:r>
          </w:p>
        </w:tc>
        <w:tc>
          <w:tcPr>
            <w:tcW w:type="dxa" w:w="1564"/>
            <w:shd w:val="clear" w:color="auto" w:fill="E7E6E6"/>
          </w:tcPr>
          <w:p>
            <w:pPr>
              <w:spacing w:after="40" w:before="40" w:line="240" w:lineRule="auto"/>
              <w:jc w:val="left"/>
            </w:pPr>
            <w:r>
              <w:rPr>
                <w:rFonts w:ascii="Times New Roman" w:hAnsi="Times New Roman" w:eastAsia="Times New Roman"/>
                <w:b/>
                <w:i w:val="0"/>
                <w:color w:val="000000"/>
                <w:sz w:val="21"/>
              </w:rPr>
              <w:t>% outside normal</w:t>
            </w:r>
          </w:p>
        </w:tc>
        <w:tc>
          <w:tcPr>
            <w:tcW w:type="dxa" w:w="1635"/>
            <w:shd w:val="clear" w:color="auto" w:fill="E7E6E6"/>
          </w:tcPr>
          <w:p>
            <w:pPr>
              <w:spacing w:after="40" w:before="40" w:line="240" w:lineRule="auto"/>
              <w:jc w:val="left"/>
            </w:pPr>
            <w:r>
              <w:rPr>
                <w:rFonts w:ascii="Times New Roman" w:hAnsi="Times New Roman" w:eastAsia="Times New Roman"/>
                <w:b/>
                <w:i w:val="0"/>
                <w:color w:val="000000"/>
                <w:sz w:val="21"/>
              </w:rPr>
              <w:t>Impossible values</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total_protein (g/dL)</w:t>
            </w:r>
          </w:p>
        </w:tc>
        <w:tc>
          <w:tcPr>
            <w:tcW w:type="dxa" w:w="1280"/>
          </w:tcPr>
          <w:p>
            <w:pPr>
              <w:spacing w:after="40" w:before="40" w:line="240" w:lineRule="auto"/>
              <w:jc w:val="left"/>
            </w:pPr>
            <w:r>
              <w:rPr>
                <w:rFonts w:ascii="Times New Roman" w:hAnsi="Times New Roman" w:eastAsia="Times New Roman"/>
                <w:b w:val="0"/>
                <w:i w:val="0"/>
                <w:color w:val="000000"/>
                <w:sz w:val="21"/>
              </w:rPr>
              <w:t>6.0 to 8.3</w:t>
            </w:r>
          </w:p>
        </w:tc>
        <w:tc>
          <w:tcPr>
            <w:tcW w:type="dxa" w:w="1280"/>
          </w:tcPr>
          <w:p>
            <w:pPr>
              <w:spacing w:after="40" w:before="40" w:line="240" w:lineRule="auto"/>
              <w:jc w:val="left"/>
            </w:pPr>
            <w:r>
              <w:rPr>
                <w:rFonts w:ascii="Times New Roman" w:hAnsi="Times New Roman" w:eastAsia="Times New Roman"/>
                <w:b w:val="0"/>
                <w:i w:val="0"/>
                <w:color w:val="000000"/>
                <w:sz w:val="21"/>
              </w:rPr>
              <w:t>406</w:t>
            </w:r>
          </w:p>
        </w:tc>
        <w:tc>
          <w:tcPr>
            <w:tcW w:type="dxa" w:w="1280"/>
          </w:tcPr>
          <w:p>
            <w:pPr>
              <w:spacing w:after="40" w:before="40" w:line="240" w:lineRule="auto"/>
              <w:jc w:val="left"/>
            </w:pPr>
            <w:r>
              <w:rPr>
                <w:rFonts w:ascii="Times New Roman" w:hAnsi="Times New Roman" w:eastAsia="Times New Roman"/>
                <w:b w:val="0"/>
                <w:i w:val="0"/>
                <w:color w:val="000000"/>
                <w:sz w:val="21"/>
              </w:rPr>
              <w:t>605</w:t>
            </w:r>
          </w:p>
        </w:tc>
        <w:tc>
          <w:tcPr>
            <w:tcW w:type="dxa" w:w="1564"/>
          </w:tcPr>
          <w:p>
            <w:pPr>
              <w:spacing w:after="40" w:before="40" w:line="240" w:lineRule="auto"/>
              <w:jc w:val="left"/>
            </w:pPr>
            <w:r>
              <w:rPr>
                <w:rFonts w:ascii="Times New Roman" w:hAnsi="Times New Roman" w:eastAsia="Times New Roman"/>
                <w:b w:val="0"/>
                <w:i w:val="0"/>
                <w:color w:val="000000"/>
                <w:sz w:val="21"/>
              </w:rPr>
              <w:t>4.7</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calcium (mg/dL)</w:t>
            </w:r>
          </w:p>
        </w:tc>
        <w:tc>
          <w:tcPr>
            <w:tcW w:type="dxa" w:w="1280"/>
          </w:tcPr>
          <w:p>
            <w:pPr>
              <w:spacing w:after="40" w:before="40" w:line="240" w:lineRule="auto"/>
              <w:jc w:val="left"/>
            </w:pPr>
            <w:r>
              <w:rPr>
                <w:rFonts w:ascii="Times New Roman" w:hAnsi="Times New Roman" w:eastAsia="Times New Roman"/>
                <w:b w:val="0"/>
                <w:i w:val="0"/>
                <w:color w:val="000000"/>
                <w:sz w:val="21"/>
              </w:rPr>
              <w:t>8.5 to 10.5</w:t>
            </w:r>
          </w:p>
        </w:tc>
        <w:tc>
          <w:tcPr>
            <w:tcW w:type="dxa" w:w="1280"/>
          </w:tcPr>
          <w:p>
            <w:pPr>
              <w:spacing w:after="40" w:before="40" w:line="240" w:lineRule="auto"/>
              <w:jc w:val="left"/>
            </w:pPr>
            <w:r>
              <w:rPr>
                <w:rFonts w:ascii="Times New Roman" w:hAnsi="Times New Roman" w:eastAsia="Times New Roman"/>
                <w:b w:val="0"/>
                <w:i w:val="0"/>
                <w:color w:val="000000"/>
                <w:sz w:val="21"/>
              </w:rPr>
              <w:t>1,675</w:t>
            </w:r>
          </w:p>
        </w:tc>
        <w:tc>
          <w:tcPr>
            <w:tcW w:type="dxa" w:w="1280"/>
          </w:tcPr>
          <w:p>
            <w:pPr>
              <w:spacing w:after="40" w:before="40" w:line="240" w:lineRule="auto"/>
              <w:jc w:val="left"/>
            </w:pPr>
            <w:r>
              <w:rPr>
                <w:rFonts w:ascii="Times New Roman" w:hAnsi="Times New Roman" w:eastAsia="Times New Roman"/>
                <w:b w:val="0"/>
                <w:i w:val="0"/>
                <w:color w:val="000000"/>
                <w:sz w:val="21"/>
              </w:rPr>
              <w:t>392</w:t>
            </w:r>
          </w:p>
        </w:tc>
        <w:tc>
          <w:tcPr>
            <w:tcW w:type="dxa" w:w="1564"/>
          </w:tcPr>
          <w:p>
            <w:pPr>
              <w:spacing w:after="40" w:before="40" w:line="240" w:lineRule="auto"/>
              <w:jc w:val="left"/>
            </w:pPr>
            <w:r>
              <w:rPr>
                <w:rFonts w:ascii="Times New Roman" w:hAnsi="Times New Roman" w:eastAsia="Times New Roman"/>
                <w:b w:val="0"/>
                <w:i w:val="0"/>
                <w:color w:val="000000"/>
                <w:sz w:val="21"/>
              </w:rPr>
              <w:t>9.6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iron (µg/dL)</w:t>
            </w:r>
          </w:p>
        </w:tc>
        <w:tc>
          <w:tcPr>
            <w:tcW w:type="dxa" w:w="1280"/>
          </w:tcPr>
          <w:p>
            <w:pPr>
              <w:spacing w:after="40" w:before="40" w:line="240" w:lineRule="auto"/>
              <w:jc w:val="left"/>
            </w:pPr>
            <w:r>
              <w:rPr>
                <w:rFonts w:ascii="Times New Roman" w:hAnsi="Times New Roman" w:eastAsia="Times New Roman"/>
                <w:b w:val="0"/>
                <w:i w:val="0"/>
                <w:color w:val="000000"/>
                <w:sz w:val="21"/>
              </w:rPr>
              <w:t>60 to 170</w:t>
            </w:r>
          </w:p>
        </w:tc>
        <w:tc>
          <w:tcPr>
            <w:tcW w:type="dxa" w:w="1280"/>
          </w:tcPr>
          <w:p>
            <w:pPr>
              <w:spacing w:after="40" w:before="40" w:line="240" w:lineRule="auto"/>
              <w:jc w:val="left"/>
            </w:pPr>
            <w:r>
              <w:rPr>
                <w:rFonts w:ascii="Times New Roman" w:hAnsi="Times New Roman" w:eastAsia="Times New Roman"/>
                <w:b w:val="0"/>
                <w:i w:val="0"/>
                <w:color w:val="000000"/>
                <w:sz w:val="21"/>
              </w:rPr>
              <w:t>2,217</w:t>
            </w:r>
          </w:p>
        </w:tc>
        <w:tc>
          <w:tcPr>
            <w:tcW w:type="dxa" w:w="1280"/>
          </w:tcPr>
          <w:p>
            <w:pPr>
              <w:spacing w:after="40" w:before="40" w:line="240" w:lineRule="auto"/>
              <w:jc w:val="left"/>
            </w:pPr>
            <w:r>
              <w:rPr>
                <w:rFonts w:ascii="Times New Roman" w:hAnsi="Times New Roman" w:eastAsia="Times New Roman"/>
                <w:b w:val="0"/>
                <w:i w:val="0"/>
                <w:color w:val="000000"/>
                <w:sz w:val="21"/>
              </w:rPr>
              <w:t>209</w:t>
            </w:r>
          </w:p>
        </w:tc>
        <w:tc>
          <w:tcPr>
            <w:tcW w:type="dxa" w:w="1564"/>
          </w:tcPr>
          <w:p>
            <w:pPr>
              <w:spacing w:after="40" w:before="40" w:line="240" w:lineRule="auto"/>
              <w:jc w:val="left"/>
            </w:pPr>
            <w:r>
              <w:rPr>
                <w:rFonts w:ascii="Times New Roman" w:hAnsi="Times New Roman" w:eastAsia="Times New Roman"/>
                <w:b w:val="0"/>
                <w:i w:val="0"/>
                <w:color w:val="000000"/>
                <w:sz w:val="21"/>
              </w:rPr>
              <w:t>11.2</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vitamin_d (ng/mL)</w:t>
            </w:r>
          </w:p>
        </w:tc>
        <w:tc>
          <w:tcPr>
            <w:tcW w:type="dxa" w:w="1280"/>
          </w:tcPr>
          <w:p>
            <w:pPr>
              <w:spacing w:after="40" w:before="40" w:line="240" w:lineRule="auto"/>
              <w:jc w:val="left"/>
            </w:pPr>
            <w:r>
              <w:rPr>
                <w:rFonts w:ascii="Times New Roman" w:hAnsi="Times New Roman" w:eastAsia="Times New Roman"/>
                <w:b w:val="0"/>
                <w:i w:val="0"/>
                <w:color w:val="000000"/>
                <w:sz w:val="21"/>
              </w:rPr>
              <w:t>25 to 80</w:t>
            </w:r>
          </w:p>
        </w:tc>
        <w:tc>
          <w:tcPr>
            <w:tcW w:type="dxa" w:w="1280"/>
          </w:tcPr>
          <w:p>
            <w:pPr>
              <w:spacing w:after="40" w:before="40" w:line="240" w:lineRule="auto"/>
              <w:jc w:val="left"/>
            </w:pPr>
            <w:r>
              <w:rPr>
                <w:rFonts w:ascii="Times New Roman" w:hAnsi="Times New Roman" w:eastAsia="Times New Roman"/>
                <w:b w:val="0"/>
                <w:i w:val="0"/>
                <w:color w:val="000000"/>
                <w:sz w:val="21"/>
              </w:rPr>
              <w:t>8,606</w:t>
            </w:r>
          </w:p>
        </w:tc>
        <w:tc>
          <w:tcPr>
            <w:tcW w:type="dxa" w:w="1280"/>
          </w:tcPr>
          <w:p>
            <w:pPr>
              <w:spacing w:after="40" w:before="40" w:line="240" w:lineRule="auto"/>
              <w:jc w:val="left"/>
            </w:pPr>
            <w:r>
              <w:rPr>
                <w:rFonts w:ascii="Times New Roman" w:hAnsi="Times New Roman" w:eastAsia="Times New Roman"/>
                <w:b w:val="0"/>
                <w:i w:val="0"/>
                <w:color w:val="000000"/>
                <w:sz w:val="21"/>
              </w:rPr>
              <w:t>0</w:t>
            </w:r>
          </w:p>
        </w:tc>
        <w:tc>
          <w:tcPr>
            <w:tcW w:type="dxa" w:w="1564"/>
          </w:tcPr>
          <w:p>
            <w:pPr>
              <w:spacing w:after="40" w:before="40" w:line="240" w:lineRule="auto"/>
              <w:jc w:val="left"/>
            </w:pPr>
            <w:r>
              <w:rPr>
                <w:rFonts w:ascii="Times New Roman" w:hAnsi="Times New Roman" w:eastAsia="Times New Roman"/>
                <w:b w:val="0"/>
                <w:i w:val="0"/>
                <w:color w:val="000000"/>
                <w:sz w:val="21"/>
              </w:rPr>
              <w:t>39.8</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alt_liver (U/L)</w:t>
            </w:r>
          </w:p>
        </w:tc>
        <w:tc>
          <w:tcPr>
            <w:tcW w:type="dxa" w:w="1280"/>
          </w:tcPr>
          <w:p>
            <w:pPr>
              <w:spacing w:after="40" w:before="40" w:line="240" w:lineRule="auto"/>
              <w:jc w:val="left"/>
            </w:pPr>
            <w:r>
              <w:rPr>
                <w:rFonts w:ascii="Times New Roman" w:hAnsi="Times New Roman" w:eastAsia="Times New Roman"/>
                <w:b w:val="0"/>
                <w:i w:val="0"/>
                <w:color w:val="000000"/>
                <w:sz w:val="21"/>
              </w:rPr>
              <w:t>7 to 56</w:t>
            </w:r>
          </w:p>
        </w:tc>
        <w:tc>
          <w:tcPr>
            <w:tcW w:type="dxa" w:w="1280"/>
          </w:tcPr>
          <w:p>
            <w:pPr>
              <w:spacing w:after="40" w:before="40" w:line="240" w:lineRule="auto"/>
              <w:jc w:val="left"/>
            </w:pPr>
            <w:r>
              <w:rPr>
                <w:rFonts w:ascii="Times New Roman" w:hAnsi="Times New Roman" w:eastAsia="Times New Roman"/>
                <w:b w:val="0"/>
                <w:i w:val="0"/>
                <w:color w:val="000000"/>
                <w:sz w:val="21"/>
              </w:rPr>
              <w:t>2,300</w:t>
            </w:r>
          </w:p>
        </w:tc>
        <w:tc>
          <w:tcPr>
            <w:tcW w:type="dxa" w:w="1280"/>
          </w:tcPr>
          <w:p>
            <w:pPr>
              <w:spacing w:after="40" w:before="40" w:line="240" w:lineRule="auto"/>
              <w:jc w:val="left"/>
            </w:pPr>
            <w:r>
              <w:rPr>
                <w:rFonts w:ascii="Times New Roman" w:hAnsi="Times New Roman" w:eastAsia="Times New Roman"/>
                <w:b w:val="0"/>
                <w:i w:val="0"/>
                <w:color w:val="000000"/>
                <w:sz w:val="21"/>
              </w:rPr>
              <w:t>403</w:t>
            </w:r>
          </w:p>
        </w:tc>
        <w:tc>
          <w:tcPr>
            <w:tcW w:type="dxa" w:w="1564"/>
          </w:tcPr>
          <w:p>
            <w:pPr>
              <w:spacing w:after="40" w:before="40" w:line="240" w:lineRule="auto"/>
              <w:jc w:val="left"/>
            </w:pPr>
            <w:r>
              <w:rPr>
                <w:rFonts w:ascii="Times New Roman" w:hAnsi="Times New Roman" w:eastAsia="Times New Roman"/>
                <w:b w:val="0"/>
                <w:i w:val="0"/>
                <w:color w:val="000000"/>
                <w:sz w:val="21"/>
              </w:rPr>
              <w:t>12.5</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manganese (µg/L)</w:t>
            </w:r>
          </w:p>
        </w:tc>
        <w:tc>
          <w:tcPr>
            <w:tcW w:type="dxa" w:w="1280"/>
          </w:tcPr>
          <w:p>
            <w:pPr>
              <w:spacing w:after="40" w:before="40" w:line="240" w:lineRule="auto"/>
              <w:jc w:val="left"/>
            </w:pPr>
            <w:r>
              <w:rPr>
                <w:rFonts w:ascii="Times New Roman" w:hAnsi="Times New Roman" w:eastAsia="Times New Roman"/>
                <w:b w:val="0"/>
                <w:i w:val="0"/>
                <w:color w:val="000000"/>
                <w:sz w:val="21"/>
              </w:rPr>
              <w:t>4 to 15</w:t>
            </w:r>
          </w:p>
        </w:tc>
        <w:tc>
          <w:tcPr>
            <w:tcW w:type="dxa" w:w="1280"/>
          </w:tcPr>
          <w:p>
            <w:pPr>
              <w:spacing w:after="40" w:before="40" w:line="240" w:lineRule="auto"/>
              <w:jc w:val="left"/>
            </w:pPr>
            <w:r>
              <w:rPr>
                <w:rFonts w:ascii="Times New Roman" w:hAnsi="Times New Roman" w:eastAsia="Times New Roman"/>
                <w:b w:val="0"/>
                <w:i w:val="0"/>
                <w:color w:val="000000"/>
                <w:sz w:val="21"/>
              </w:rPr>
              <w:t>1,960</w:t>
            </w:r>
          </w:p>
        </w:tc>
        <w:tc>
          <w:tcPr>
            <w:tcW w:type="dxa" w:w="1280"/>
          </w:tcPr>
          <w:p>
            <w:pPr>
              <w:spacing w:after="40" w:before="40" w:line="240" w:lineRule="auto"/>
              <w:jc w:val="left"/>
            </w:pPr>
            <w:r>
              <w:rPr>
                <w:rFonts w:ascii="Times New Roman" w:hAnsi="Times New Roman" w:eastAsia="Times New Roman"/>
                <w:b w:val="0"/>
                <w:i w:val="0"/>
                <w:color w:val="000000"/>
                <w:sz w:val="21"/>
              </w:rPr>
              <w:t>208</w:t>
            </w:r>
          </w:p>
        </w:tc>
        <w:tc>
          <w:tcPr>
            <w:tcW w:type="dxa" w:w="1564"/>
          </w:tcPr>
          <w:p>
            <w:pPr>
              <w:spacing w:after="40" w:before="40" w:line="240" w:lineRule="auto"/>
              <w:jc w:val="left"/>
            </w:pPr>
            <w:r>
              <w:rPr>
                <w:rFonts w:ascii="Times New Roman" w:hAnsi="Times New Roman" w:eastAsia="Times New Roman"/>
                <w:b w:val="0"/>
                <w:i w:val="0"/>
                <w:color w:val="000000"/>
                <w:sz w:val="21"/>
              </w:rPr>
              <w:t>10.0</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body_water_content (%)</w:t>
            </w:r>
          </w:p>
        </w:tc>
        <w:tc>
          <w:tcPr>
            <w:tcW w:type="dxa" w:w="1280"/>
          </w:tcPr>
          <w:p>
            <w:pPr>
              <w:spacing w:after="40" w:before="40" w:line="240" w:lineRule="auto"/>
              <w:jc w:val="left"/>
            </w:pPr>
            <w:r>
              <w:rPr>
                <w:rFonts w:ascii="Times New Roman" w:hAnsi="Times New Roman" w:eastAsia="Times New Roman"/>
                <w:b w:val="0"/>
                <w:i w:val="0"/>
                <w:color w:val="000000"/>
                <w:sz w:val="21"/>
              </w:rPr>
              <w:t>45 to 65</w:t>
            </w:r>
          </w:p>
        </w:tc>
        <w:tc>
          <w:tcPr>
            <w:tcW w:type="dxa" w:w="1280"/>
          </w:tcPr>
          <w:p>
            <w:pPr>
              <w:spacing w:after="40" w:before="40" w:line="240" w:lineRule="auto"/>
              <w:jc w:val="left"/>
            </w:pPr>
            <w:r>
              <w:rPr>
                <w:rFonts w:ascii="Times New Roman" w:hAnsi="Times New Roman" w:eastAsia="Times New Roman"/>
                <w:b w:val="0"/>
                <w:i w:val="0"/>
                <w:color w:val="000000"/>
                <w:sz w:val="21"/>
              </w:rPr>
              <w:t>2,225</w:t>
            </w:r>
          </w:p>
        </w:tc>
        <w:tc>
          <w:tcPr>
            <w:tcW w:type="dxa" w:w="1280"/>
          </w:tcPr>
          <w:p>
            <w:pPr>
              <w:spacing w:after="40" w:before="40" w:line="240" w:lineRule="auto"/>
              <w:jc w:val="left"/>
            </w:pPr>
            <w:r>
              <w:rPr>
                <w:rFonts w:ascii="Times New Roman" w:hAnsi="Times New Roman" w:eastAsia="Times New Roman"/>
                <w:b w:val="0"/>
                <w:i w:val="0"/>
                <w:color w:val="000000"/>
                <w:sz w:val="21"/>
              </w:rPr>
              <w:t>2,227</w:t>
            </w:r>
          </w:p>
        </w:tc>
        <w:tc>
          <w:tcPr>
            <w:tcW w:type="dxa" w:w="1564"/>
          </w:tcPr>
          <w:p>
            <w:pPr>
              <w:spacing w:after="40" w:before="40" w:line="240" w:lineRule="auto"/>
              <w:jc w:val="left"/>
            </w:pPr>
            <w:r>
              <w:rPr>
                <w:rFonts w:ascii="Times New Roman" w:hAnsi="Times New Roman" w:eastAsia="Times New Roman"/>
                <w:b w:val="0"/>
                <w:i w:val="0"/>
                <w:color w:val="000000"/>
                <w:sz w:val="21"/>
              </w:rPr>
              <w:t>20.6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bl>
    <w:p>
      <w:pPr>
        <w:spacing w:after="120" w:before="0" w:line="240" w:lineRule="auto"/>
      </w:pP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where f(x) is the model output for a patient x, φ₀ is the average prediction and φ_j is the contribution of feature j (for example iron or stress_level) to the predicted risk tier.</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CatBoost:</w:t>
      </w:r>
      <w:r>
        <w:rPr>
          <w:rFonts w:ascii="Times New Roman" w:hAnsi="Times New Roman" w:eastAsia="Times New Roman"/>
          <w:b w:val="0"/>
          <w:i w:val="0"/>
          <w:color w:val="000000"/>
          <w:sz w:val="24"/>
        </w:rPr>
        <w:t xml:space="preserve"> TreeExplainer, which uses the tree structure to compute exact values, will be applied to a sample of 1,000 test records.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TabPFN and TabFM:</w:t>
      </w:r>
      <w:r>
        <w:rPr>
          <w:rFonts w:ascii="Times New Roman" w:hAnsi="Times New Roman" w:eastAsia="Times New Roman"/>
          <w:b w:val="0"/>
          <w:i w:val="0"/>
          <w:color w:val="000000"/>
          <w:sz w:val="24"/>
        </w:rPr>
        <w:t xml:space="preserve"> KernelExplainer, which estimates the values by repeatedly changing the inputs and predicting again. Because every repeat is a full forward pass of a large model, it will be applied to a small sample of test records (a few tens) with a small k-means background set.</w:t>
      </w:r>
    </w:p>
    <w:p>
      <w:pPr>
        <w:spacing w:after="240" w:before="0" w:line="360" w:lineRule="auto"/>
        <w:jc w:val="both"/>
      </w:pPr>
      <w:r>
        <w:rPr>
          <w:rFonts w:ascii="Times New Roman" w:hAnsi="Times New Roman" w:eastAsia="Times New Roman"/>
          <w:b w:val="0"/>
          <w:i w:val="0"/>
          <w:color w:val="000000"/>
          <w:sz w:val="24"/>
        </w:rPr>
        <w:t>The results will be a global ranking of the features (which matter most overall) and per-patient explanations (why this person received this tier). The rankings of the three models will be compared with each other and with the known biology from Chapter 2.</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keepNext/>
        <w:spacing w:after="120" w:before="0" w:line="360" w:lineRule="auto"/>
        <w:jc w:val="left"/>
      </w:pPr>
      <w:r>
        <w:rPr>
          <w:rFonts w:ascii="Times New Roman" w:hAnsi="Times New Roman" w:eastAsia="Times New Roman"/>
          <w:b/>
          <w:i w:val="0"/>
          <w:color w:val="000000"/>
          <w:sz w:val="24"/>
        </w:rPr>
        <w:t>Table 3.5:</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574"/>
        <w:gridCol w:w="3762"/>
        <w:gridCol w:w="1693"/>
      </w:tblGrid>
      <w:tr>
        <w:trPr>
          <w:cantSplit/>
          <w:tblHeader/>
        </w:trPr>
        <w:tc>
          <w:tcPr>
            <w:tcW w:type="dxa" w:w="3574"/>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762"/>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693"/>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Language</w:t>
            </w:r>
          </w:p>
        </w:tc>
        <w:tc>
          <w:tcPr>
            <w:tcW w:type="dxa" w:w="3762"/>
          </w:tcPr>
          <w:p>
            <w:pPr>
              <w:spacing w:after="40" w:before="40" w:line="240" w:lineRule="auto"/>
              <w:jc w:val="left"/>
            </w:pPr>
            <w:r>
              <w:rPr>
                <w:rFonts w:ascii="Times New Roman" w:hAnsi="Times New Roman" w:eastAsia="Times New Roman"/>
                <w:b w:val="0"/>
                <w:i w:val="0"/>
                <w:color w:val="000000"/>
                <w:sz w:val="24"/>
              </w:rPr>
              <w:t>Python</w:t>
            </w:r>
          </w:p>
        </w:tc>
        <w:tc>
          <w:tcPr>
            <w:tcW w:type="dxa" w:w="1693"/>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Data handling</w:t>
            </w:r>
          </w:p>
        </w:tc>
        <w:tc>
          <w:tcPr>
            <w:tcW w:type="dxa" w:w="3762"/>
          </w:tcPr>
          <w:p>
            <w:pPr>
              <w:spacing w:after="40" w:before="40" w:line="240" w:lineRule="auto"/>
              <w:jc w:val="left"/>
            </w:pPr>
            <w:r>
              <w:rPr>
                <w:rFonts w:ascii="Times New Roman" w:hAnsi="Times New Roman" w:eastAsia="Times New Roman"/>
                <w:b w:val="0"/>
                <w:i w:val="0"/>
                <w:color w:val="000000"/>
                <w:sz w:val="24"/>
              </w:rPr>
              <w:t>pandas, NumPy</w:t>
            </w:r>
          </w:p>
        </w:tc>
        <w:tc>
          <w:tcPr>
            <w:tcW w:type="dxa" w:w="1693"/>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762"/>
          </w:tcPr>
          <w:p>
            <w:pPr>
              <w:spacing w:after="40" w:before="40" w:line="240" w:lineRule="auto"/>
              <w:jc w:val="left"/>
            </w:pPr>
            <w:r>
              <w:rPr>
                <w:rFonts w:ascii="Times New Roman" w:hAnsi="Times New Roman" w:eastAsia="Times New Roman"/>
                <w:b w:val="0"/>
                <w:i w:val="0"/>
                <w:color w:val="000000"/>
                <w:sz w:val="24"/>
              </w:rPr>
              <w:t>scikit-learn</w:t>
            </w:r>
          </w:p>
        </w:tc>
        <w:tc>
          <w:tcPr>
            <w:tcW w:type="dxa" w:w="1693"/>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762"/>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693"/>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762"/>
          </w:tcPr>
          <w:p>
            <w:pPr>
              <w:spacing w:after="40" w:before="40" w:line="240" w:lineRule="auto"/>
              <w:jc w:val="left"/>
            </w:pPr>
            <w:r>
              <w:rPr>
                <w:rFonts w:ascii="Times New Roman" w:hAnsi="Times New Roman" w:eastAsia="Times New Roman"/>
                <w:b w:val="0"/>
                <w:i w:val="0"/>
                <w:color w:val="000000"/>
                <w:sz w:val="24"/>
              </w:rPr>
              <w:t>CatBoost</w:t>
            </w:r>
          </w:p>
        </w:tc>
        <w:tc>
          <w:tcPr>
            <w:tcW w:type="dxa" w:w="1693"/>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762"/>
          </w:tcPr>
          <w:p>
            <w:pPr>
              <w:spacing w:after="40" w:before="40" w:line="240" w:lineRule="auto"/>
              <w:jc w:val="left"/>
            </w:pPr>
            <w:r>
              <w:rPr>
                <w:rFonts w:ascii="Times New Roman" w:hAnsi="Times New Roman" w:eastAsia="Times New Roman"/>
                <w:b w:val="0"/>
                <w:i w:val="0"/>
                <w:color w:val="000000"/>
                <w:sz w:val="24"/>
              </w:rPr>
              <w:t>TabPFN</w:t>
            </w:r>
          </w:p>
        </w:tc>
        <w:tc>
          <w:tcPr>
            <w:tcW w:type="dxa" w:w="1693"/>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762"/>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693"/>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Explainability</w:t>
            </w:r>
          </w:p>
        </w:tc>
        <w:tc>
          <w:tcPr>
            <w:tcW w:type="dxa" w:w="3762"/>
          </w:tcPr>
          <w:p>
            <w:pPr>
              <w:spacing w:after="40" w:before="40" w:line="240" w:lineRule="auto"/>
              <w:jc w:val="left"/>
            </w:pPr>
            <w:r>
              <w:rPr>
                <w:rFonts w:ascii="Times New Roman" w:hAnsi="Times New Roman" w:eastAsia="Times New Roman"/>
                <w:b w:val="0"/>
                <w:i w:val="0"/>
                <w:color w:val="000000"/>
                <w:sz w:val="24"/>
              </w:rPr>
              <w:t>SHAP</w:t>
            </w:r>
          </w:p>
        </w:tc>
        <w:tc>
          <w:tcPr>
            <w:tcW w:type="dxa" w:w="1693"/>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762"/>
          </w:tcPr>
          <w:p>
            <w:pPr>
              <w:spacing w:after="40" w:before="40" w:line="240" w:lineRule="auto"/>
              <w:jc w:val="left"/>
            </w:pPr>
            <w:r>
              <w:rPr>
                <w:rFonts w:ascii="Times New Roman" w:hAnsi="Times New Roman" w:eastAsia="Times New Roman"/>
                <w:b w:val="0"/>
                <w:i w:val="0"/>
                <w:color w:val="000000"/>
                <w:sz w:val="24"/>
              </w:rPr>
              <w:t>PyTorch</w:t>
            </w:r>
          </w:p>
        </w:tc>
        <w:tc>
          <w:tcPr>
            <w:tcW w:type="dxa" w:w="1693"/>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Charts</w:t>
            </w:r>
          </w:p>
        </w:tc>
        <w:tc>
          <w:tcPr>
            <w:tcW w:type="dxa" w:w="3762"/>
          </w:tcPr>
          <w:p>
            <w:pPr>
              <w:spacing w:after="40" w:before="40" w:line="240" w:lineRule="auto"/>
              <w:jc w:val="left"/>
            </w:pPr>
            <w:r>
              <w:rPr>
                <w:rFonts w:ascii="Times New Roman" w:hAnsi="Times New Roman" w:eastAsia="Times New Roman"/>
                <w:b w:val="0"/>
                <w:i w:val="0"/>
                <w:color w:val="000000"/>
                <w:sz w:val="24"/>
              </w:rPr>
              <w:t>Matplotlib</w:t>
            </w:r>
          </w:p>
        </w:tc>
        <w:tc>
          <w:tcPr>
            <w:tcW w:type="dxa" w:w="1693"/>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Workflow</w:t>
            </w:r>
          </w:p>
        </w:tc>
        <w:tc>
          <w:tcPr>
            <w:tcW w:type="dxa" w:w="3762"/>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GPU runs</w:t>
            </w:r>
          </w:p>
        </w:tc>
        <w:tc>
          <w:tcPr>
            <w:tcW w:type="dxa" w:w="3762"/>
          </w:tcPr>
          <w:p>
            <w:pPr>
              <w:spacing w:after="40" w:before="40" w:line="240" w:lineRule="auto"/>
              <w:jc w:val="left"/>
            </w:pPr>
            <w:r>
              <w:rPr>
                <w:rFonts w:ascii="Times New Roman" w:hAnsi="Times New Roman" w:eastAsia="Times New Roman"/>
                <w:b w:val="0"/>
                <w:i w:val="0"/>
                <w:color w:val="000000"/>
                <w:sz w:val="24"/>
              </w:rPr>
              <w:t>Kaggle notebooks</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39254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4224528" cy="502920"/>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42245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608832" cy="502920"/>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608832"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The expected outcomes follow from the research gaps found in the literature review (Section 2.2.1) and from the two objectives in Section 1.3. They are stated as aims to be tested, not as findings, because the experiments are still to be carried out.</w:t>
      </w:r>
    </w:p>
    <w:p>
      <w:pPr>
        <w:spacing w:after="240" w:before="0" w:line="360" w:lineRule="auto"/>
        <w:jc w:val="both"/>
      </w:pPr>
      <w:r>
        <w:rPr>
          <w:rFonts w:ascii="Times New Roman" w:hAnsi="Times New Roman" w:eastAsia="Times New Roman"/>
          <w:b/>
          <w:i w:val="0"/>
          <w:color w:val="000000"/>
          <w:sz w:val="24"/>
        </w:rPr>
        <w:t>1. A fair benchmark of different model families on hair fall data (gap 1, Objective 1).</w:t>
      </w:r>
      <w:r>
        <w:rPr>
          <w:rFonts w:ascii="Times New Roman" w:hAnsi="Times New Roman" w:eastAsia="Times New Roman"/>
          <w:b w:val="0"/>
          <w:i w:val="0"/>
          <w:color w:val="000000"/>
          <w:sz w:val="24"/>
        </w:rPr>
        <w:t xml:space="preserve"> Earlier hair fall studies compared only classical algorithms, on different datasets, with accuracies ranging from about 50% to 100% (Khatun et al., 2022; Kumar et al., 2025; Siami &amp; Azis, 2025). This study is expected to give a comparison that can be trusted, because CatBoost, TabPFN, and TabFM use the same 21,606 records, the same train and test split, the same random seed, and the same metrics.</w:t>
      </w:r>
    </w:p>
    <w:p>
      <w:pPr>
        <w:spacing w:after="240" w:before="0" w:line="360" w:lineRule="auto"/>
        <w:jc w:val="both"/>
      </w:pPr>
      <w:r>
        <w:rPr>
          <w:rFonts w:ascii="Times New Roman" w:hAnsi="Times New Roman" w:eastAsia="Times New Roman"/>
          <w:b/>
          <w:i w:val="0"/>
          <w:color w:val="000000"/>
          <w:sz w:val="24"/>
        </w:rPr>
        <w:t>2. A properly tuned gradient boosting baseline (gap 2, Objective 1).</w:t>
      </w:r>
      <w:r>
        <w:rPr>
          <w:rFonts w:ascii="Times New Roman" w:hAnsi="Times New Roman" w:eastAsia="Times New Roman"/>
          <w:b w:val="0"/>
          <w:i w:val="0"/>
          <w:color w:val="000000"/>
          <w:sz w:val="24"/>
        </w:rPr>
        <w:t xml:space="preserve"> CatBoost scored only 49.5% in the one earlier hair fall study that included it, apparently without tuning (Kumar et al., 2025). Here CatBoost is tuned with a grid search and cross-validation on the training data only, so it is expected to be a strong and fair baseline. Any advantage of a foundation model over it would then be meaningful.</w:t>
      </w:r>
    </w:p>
    <w:p>
      <w:pPr>
        <w:spacing w:after="240" w:before="0" w:line="360" w:lineRule="auto"/>
        <w:jc w:val="both"/>
      </w:pPr>
      <w:r>
        <w:rPr>
          <w:rFonts w:ascii="Times New Roman" w:hAnsi="Times New Roman" w:eastAsia="Times New Roman"/>
          <w:b/>
          <w:i w:val="0"/>
          <w:color w:val="000000"/>
          <w:sz w:val="24"/>
        </w:rPr>
        <w:t>3. The first test of tabular foundation models on hair fall risk (gap 3, Objective 1).</w:t>
      </w:r>
      <w:r>
        <w:rPr>
          <w:rFonts w:ascii="Times New Roman" w:hAnsi="Times New Roman" w:eastAsia="Times New Roman"/>
          <w:b w:val="0"/>
          <w:i w:val="0"/>
          <w:color w:val="000000"/>
          <w:sz w:val="24"/>
        </w:rPr>
        <w:t xml:space="preserve"> TabPFN and TabFM performed well on general benchmarks (Hollmann et al., 2025; Kong et al., 2026), and this study expects them to be competitive with tuned CatBoost on hair fall data without any tuning, especially when only a small part of the training data is used. This is an expectation taken from the benchmark literature, and the study is designed so that it can also show the opposite. A difference between the models is accepted only if McNemar's test shows that it is larger than chance.</w:t>
      </w:r>
    </w:p>
    <w:p>
      <w:pPr>
        <w:spacing w:after="240" w:before="0" w:line="360" w:lineRule="auto"/>
        <w:jc w:val="both"/>
      </w:pPr>
      <w:r>
        <w:rPr>
          <w:rFonts w:ascii="Times New Roman" w:hAnsi="Times New Roman" w:eastAsia="Times New Roman"/>
          <w:b/>
          <w:i w:val="0"/>
          <w:color w:val="000000"/>
          <w:sz w:val="24"/>
        </w:rPr>
        <w:t>4. A record of the practical limits of TabFM (gap 4, Objective 1).</w:t>
      </w:r>
      <w:r>
        <w:rPr>
          <w:rFonts w:ascii="Times New Roman" w:hAnsi="Times New Roman" w:eastAsia="Times New Roman"/>
          <w:b w:val="0"/>
          <w:i w:val="0"/>
          <w:color w:val="000000"/>
          <w:sz w:val="24"/>
        </w:rPr>
        <w:t xml:space="preserve"> An independent reproduction reported software defects and memory failures on larger tables (Pandey, 2026). The study is expected to document how TabFM behaves on a real health dataset, including how much training data it can take, how long it runs, and what problems appear, so that later researchers know what to expect.</w:t>
      </w:r>
    </w:p>
    <w:p>
      <w:pPr>
        <w:spacing w:after="240" w:before="0" w:line="360" w:lineRule="auto"/>
        <w:jc w:val="both"/>
      </w:pPr>
      <w:r>
        <w:rPr>
          <w:rFonts w:ascii="Times New Roman" w:hAnsi="Times New Roman" w:eastAsia="Times New Roman"/>
          <w:b/>
          <w:i w:val="0"/>
          <w:color w:val="000000"/>
          <w:sz w:val="24"/>
        </w:rPr>
        <w:t>5. A side-by-side comparison of explanations (gap 5, Objective 2).</w:t>
      </w:r>
      <w:r>
        <w:rPr>
          <w:rFonts w:ascii="Times New Roman" w:hAnsi="Times New Roman" w:eastAsia="Times New Roman"/>
          <w:b w:val="0"/>
          <w:i w:val="0"/>
          <w:color w:val="000000"/>
          <w:sz w:val="24"/>
        </w:rPr>
        <w:t xml:space="preserve"> SHAP is expected to show which measurements and habits drive each model's predicted tier, and to show whether the three models agree. The factors that the models rely on are expected to match what Chapter 2 describes as the biological causes of hair loss, such as iron level, stress, and family history. Agreement would support the use of the models as decision support. Disagreement would be reported as a finding and not hidden.</w:t>
      </w:r>
    </w:p>
    <w:p>
      <w:pPr>
        <w:keepNext/>
        <w:spacing w:after="120" w:before="0" w:line="360" w:lineRule="auto"/>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Expected outcomes and how they will be checked</w:t>
      </w:r>
    </w:p>
    <w:tbl>
      <w:tblPr>
        <w:tblStyle w:val="TableGrid"/>
        <w:tblW w:type="auto" w:w="0"/>
        <w:jc w:val="center"/>
        <w:tblLayout w:type="fixed"/>
        <w:tblLook w:firstColumn="1" w:firstRow="1" w:lastColumn="0" w:lastRow="0" w:noHBand="0" w:noVBand="1" w:val="04A0"/>
      </w:tblPr>
      <w:tblGrid>
        <w:gridCol w:w="2376"/>
        <w:gridCol w:w="2376"/>
        <w:gridCol w:w="2376"/>
        <w:gridCol w:w="1901"/>
      </w:tblGrid>
      <w:tr>
        <w:trPr>
          <w:cantSplit/>
          <w:tblHeader/>
        </w:trPr>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Research gap (Section 2.2.1)</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Expected outcome</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How it will be checked</w:t>
            </w:r>
          </w:p>
        </w:tc>
        <w:tc>
          <w:tcPr>
            <w:tcW w:type="dxa" w:w="1901"/>
            <w:shd w:val="clear" w:color="auto" w:fill="E7E6E6"/>
          </w:tcPr>
          <w:p>
            <w:pPr>
              <w:spacing w:after="40" w:before="40" w:line="240" w:lineRule="auto"/>
              <w:jc w:val="left"/>
            </w:pPr>
            <w:r>
              <w:rPr>
                <w:rFonts w:ascii="Times New Roman" w:hAnsi="Times New Roman" w:eastAsia="Times New Roman"/>
                <w:b/>
                <w:i w:val="0"/>
                <w:color w:val="000000"/>
                <w:sz w:val="24"/>
              </w:rPr>
              <w:t>Method in Chapter 3</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1. Only classical models, different datasets</w:t>
            </w:r>
          </w:p>
        </w:tc>
        <w:tc>
          <w:tcPr>
            <w:tcW w:type="dxa" w:w="2376"/>
          </w:tcPr>
          <w:p>
            <w:pPr>
              <w:spacing w:after="40" w:before="40" w:line="240" w:lineRule="auto"/>
              <w:jc w:val="left"/>
            </w:pPr>
            <w:r>
              <w:rPr>
                <w:rFonts w:ascii="Times New Roman" w:hAnsi="Times New Roman" w:eastAsia="Times New Roman"/>
                <w:b w:val="0"/>
                <w:i w:val="0"/>
                <w:color w:val="000000"/>
                <w:sz w:val="24"/>
              </w:rPr>
              <w:t>Fair three-model benchmark</w:t>
            </w:r>
          </w:p>
        </w:tc>
        <w:tc>
          <w:tcPr>
            <w:tcW w:type="dxa" w:w="2376"/>
          </w:tcPr>
          <w:p>
            <w:pPr>
              <w:spacing w:after="40" w:before="40" w:line="240" w:lineRule="auto"/>
              <w:jc w:val="left"/>
            </w:pPr>
            <w:r>
              <w:rPr>
                <w:rFonts w:ascii="Times New Roman" w:hAnsi="Times New Roman" w:eastAsia="Times New Roman"/>
                <w:b w:val="0"/>
                <w:i w:val="0"/>
                <w:color w:val="000000"/>
                <w:sz w:val="24"/>
              </w:rPr>
              <w:t>Same data, split, seed, and metrics</w:t>
            </w:r>
          </w:p>
        </w:tc>
        <w:tc>
          <w:tcPr>
            <w:tcW w:type="dxa" w:w="1901"/>
          </w:tcPr>
          <w:p>
            <w:pPr>
              <w:spacing w:after="40" w:before="40" w:line="240" w:lineRule="auto"/>
              <w:jc w:val="left"/>
            </w:pPr>
            <w:r>
              <w:rPr>
                <w:rFonts w:ascii="Times New Roman" w:hAnsi="Times New Roman" w:eastAsia="Times New Roman"/>
                <w:b w:val="0"/>
                <w:i w:val="0"/>
                <w:color w:val="000000"/>
                <w:sz w:val="24"/>
              </w:rPr>
              <w:t>Sections 3.3,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2. CatBoost not tuned</w:t>
            </w:r>
          </w:p>
        </w:tc>
        <w:tc>
          <w:tcPr>
            <w:tcW w:type="dxa" w:w="2376"/>
          </w:tcPr>
          <w:p>
            <w:pPr>
              <w:spacing w:after="40" w:before="40" w:line="240" w:lineRule="auto"/>
              <w:jc w:val="left"/>
            </w:pPr>
            <w:r>
              <w:rPr>
                <w:rFonts w:ascii="Times New Roman" w:hAnsi="Times New Roman" w:eastAsia="Times New Roman"/>
                <w:b w:val="0"/>
                <w:i w:val="0"/>
                <w:color w:val="000000"/>
                <w:sz w:val="24"/>
              </w:rPr>
              <w:t>Strong tuned baseline</w:t>
            </w:r>
          </w:p>
        </w:tc>
        <w:tc>
          <w:tcPr>
            <w:tcW w:type="dxa" w:w="2376"/>
          </w:tcPr>
          <w:p>
            <w:pPr>
              <w:spacing w:after="40" w:before="40" w:line="240" w:lineRule="auto"/>
              <w:jc w:val="left"/>
            </w:pPr>
            <w:r>
              <w:rPr>
                <w:rFonts w:ascii="Times New Roman" w:hAnsi="Times New Roman" w:eastAsia="Times New Roman"/>
                <w:b w:val="0"/>
                <w:i w:val="0"/>
                <w:color w:val="000000"/>
                <w:sz w:val="24"/>
              </w:rPr>
              <w:t>Grid search with cross-validation on training data</w:t>
            </w:r>
          </w:p>
        </w:tc>
        <w:tc>
          <w:tcPr>
            <w:tcW w:type="dxa" w:w="1901"/>
          </w:tcPr>
          <w:p>
            <w:pPr>
              <w:spacing w:after="40" w:before="40" w:line="240" w:lineRule="auto"/>
              <w:jc w:val="left"/>
            </w:pPr>
            <w:r>
              <w:rPr>
                <w:rFonts w:ascii="Times New Roman" w:hAnsi="Times New Roman" w:eastAsia="Times New Roman"/>
                <w:b w:val="0"/>
                <w:i w:val="0"/>
                <w:color w:val="000000"/>
                <w:sz w:val="24"/>
              </w:rPr>
              <w:t>Section 3.4.1</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3. Foundation models not tested on hair fall</w:t>
            </w:r>
          </w:p>
        </w:tc>
        <w:tc>
          <w:tcPr>
            <w:tcW w:type="dxa" w:w="2376"/>
          </w:tcPr>
          <w:p>
            <w:pPr>
              <w:spacing w:after="40" w:before="40" w:line="240" w:lineRule="auto"/>
              <w:jc w:val="left"/>
            </w:pPr>
            <w:r>
              <w:rPr>
                <w:rFonts w:ascii="Times New Roman" w:hAnsi="Times New Roman" w:eastAsia="Times New Roman"/>
                <w:b w:val="0"/>
                <w:i w:val="0"/>
                <w:color w:val="000000"/>
                <w:sz w:val="24"/>
              </w:rPr>
              <w:t>Competitive results without tuning, to be confirmed</w:t>
            </w:r>
          </w:p>
        </w:tc>
        <w:tc>
          <w:tcPr>
            <w:tcW w:type="dxa" w:w="2376"/>
          </w:tcPr>
          <w:p>
            <w:pPr>
              <w:spacing w:after="40" w:before="40" w:line="240" w:lineRule="auto"/>
              <w:jc w:val="left"/>
            </w:pPr>
            <w:r>
              <w:rPr>
                <w:rFonts w:ascii="Times New Roman" w:hAnsi="Times New Roman" w:eastAsia="Times New Roman"/>
                <w:b w:val="0"/>
                <w:i w:val="0"/>
                <w:color w:val="000000"/>
                <w:sz w:val="24"/>
              </w:rPr>
              <w:t>Macro-F1 and ROC-AUC, McNemar's test, Wilson intervals</w:t>
            </w:r>
          </w:p>
        </w:tc>
        <w:tc>
          <w:tcPr>
            <w:tcW w:type="dxa" w:w="1901"/>
          </w:tcPr>
          <w:p>
            <w:pPr>
              <w:spacing w:after="40" w:before="40" w:line="240" w:lineRule="auto"/>
              <w:jc w:val="left"/>
            </w:pPr>
            <w:r>
              <w:rPr>
                <w:rFonts w:ascii="Times New Roman" w:hAnsi="Times New Roman" w:eastAsia="Times New Roman"/>
                <w:b w:val="0"/>
                <w:i w:val="0"/>
                <w:color w:val="000000"/>
                <w:sz w:val="24"/>
              </w:rPr>
              <w:t>Sections 3.4.2, 3.4.3,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4. TabFM limits unknown</w:t>
            </w:r>
          </w:p>
        </w:tc>
        <w:tc>
          <w:tcPr>
            <w:tcW w:type="dxa" w:w="2376"/>
          </w:tcPr>
          <w:p>
            <w:pPr>
              <w:spacing w:after="40" w:before="40" w:line="240" w:lineRule="auto"/>
              <w:jc w:val="left"/>
            </w:pPr>
            <w:r>
              <w:rPr>
                <w:rFonts w:ascii="Times New Roman" w:hAnsi="Times New Roman" w:eastAsia="Times New Roman"/>
                <w:b w:val="0"/>
                <w:i w:val="0"/>
                <w:color w:val="000000"/>
                <w:sz w:val="24"/>
              </w:rPr>
              <w:t>Documented limits of TabFM</w:t>
            </w:r>
          </w:p>
        </w:tc>
        <w:tc>
          <w:tcPr>
            <w:tcW w:type="dxa" w:w="2376"/>
          </w:tcPr>
          <w:p>
            <w:pPr>
              <w:spacing w:after="40" w:before="40" w:line="240" w:lineRule="auto"/>
              <w:jc w:val="left"/>
            </w:pPr>
            <w:r>
              <w:rPr>
                <w:rFonts w:ascii="Times New Roman" w:hAnsi="Times New Roman" w:eastAsia="Times New Roman"/>
                <w:b w:val="0"/>
                <w:i w:val="0"/>
                <w:color w:val="000000"/>
                <w:sz w:val="24"/>
              </w:rPr>
              <w:t>Recorded settings, problems, and run conditions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3.7</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5. Explanations not compared</w:t>
            </w:r>
          </w:p>
        </w:tc>
        <w:tc>
          <w:tcPr>
            <w:tcW w:type="dxa" w:w="2376"/>
          </w:tcPr>
          <w:p>
            <w:pPr>
              <w:spacing w:after="40" w:before="40" w:line="240" w:lineRule="auto"/>
              <w:jc w:val="left"/>
            </w:pPr>
            <w:r>
              <w:rPr>
                <w:rFonts w:ascii="Times New Roman" w:hAnsi="Times New Roman" w:eastAsia="Times New Roman"/>
                <w:b w:val="0"/>
                <w:i w:val="0"/>
                <w:color w:val="000000"/>
                <w:sz w:val="24"/>
              </w:rPr>
              <w:t>Comparable SHAP explanations for all three models</w:t>
            </w:r>
          </w:p>
        </w:tc>
        <w:tc>
          <w:tcPr>
            <w:tcW w:type="dxa" w:w="2376"/>
          </w:tcPr>
          <w:p>
            <w:pPr>
              <w:spacing w:after="40" w:before="40" w:line="240" w:lineRule="auto"/>
              <w:jc w:val="left"/>
            </w:pPr>
            <w:r>
              <w:rPr>
                <w:rFonts w:ascii="Times New Roman" w:hAnsi="Times New Roman" w:eastAsia="Times New Roman"/>
                <w:b w:val="0"/>
                <w:i w:val="0"/>
                <w:color w:val="000000"/>
                <w:sz w:val="24"/>
              </w:rPr>
              <w:t>Global ranking and per-patient explanations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3.5</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Beyond the individual outcomes, the study is expected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2873121"/>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2873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Todorova, L., &amp; Kluger, N. (2026). Hair loss treatments: A Google Trends analysis worldwide of the past 5 years (2018–2023). </w:t>
      </w:r>
      <w:r>
        <w:rPr>
          <w:rFonts w:ascii="Times New Roman" w:hAnsi="Times New Roman" w:eastAsia="Times New Roman"/>
          <w:b w:val="0"/>
          <w:i/>
          <w:color w:val="000000"/>
          <w:sz w:val="24"/>
        </w:rPr>
        <w:t>Skin Appendage Disorders, 12</w:t>
      </w:r>
      <w:r>
        <w:rPr>
          <w:rFonts w:ascii="Times New Roman" w:hAnsi="Times New Roman" w:eastAsia="Times New Roman"/>
          <w:b w:val="0"/>
          <w:i w:val="0"/>
          <w:color w:val="000000"/>
          <w:sz w:val="24"/>
        </w:rPr>
        <w:t>, 46–49. https://doi.org/10.1159/000547418</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p>
      <w:pPr>
        <w:spacing w:after="160" w:before="0" w:line="360" w:lineRule="auto"/>
        <w:ind w:left="720" w:hanging="720"/>
        <w:jc w:val="left"/>
      </w:pPr>
      <w:r>
        <w:rPr>
          <w:rFonts w:ascii="Times New Roman" w:hAnsi="Times New Roman" w:eastAsia="Times New Roman"/>
          <w:b w:val="0"/>
          <w:i w:val="0"/>
          <w:color w:val="000000"/>
          <w:sz w:val="24"/>
        </w:rPr>
        <w:t xml:space="preserve">Wang, Y., Li, D., Hu, N., Qi, H., &amp; Wang, Y. (2026). A comprehensive bibliometric analysis of global research trends in hair loss treatment: Key contributions, emerging hotspots, and future directions. </w:t>
      </w:r>
      <w:r>
        <w:rPr>
          <w:rFonts w:ascii="Times New Roman" w:hAnsi="Times New Roman" w:eastAsia="Times New Roman"/>
          <w:b w:val="0"/>
          <w:i/>
          <w:color w:val="000000"/>
          <w:sz w:val="24"/>
        </w:rPr>
        <w:t>Aesthetic Surgery Journal Open Forum, 8</w:t>
      </w:r>
      <w:r>
        <w:rPr>
          <w:rFonts w:ascii="Times New Roman" w:hAnsi="Times New Roman" w:eastAsia="Times New Roman"/>
          <w:b w:val="0"/>
          <w:i w:val="0"/>
          <w:color w:val="000000"/>
          <w:sz w:val="24"/>
        </w:rPr>
        <w:t>, Article ojag036. https://doi.org/10.1093/asjof/ojag036</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