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19</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20</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FN</w:t>
        <w:tab/>
        <w:t>False Negatives</w:t>
      </w:r>
    </w:p>
    <w:p>
      <w:pPr>
        <w:tabs>
          <w:tab w:pos="2016" w:val="left"/>
        </w:tabs>
        <w:spacing w:after="80" w:before="0" w:line="360" w:lineRule="auto"/>
        <w:ind w:left="2016" w:hanging="2016"/>
        <w:jc w:val="left"/>
      </w:pPr>
      <w:r>
        <w:rPr>
          <w:rFonts w:ascii="Times New Roman" w:hAnsi="Times New Roman" w:eastAsia="Times New Roman"/>
          <w:color w:val="000000"/>
          <w:sz w:val="24"/>
        </w:rPr>
        <w:t>FP</w:t>
        <w:tab/>
        <w:t>False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TP</w:t>
        <w:tab/>
        <w:t>True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will be cleaned and split once. The same training and test rows will then be given to three models, CatBoost, TabPFN, and TabFM. To see how each model behaves when little data is available, each will also be given two smaller stratified subsets of the training rows (500 and 2,000 records) in addition to all 17,284. Their predictions will be compared with the same metrics and statistical tests, and SHAP will be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are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(to be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will be taken. It contains all the fields of Dataset 1 and Dataset 2 and many additional fields (for example age group, hair fall tier, and number of risk factors). In the super dataset, age and gender will be identified and the records kept according to them. It will be compared with Dataset 1 and Dataset 2, and this will give the final dataset of 21,606 records to be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will be applied to the final dataset before any model is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will be removed, because they do not describe health and could create false patterns. This leaves 20 features.</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will be checked for missing values and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will be compared with its normal reference range and with limits that are physiologically impossible. Only impossible values will be removed. Values outside the normal range will be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will be coded 0 = Female, 1 = Male, 2 = Other. The yes/no columns are already 0/1, and the target is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will be split 80% to 20% with the class shares kept equal (random seed 42), giving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will be prepared from the 17,284 training records: 500 records, 2,000 records, and all 17,284. The smaller sets will be drawn with the class shares kept equal (45% Low, 35% Moderate, 20% High). The same 4,322 test records will be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spacing w:after="240" w:before="0" w:line="360" w:lineRule="auto"/>
        <w:jc w:val="both"/>
      </w:pPr>
      <w:r>
        <w:rPr>
          <w:rFonts w:ascii="Times New Roman" w:hAnsi="Times New Roman" w:eastAsia="Times New Roman"/>
          <w:b w:val="0"/>
          <w:i w:val="0"/>
          <w:color w:val="000000"/>
          <w:sz w:val="24"/>
        </w:rPr>
        <w:t>This research will be implemented using the following Python-based software stack:</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Data manipulation and preprocessing:</w:t>
      </w:r>
      <w:r>
        <w:rPr>
          <w:rFonts w:ascii="Times New Roman" w:hAnsi="Times New Roman" w:eastAsia="Times New Roman"/>
          <w:b w:val="0"/>
          <w:i w:val="0"/>
          <w:color w:val="000000"/>
          <w:sz w:val="24"/>
        </w:rPr>
        <w:t xml:space="preserve"> Pandas and NumPy for data handling, and Scikit-learn for the stratified train-test split, stratified 5-fold cross-validation, and the standard evaluation metrics.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Tabular AI engines:</w:t>
      </w:r>
      <w:r>
        <w:rPr>
          <w:rFonts w:ascii="Times New Roman" w:hAnsi="Times New Roman" w:eastAsia="Times New Roman"/>
          <w:b w:val="0"/>
          <w:i w:val="0"/>
          <w:color w:val="000000"/>
          <w:sz w:val="24"/>
        </w:rPr>
        <w:t xml:space="preserve"> the official CatBoost framework for gradient-boosted tree training, the TabPFN Python package for zero-shot tabular foundation model inference, and Google Research's TabFM package for the second zero-shot tabular foundation model. PyTorch will be used as the deep learning backend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Explainable AI:</w:t>
      </w:r>
      <w:r>
        <w:rPr>
          <w:rFonts w:ascii="Times New Roman" w:hAnsi="Times New Roman" w:eastAsia="Times New Roman"/>
          <w:b w:val="0"/>
          <w:i w:val="0"/>
          <w:color w:val="000000"/>
          <w:sz w:val="24"/>
        </w:rPr>
        <w:t xml:space="preserve"> the official SHAP library, which will be used to compute feature attributions for all three models, using TreeExplainer for CatBoost and KernelExplainer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Statistical analysis:</w:t>
      </w:r>
      <w:r>
        <w:rPr>
          <w:rFonts w:ascii="Times New Roman" w:hAnsi="Times New Roman" w:eastAsia="Times New Roman"/>
          <w:b w:val="0"/>
          <w:i w:val="0"/>
          <w:color w:val="000000"/>
          <w:sz w:val="24"/>
        </w:rPr>
        <w:t xml:space="preserve"> Statsmodels, which will be used to compute McNemar's test for pairwise significance testing between model predictions and Wilson score confidence intervals for the reported accuracy figures.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Visualisation:</w:t>
      </w:r>
      <w:r>
        <w:rPr>
          <w:rFonts w:ascii="Times New Roman" w:hAnsi="Times New Roman" w:eastAsia="Times New Roman"/>
          <w:b w:val="0"/>
          <w:i w:val="0"/>
          <w:color w:val="000000"/>
          <w:sz w:val="24"/>
        </w:rPr>
        <w:t xml:space="preserve"> Matplotlib for the confusion matrices, SHAP plots, and result charts.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experiments will be carried out in two environments (Figure 3.7). CatBoost tuning and training, the statistical tests, and the result tables and figures will be run on an Apple-silicon Mac with Python. TabPFN and TabFM will be run in Kaggle notebooks with a GPU accelerator, because they need a GPU to make their predictions in reasonable time, and Kaggle offers more GPU capacity than Google Colab. The train and test files will be uploaded to the notebook, and the predictions and metrics will be downloaded back for comparison.</w:t>
      </w:r>
    </w:p>
    <w:p>
      <w:pPr>
        <w:keepNext/>
        <w:spacing w:after="120" w:before="0" w:line="240" w:lineRule="auto"/>
        <w:jc w:val="center"/>
      </w:pPr>
      <w:r>
        <w:drawing>
          <wp:inline xmlns:a="http://schemas.openxmlformats.org/drawingml/2006/main" xmlns:pic="http://schemas.openxmlformats.org/drawingml/2006/picture">
            <wp:extent cx="5733288" cy="2197760"/>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197760"/>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val="0"/>
          <w:i w:val="0"/>
          <w:color w:val="000000"/>
          <w:sz w:val="24"/>
        </w:rPr>
        <w:t>To keep the comparison fair, all three models will use the same split and the same random seed (42). The Python version, GPU model, available memory, and package versions of every session will be recorded and reported with the results.</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will use the same dataset, split, random seed, and metrics, unlike earlier studies that compared different classical models on different datasets (Khatun et al., 2022; Kumar et al., 2025; Siami &amp; Azis, 2025). CatBoost will be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four months, as shown in the Gantt chart in Figure 4.1. Months 1 and 2 are for the proposal work (black bars), and months 3 and 4 are for the final work after the proposal is approved (hatched bars), in the order of the methodology in Chapter 3.</w:t>
      </w:r>
    </w:p>
    <w:p>
      <w:pPr>
        <w:keepNext/>
        <w:spacing w:after="120" w:before="0" w:line="240" w:lineRule="auto"/>
        <w:jc w:val="center"/>
      </w:pPr>
      <w:r>
        <w:drawing>
          <wp:inline xmlns:a="http://schemas.openxmlformats.org/drawingml/2006/main" xmlns:pic="http://schemas.openxmlformats.org/drawingml/2006/picture">
            <wp:extent cx="5733288" cy="3931773"/>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3931773"/>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