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21</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25</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25</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One super dataset of about 200,000 records, which contains all the fields of Dataset 1 and Dataset 2, was made. In the super dataset, age and gender were identified and the records were kept according to them. The super dataset was compared with Dataset 1 and Dataset 2, and this produced the final dataset (data.csv) of 21,606 records that is used in this study.</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13</w:t>
            </w:r>
          </w:p>
        </w:tc>
        <w:tc>
          <w:tcPr>
            <w:tcW w:type="dxa" w:w="2052"/>
          </w:tcPr>
          <w:p>
            <w:pPr>
              <w:spacing w:after="40" w:before="40" w:line="240" w:lineRule="auto"/>
              <w:jc w:val="left"/>
            </w:pPr>
            <w:r>
              <w:rPr>
                <w:rFonts w:ascii="Times New Roman" w:hAnsi="Times New Roman" w:eastAsia="Times New Roman"/>
                <w:b w:val="0"/>
                <w:i w:val="0"/>
                <w:color w:val="000000"/>
                <w:sz w:val="21"/>
              </w:rPr>
              <w:t>age, gender, 10 numeric measurement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Age and gender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Age and gender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Produced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259335"/>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25933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Dataset 1 and Dataset 2 both contain age and gender, and these fields are what relate the two datasets. Each column of the final dataset comes from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age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gender</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