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Times New Roman" w:hAnsi="Times New Roman" w:eastAsia="Times New Roman"/>
          <w:b/>
          <w:i w:val="0"/>
          <w:color w:val="000000"/>
          <w:sz w:val="40"/>
        </w:rPr>
        <w:t>Tribhuvan University</w:t>
      </w:r>
    </w:p>
    <w:p>
      <w:pPr>
        <w:spacing w:after="800" w:before="0" w:line="276" w:lineRule="auto"/>
        <w:jc w:val="center"/>
      </w:pPr>
      <w:r>
        <w:rPr>
          <w:rFonts w:ascii="Times New Roman" w:hAnsi="Times New Roman" w:eastAsia="Times New Roman"/>
          <w:b/>
          <w:i w:val="0"/>
          <w:color w:val="000000"/>
          <w:sz w:val="32"/>
        </w:rPr>
        <w:t>Institute of Science and Technology</w:t>
      </w:r>
    </w:p>
    <w:p>
      <w:pPr>
        <w:spacing w:after="280" w:before="0" w:line="276" w:lineRule="auto"/>
        <w:jc w:val="center"/>
      </w:pPr>
      <w:r>
        <w:rPr>
          <w:rFonts w:ascii="Times New Roman" w:hAnsi="Times New Roman" w:eastAsia="Times New Roman"/>
          <w:b w:val="0"/>
          <w:i w:val="0"/>
          <w:color w:val="000000"/>
          <w:sz w:val="28"/>
        </w:rPr>
        <w:t>A Dissertation Proposal on</w:t>
      </w:r>
    </w:p>
    <w:p>
      <w:pPr>
        <w:spacing w:after="800" w:before="0" w:line="276" w:lineRule="auto"/>
        <w:jc w:val="center"/>
      </w:pPr>
      <w:r>
        <w:rPr>
          <w:rFonts w:ascii="Times New Roman" w:hAnsi="Times New Roman" w:eastAsia="Times New Roman"/>
          <w:b/>
          <w:i w:val="0"/>
          <w:color w:val="000000"/>
          <w:sz w:val="36"/>
        </w:rPr>
        <w:t>“Comparative Benchmarking of CatBoost, TabPFN, and TabFM for Explainable Multi-Tier Hair Fall Risk Stratification”</w:t>
      </w:r>
    </w:p>
    <w:p>
      <w:pPr>
        <w:spacing w:after="80" w:before="0" w:line="276" w:lineRule="auto"/>
        <w:jc w:val="center"/>
      </w:pPr>
      <w:r>
        <w:rPr>
          <w:rFonts w:ascii="Times New Roman" w:hAnsi="Times New Roman" w:eastAsia="Times New Roman"/>
          <w:b w:val="0"/>
          <w:i w:val="0"/>
          <w:color w:val="000000"/>
          <w:sz w:val="28"/>
        </w:rPr>
        <w:t>Supervised by</w:t>
      </w:r>
    </w:p>
    <w:p>
      <w:pPr>
        <w:spacing w:after="480" w:before="0" w:line="276" w:lineRule="auto"/>
        <w:jc w:val="center"/>
      </w:pPr>
      <w:r>
        <w:rPr>
          <w:rFonts w:ascii="Times New Roman" w:hAnsi="Times New Roman" w:eastAsia="Times New Roman"/>
          <w:b/>
          <w:i w:val="0"/>
          <w:color w:val="000000"/>
          <w:sz w:val="28"/>
        </w:rPr>
        <w:t>Asst. Prof. Jagadish Bhatta</w:t>
      </w:r>
    </w:p>
    <w:p>
      <w:pPr>
        <w:spacing w:after="80" w:before="0" w:line="276" w:lineRule="auto"/>
        <w:jc w:val="center"/>
      </w:pPr>
      <w:r>
        <w:rPr>
          <w:rFonts w:ascii="Times New Roman" w:hAnsi="Times New Roman" w:eastAsia="Times New Roman"/>
          <w:b w:val="0"/>
          <w:i w:val="0"/>
          <w:color w:val="000000"/>
          <w:sz w:val="28"/>
        </w:rPr>
        <w:t>Submitted by</w:t>
      </w:r>
    </w:p>
    <w:p>
      <w:pPr>
        <w:spacing w:after="40" w:before="0" w:line="276" w:lineRule="auto"/>
        <w:jc w:val="center"/>
      </w:pPr>
      <w:r>
        <w:rPr>
          <w:rFonts w:ascii="Times New Roman" w:hAnsi="Times New Roman" w:eastAsia="Times New Roman"/>
          <w:b/>
          <w:i w:val="0"/>
          <w:color w:val="000000"/>
          <w:sz w:val="28"/>
        </w:rPr>
        <w:t>Nirajan Shahi</w:t>
      </w:r>
    </w:p>
    <w:p>
      <w:pPr>
        <w:spacing w:after="480" w:before="0" w:line="276" w:lineRule="auto"/>
        <w:jc w:val="center"/>
      </w:pPr>
      <w:r>
        <w:rPr>
          <w:rFonts w:ascii="Times New Roman" w:hAnsi="Times New Roman" w:eastAsia="Times New Roman"/>
          <w:b w:val="0"/>
          <w:i w:val="0"/>
          <w:color w:val="000000"/>
          <w:sz w:val="28"/>
        </w:rPr>
        <w:t>Roll no. 49/079</w:t>
      </w:r>
    </w:p>
    <w:p>
      <w:pPr>
        <w:spacing w:after="80" w:before="0" w:line="276" w:lineRule="auto"/>
        <w:jc w:val="center"/>
      </w:pPr>
      <w:r>
        <w:rPr>
          <w:rFonts w:ascii="Times New Roman" w:hAnsi="Times New Roman" w:eastAsia="Times New Roman"/>
          <w:b w:val="0"/>
          <w:i w:val="0"/>
          <w:color w:val="000000"/>
          <w:sz w:val="28"/>
        </w:rPr>
        <w:t>Submitted to</w:t>
      </w:r>
    </w:p>
    <w:p>
      <w:pPr>
        <w:spacing w:after="40" w:before="0" w:line="276" w:lineRule="auto"/>
        <w:jc w:val="center"/>
      </w:pPr>
      <w:r>
        <w:rPr>
          <w:rFonts w:ascii="Times New Roman" w:hAnsi="Times New Roman" w:eastAsia="Times New Roman"/>
          <w:b/>
          <w:i w:val="0"/>
          <w:color w:val="000000"/>
          <w:sz w:val="28"/>
        </w:rPr>
        <w:t>Central Department of Computer Science and Information Technology</w:t>
      </w:r>
    </w:p>
    <w:p>
      <w:pPr>
        <w:spacing w:after="40" w:before="0" w:line="276" w:lineRule="auto"/>
        <w:jc w:val="center"/>
      </w:pPr>
      <w:r>
        <w:rPr>
          <w:rFonts w:ascii="Times New Roman" w:hAnsi="Times New Roman" w:eastAsia="Times New Roman"/>
          <w:b w:val="0"/>
          <w:i w:val="0"/>
          <w:color w:val="000000"/>
          <w:sz w:val="28"/>
        </w:rPr>
        <w:t>Tribhuvan University, Kirtipur</w:t>
      </w:r>
    </w:p>
    <w:p>
      <w:pPr>
        <w:spacing w:after="480" w:before="0" w:line="276" w:lineRule="auto"/>
        <w:jc w:val="center"/>
      </w:pPr>
      <w:r>
        <w:rPr>
          <w:rFonts w:ascii="Times New Roman" w:hAnsi="Times New Roman" w:eastAsia="Times New Roman"/>
          <w:b w:val="0"/>
          <w:i w:val="0"/>
          <w:color w:val="000000"/>
          <w:sz w:val="28"/>
        </w:rPr>
        <w:t>Kathmandu, Nepal</w:t>
      </w:r>
    </w:p>
    <w:p>
      <w:pPr>
        <w:spacing w:after="0" w:before="0" w:line="276" w:lineRule="auto"/>
        <w:jc w:val="center"/>
      </w:pPr>
      <w:r>
        <w:rPr>
          <w:rFonts w:ascii="Times New Roman" w:hAnsi="Times New Roman" w:eastAsia="Times New Roman"/>
          <w:b w:val="0"/>
          <w:i w:val="0"/>
          <w:color w:val="000000"/>
          <w:sz w:val="24"/>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28"/>
        </w:rPr>
        <w:t>Table of Contents</w:t>
      </w:r>
    </w:p>
    <w:p>
      <w:pPr>
        <w:tabs>
          <w:tab w:pos="9029" w:val="right" w:leader="dot"/>
        </w:tabs>
        <w:spacing w:after="80" w:before="0" w:line="276"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276"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9</w:t>
      </w:r>
    </w:p>
    <w:p>
      <w:pPr>
        <w:tabs>
          <w:tab w:pos="9029" w:val="right" w:leader="dot"/>
        </w:tabs>
        <w:spacing w:after="80" w:before="0" w:line="276"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12</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12</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15</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15</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17</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18</w:t>
      </w:r>
    </w:p>
    <w:p>
      <w:pPr>
        <w:tabs>
          <w:tab w:pos="9029" w:val="right" w:leader="dot"/>
        </w:tabs>
        <w:spacing w:after="60" w:before="0" w:line="276"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19</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20</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21</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22</w:t>
      </w:r>
    </w:p>
    <w:p>
      <w:pPr>
        <w:tabs>
          <w:tab w:pos="9029" w:val="right" w:leader="dot"/>
        </w:tabs>
        <w:spacing w:after="80" w:before="0" w:line="276"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25</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25</w:t>
      </w:r>
    </w:p>
    <w:p>
      <w:pPr>
        <w:tabs>
          <w:tab w:pos="9029" w:val="right" w:leader="dot"/>
        </w:tabs>
        <w:spacing w:after="60" w:before="0" w:line="276"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26</w:t>
      </w:r>
    </w:p>
    <w:p>
      <w:pPr>
        <w:tabs>
          <w:tab w:pos="9029" w:val="right" w:leader="dot"/>
        </w:tabs>
        <w:spacing w:after="80" w:before="0" w:line="276"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28</w:t>
      </w:r>
    </w:p>
    <w:p>
      <w:pPr>
        <w:keepNext/>
        <w:pageBreakBefore/>
        <w:spacing w:after="280" w:before="0" w:line="360" w:lineRule="auto"/>
        <w:jc w:val="center"/>
      </w:pPr>
      <w:r>
        <w:rPr>
          <w:rFonts w:ascii="Times New Roman" w:hAnsi="Times New Roman" w:eastAsia="Times New Roman"/>
          <w:b/>
          <w:color w:val="000000"/>
          <w:sz w:val="28"/>
        </w:rPr>
        <w:t>List of Figures</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11</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17</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18</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19</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20</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22</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27</w:t>
      </w:r>
    </w:p>
    <w:p>
      <w:pPr>
        <w:keepNext/>
        <w:pageBreakBefore/>
        <w:spacing w:after="280" w:before="0" w:line="360" w:lineRule="auto"/>
        <w:jc w:val="center"/>
      </w:pPr>
      <w:r>
        <w:rPr>
          <w:rFonts w:ascii="Times New Roman" w:hAnsi="Times New Roman" w:eastAsia="Times New Roman"/>
          <w:b/>
          <w:color w:val="000000"/>
          <w:sz w:val="28"/>
        </w:rPr>
        <w:t>List of Tables</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3.1: The three datasets</w:t>
      </w:r>
      <w:r>
        <w:rPr>
          <w:rFonts w:ascii="Times New Roman" w:hAnsi="Times New Roman" w:eastAsia="Times New Roman"/>
          <w:b w:val="0"/>
          <w:color w:val="000000"/>
          <w:sz w:val="24"/>
        </w:rPr>
        <w:tab/>
        <w:t>12</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13</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14</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16</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21</w:t>
      </w:r>
    </w:p>
    <w:p>
      <w:pPr>
        <w:tabs>
          <w:tab w:pos="9029" w:val="right" w:leader="dot"/>
        </w:tabs>
        <w:spacing w:after="120" w:before="0" w:line="276"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28"/>
        </w:rPr>
        <w:t>List of Abbreviations</w:t>
      </w:r>
    </w:p>
    <w:p>
      <w:pPr>
        <w:tabs>
          <w:tab w:pos="2016" w:val="left"/>
        </w:tabs>
        <w:spacing w:after="80" w:before="0" w:line="276"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276"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276"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276"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276"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276"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276"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276"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276"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276"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276"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276"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276"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276"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276"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276"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276"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276"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276"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276"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276"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276"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9"/>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left"/>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 Chapter 2 describes these biological causes in more detail.</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spacing w:after="240" w:before="0" w:line="360" w:lineRule="auto"/>
        <w:jc w:val="both"/>
      </w:pPr>
      <w:r>
        <w:rPr>
          <w:rFonts w:ascii="Times New Roman" w:hAnsi="Times New Roman" w:eastAsia="Times New Roman"/>
          <w:b w:val="0"/>
          <w:i w:val="0"/>
          <w:color w:val="000000"/>
          <w:sz w:val="24"/>
        </w:rPr>
        <w:t>The rest of this proposal follows from these objectives. Chapter 2 explains the biology of hair loss and reviews earlier studies, and ends with the research gaps that this study fills. Chapter 3 describes the datasets, the preprocessing, the three models, the SHAP method, the tools, and the evaluation metrics that will be used to meet the two objectives. Chapter 4 states the outcomes that are expected and gives the working schedule.</w:t>
      </w:r>
    </w:p>
    <w:p>
      <w:pPr>
        <w:pStyle w:val="Heading1"/>
        <w:keepNext/>
        <w:pageBreakBefore/>
        <w:spacing w:after="360" w:before="0" w:line="360" w:lineRule="auto"/>
        <w:jc w:val="left"/>
      </w:pPr>
      <w:r>
        <w:rPr>
          <w:rFonts w:ascii="Times New Roman" w:hAnsi="Times New Roman" w:eastAsia="Times New Roman"/>
          <w:b/>
          <w:color w:val="000000"/>
          <w:sz w:val="32"/>
        </w:rPr>
        <w:t>Chapter 2: Background Study and Literature Review</w:t>
      </w:r>
    </w:p>
    <w:p>
      <w:pPr>
        <w:spacing w:after="240" w:before="0" w:line="360" w:lineRule="auto"/>
        <w:jc w:val="both"/>
      </w:pPr>
      <w:r>
        <w:rPr>
          <w:rFonts w:ascii="Times New Roman" w:hAnsi="Times New Roman" w:eastAsia="Times New Roman"/>
          <w:b w:val="0"/>
          <w:i w:val="0"/>
          <w:color w:val="000000"/>
          <w:sz w:val="24"/>
        </w:rPr>
        <w:t>This chapter builds the case for the study. Section 2.1 explains what causes hair loss and how it affects people, which is the reason a risk model needs both blood measurements and lifestyle information. Section 2.2 reviews the earlier studies that tried to predict hair loss and the machine learning methods this study uses, and Section 2.2.1 ends with the research gaps that the objectives in Chapter 1 respond to.</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 Section 2.2 reviews this work in detail.</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val="0"/>
          <w:i w:val="0"/>
          <w:color w:val="000000"/>
          <w:sz w:val="24"/>
        </w:rPr>
        <w:t>This section reviews the published research that is closest to the present study. For each study it states what data was used, which models were tested, what was found, and what was left open. The studies are grouped by topic, and Table 2.1 at the end of the section summarises them.</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276"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LR = Logistic Regression, DT = Decision Tree, RF = Random Forest, GB = Gradient Boosting.</w:t>
      </w: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spacing w:after="240" w:before="0" w:line="360" w:lineRule="auto"/>
        <w:jc w:val="both"/>
      </w:pPr>
      <w:r>
        <w:rPr>
          <w:rFonts w:ascii="Times New Roman" w:hAnsi="Times New Roman" w:eastAsia="Times New Roman"/>
          <w:b w:val="0"/>
          <w:i w:val="0"/>
          <w:color w:val="000000"/>
          <w:sz w:val="24"/>
        </w:rPr>
        <w:t>Taken together, the gaps lead to the two objectives of this study: to benchmark CatBoost, TabPFN, and TabFM on the same hair fall risk dataset (Objective 1), and to explain every model with SHAP (Objective 2). Chapter 3 describes the dataset and methods that will be used to do this.</w:t>
      </w:r>
    </w:p>
    <w:p>
      <w:pPr>
        <w:pStyle w:val="Heading1"/>
        <w:keepNext/>
        <w:pageBreakBefore/>
        <w:spacing w:after="360" w:before="0" w:line="360" w:lineRule="auto"/>
        <w:jc w:val="left"/>
      </w:pPr>
      <w:r>
        <w:rPr>
          <w:rFonts w:ascii="Times New Roman" w:hAnsi="Times New Roman" w:eastAsia="Times New Roman"/>
          <w:b/>
          <w:color w:val="000000"/>
          <w:sz w:val="32"/>
        </w:rPr>
        <w:t>Chapter 3: Methodology</w:t>
      </w:r>
    </w:p>
    <w:p>
      <w:pPr>
        <w:spacing w:after="240" w:before="0" w:line="360" w:lineRule="auto"/>
        <w:jc w:val="both"/>
      </w:pPr>
      <w:r>
        <w:rPr>
          <w:rFonts w:ascii="Times New Roman" w:hAnsi="Times New Roman" w:eastAsia="Times New Roman"/>
          <w:b w:val="0"/>
          <w:i w:val="0"/>
          <w:color w:val="000000"/>
          <w:sz w:val="24"/>
        </w:rPr>
        <w:t>Chapter 2 ended with five research gaps, and Chapter 1 set two objectives: to benchmark three models and to explain them. This chapter describes the data and the methods that answer them. It starts with the overall framework (Section 3.1), then the dataset and its preparation (Sections 3.2 and 3.3), the three models (3.4), the explainability method (3.5), the tools and environment (3.6 and 3.7), and the evaluation metrics (3.8). The dataset work and preprocessing have already been done, and the experiments will be carried out after the proposal is approved.</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1" name="Picture 1"/>
            <wp:cNvGraphicFramePr>
              <a:graphicFrameLocks noChangeAspect="1"/>
            </wp:cNvGraphicFramePr>
            <a:graphic>
              <a:graphicData uri="http://schemas.openxmlformats.org/drawingml/2006/picture">
                <pic:pic>
                  <pic:nvPicPr>
                    <pic:cNvPr id="0" name="fig_3_1_framework.png"/>
                    <pic:cNvPicPr/>
                  </pic:nvPicPr>
                  <pic:blipFill>
                    <a:blip r:embed="rId11"/>
                    <a:stretch>
                      <a:fillRect/>
                    </a:stretch>
                  </pic:blipFill>
                  <pic:spPr>
                    <a:xfrm>
                      <a:off x="0" y="0"/>
                      <a:ext cx="5733288" cy="2475507"/>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spacing w:after="240" w:before="0" w:line="360" w:lineRule="auto"/>
        <w:jc w:val="both"/>
      </w:pPr>
      <w:r>
        <w:rPr>
          <w:rFonts w:ascii="Times New Roman" w:hAnsi="Times New Roman" w:eastAsia="Times New Roman"/>
          <w:b w:val="0"/>
          <w:i w:val="0"/>
          <w:color w:val="000000"/>
          <w:sz w:val="24"/>
        </w:rPr>
        <w:t>The framework serves the two objectives in Chapter 1. Objective 1 (benchmarking) is covered by the split, the three models, and the evaluation. Objective 2 (transparent insight) is covered by the SHAP stage.</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Three datasets were involved. The main dataset used for modelling contains all 21,606 records and all columns needed for the study. To check that this dataset is realistic and that the findings do not depend on one source only, it was compared with two public datasets. Table 3.1 lists the three datasets, and Figure 3.2 shows how they are related.</w:t>
      </w:r>
    </w:p>
    <w:p>
      <w:pPr>
        <w:keepNext/>
        <w:spacing w:after="120" w:before="0" w:line="276"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three datasets</w:t>
      </w:r>
    </w:p>
    <w:tbl>
      <w:tblPr>
        <w:tblStyle w:val="TableGrid"/>
        <w:tblW w:type="auto" w:w="0"/>
        <w:jc w:val="center"/>
        <w:tblLayout w:type="fixed"/>
        <w:tblLook w:firstColumn="1" w:firstRow="1" w:lastColumn="0" w:lastRow="0" w:noHBand="0" w:noVBand="1" w:val="04A0"/>
      </w:tblPr>
      <w:tblGrid>
        <w:gridCol w:w="1714"/>
        <w:gridCol w:w="2286"/>
        <w:gridCol w:w="743"/>
        <w:gridCol w:w="743"/>
        <w:gridCol w:w="2286"/>
        <w:gridCol w:w="1257"/>
      </w:tblGrid>
      <w:tr>
        <w:trPr>
          <w:cantSplit/>
          <w:tblHeader/>
        </w:trPr>
        <w:tc>
          <w:tcPr>
            <w:tcW w:type="dxa" w:w="1714"/>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286"/>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743"/>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743"/>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286"/>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257"/>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714"/>
          </w:tcPr>
          <w:p>
            <w:pPr>
              <w:spacing w:after="40" w:before="40" w:line="240" w:lineRule="auto"/>
              <w:jc w:val="left"/>
            </w:pPr>
            <w:r>
              <w:rPr>
                <w:rFonts w:ascii="Times New Roman" w:hAnsi="Times New Roman" w:eastAsia="Times New Roman"/>
                <w:b w:val="0"/>
                <w:i w:val="0"/>
                <w:color w:val="000000"/>
                <w:sz w:val="21"/>
              </w:rPr>
              <w:t>Dataset 1</w:t>
            </w:r>
          </w:p>
        </w:tc>
        <w:tc>
          <w:tcPr>
            <w:tcW w:type="dxa" w:w="2286"/>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743"/>
          </w:tcPr>
          <w:p>
            <w:pPr>
              <w:spacing w:after="40" w:before="40" w:line="240" w:lineRule="auto"/>
              <w:jc w:val="left"/>
            </w:pPr>
            <w:r>
              <w:rPr>
                <w:rFonts w:ascii="Times New Roman" w:hAnsi="Times New Roman" w:eastAsia="Times New Roman"/>
                <w:b w:val="0"/>
                <w:i w:val="0"/>
                <w:color w:val="000000"/>
                <w:sz w:val="21"/>
              </w:rPr>
              <w:t>100,000</w:t>
            </w:r>
          </w:p>
        </w:tc>
        <w:tc>
          <w:tcPr>
            <w:tcW w:type="dxa" w:w="743"/>
          </w:tcPr>
          <w:p>
            <w:pPr>
              <w:spacing w:after="40" w:before="40" w:line="240" w:lineRule="auto"/>
              <w:jc w:val="left"/>
            </w:pPr>
            <w:r>
              <w:rPr>
                <w:rFonts w:ascii="Times New Roman" w:hAnsi="Times New Roman" w:eastAsia="Times New Roman"/>
                <w:b w:val="0"/>
                <w:i w:val="0"/>
                <w:color w:val="000000"/>
                <w:sz w:val="21"/>
              </w:rPr>
              <w:t>11</w:t>
            </w:r>
          </w:p>
        </w:tc>
        <w:tc>
          <w:tcPr>
            <w:tcW w:type="dxa" w:w="2286"/>
          </w:tcPr>
          <w:p>
            <w:pPr>
              <w:spacing w:after="40" w:before="40" w:line="240" w:lineRule="auto"/>
              <w:jc w:val="left"/>
            </w:pPr>
            <w:r>
              <w:rPr>
                <w:rFonts w:ascii="Times New Roman" w:hAnsi="Times New Roman" w:eastAsia="Times New Roman"/>
                <w:b w:val="0"/>
                <w:i w:val="0"/>
                <w:color w:val="000000"/>
                <w:sz w:val="21"/>
              </w:rPr>
              <w:t>10 numeric biomarker and index columns and hair_fall (0 to 5)</w:t>
            </w:r>
          </w:p>
        </w:tc>
        <w:tc>
          <w:tcPr>
            <w:tcW w:type="dxa" w:w="1257"/>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714"/>
          </w:tcPr>
          <w:p>
            <w:pPr>
              <w:spacing w:after="40" w:before="40" w:line="240" w:lineRule="auto"/>
              <w:jc w:val="left"/>
            </w:pPr>
            <w:r>
              <w:rPr>
                <w:rFonts w:ascii="Times New Roman" w:hAnsi="Times New Roman" w:eastAsia="Times New Roman"/>
                <w:b w:val="0"/>
                <w:i w:val="0"/>
                <w:color w:val="000000"/>
                <w:sz w:val="21"/>
              </w:rPr>
              <w:t>Dataset 2</w:t>
            </w:r>
          </w:p>
        </w:tc>
        <w:tc>
          <w:tcPr>
            <w:tcW w:type="dxa" w:w="2286"/>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743"/>
          </w:tcPr>
          <w:p>
            <w:pPr>
              <w:spacing w:after="40" w:before="40" w:line="240" w:lineRule="auto"/>
              <w:jc w:val="left"/>
            </w:pPr>
            <w:r>
              <w:rPr>
                <w:rFonts w:ascii="Times New Roman" w:hAnsi="Times New Roman" w:eastAsia="Times New Roman"/>
                <w:b w:val="0"/>
                <w:i w:val="0"/>
                <w:color w:val="000000"/>
                <w:sz w:val="21"/>
              </w:rPr>
              <w:t>716</w:t>
            </w:r>
          </w:p>
        </w:tc>
        <w:tc>
          <w:tcPr>
            <w:tcW w:type="dxa" w:w="743"/>
          </w:tcPr>
          <w:p>
            <w:pPr>
              <w:spacing w:after="40" w:before="40" w:line="240" w:lineRule="auto"/>
              <w:jc w:val="left"/>
            </w:pPr>
            <w:r>
              <w:rPr>
                <w:rFonts w:ascii="Times New Roman" w:hAnsi="Times New Roman" w:eastAsia="Times New Roman"/>
                <w:b w:val="0"/>
                <w:i w:val="0"/>
                <w:color w:val="000000"/>
                <w:sz w:val="21"/>
              </w:rPr>
              <w:t>14</w:t>
            </w:r>
          </w:p>
        </w:tc>
        <w:tc>
          <w:tcPr>
            <w:tcW w:type="dxa" w:w="2286"/>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257"/>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714"/>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286"/>
          </w:tcPr>
          <w:p>
            <w:pPr>
              <w:spacing w:after="40" w:before="40" w:line="240" w:lineRule="auto"/>
              <w:jc w:val="left"/>
            </w:pPr>
            <w:r>
              <w:rPr>
                <w:rFonts w:ascii="Times New Roman" w:hAnsi="Times New Roman" w:eastAsia="Times New Roman"/>
                <w:b w:val="0"/>
                <w:i w:val="0"/>
                <w:color w:val="000000"/>
                <w:sz w:val="21"/>
              </w:rPr>
              <w:t>Prepared for this study</w:t>
            </w:r>
          </w:p>
        </w:tc>
        <w:tc>
          <w:tcPr>
            <w:tcW w:type="dxa" w:w="743"/>
          </w:tcPr>
          <w:p>
            <w:pPr>
              <w:spacing w:after="40" w:before="40" w:line="240" w:lineRule="auto"/>
              <w:jc w:val="left"/>
            </w:pPr>
            <w:r>
              <w:rPr>
                <w:rFonts w:ascii="Times New Roman" w:hAnsi="Times New Roman" w:eastAsia="Times New Roman"/>
                <w:b w:val="0"/>
                <w:i w:val="0"/>
                <w:color w:val="000000"/>
                <w:sz w:val="21"/>
              </w:rPr>
              <w:t>21,606</w:t>
            </w:r>
          </w:p>
        </w:tc>
        <w:tc>
          <w:tcPr>
            <w:tcW w:type="dxa" w:w="743"/>
          </w:tcPr>
          <w:p>
            <w:pPr>
              <w:spacing w:after="40" w:before="40" w:line="240" w:lineRule="auto"/>
              <w:jc w:val="left"/>
            </w:pPr>
            <w:r>
              <w:rPr>
                <w:rFonts w:ascii="Times New Roman" w:hAnsi="Times New Roman" w:eastAsia="Times New Roman"/>
                <w:b w:val="0"/>
                <w:i w:val="0"/>
                <w:color w:val="000000"/>
                <w:sz w:val="21"/>
              </w:rPr>
              <w:t>23</w:t>
            </w:r>
          </w:p>
        </w:tc>
        <w:tc>
          <w:tcPr>
            <w:tcW w:type="dxa" w:w="2286"/>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257"/>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924362"/>
            <wp:docPr id="2" name="Picture 2"/>
            <wp:cNvGraphicFramePr>
              <a:graphicFrameLocks noChangeAspect="1"/>
            </wp:cNvGraphicFramePr>
            <a:graphic>
              <a:graphicData uri="http://schemas.openxmlformats.org/drawingml/2006/picture">
                <pic:pic>
                  <pic:nvPicPr>
                    <pic:cNvPr id="0" name="fig_3_2_dataset_link.png"/>
                    <pic:cNvPicPr/>
                  </pic:nvPicPr>
                  <pic:blipFill>
                    <a:blip r:embed="rId12"/>
                    <a:stretch>
                      <a:fillRect/>
                    </a:stretch>
                  </pic:blipFill>
                  <pic:spPr>
                    <a:xfrm>
                      <a:off x="0" y="0"/>
                      <a:ext cx="5733288" cy="2924362"/>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datasets are related by the meaning of their columns and not by a record key. Dataset 1 has no identifier at all, and Dataset 2 has only a timestamp, and the people in the three datasets are not the same individuals. A record-by-record join is therefore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276"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276"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xml:space="preserve">: the associations learned by the models reflect relationships built into the data from the dermatology literature and the survey, and they are not new clinical evidence. </w:t>
      </w:r>
      <w:r>
        <w:rPr>
          <w:rFonts w:ascii="Times New Roman" w:hAnsi="Times New Roman" w:eastAsia="Times New Roman"/>
          <w:b w:val="0"/>
          <w:i w:val="0"/>
          <w:color w:val="000000"/>
          <w:sz w:val="24"/>
          <w:highlight w:val="yellow"/>
        </w:rPr>
        <w:t>[CONFIRM: add one sentence on how the 21,606 records were first generated.]</w:t>
      </w:r>
      <w:r>
        <w:rPr>
          <w:rFonts w:ascii="Times New Roman" w:hAnsi="Times New Roman" w:eastAsia="Times New Roman"/>
          <w:b w:val="0"/>
          <w:i w:val="0"/>
          <w:color w:val="000000"/>
          <w:sz w:val="24"/>
        </w:rPr>
        <w:t xml:space="preserv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keepNext/>
        <w:spacing w:after="120" w:before="0" w:line="276"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 Each is shown as a block diagram with a short explanation of how it works.</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3" name="Picture 3"/>
            <wp:cNvGraphicFramePr>
              <a:graphicFrameLocks noChangeAspect="1"/>
            </wp:cNvGraphicFramePr>
            <a:graphic>
              <a:graphicData uri="http://schemas.openxmlformats.org/drawingml/2006/picture">
                <pic:pic>
                  <pic:nvPicPr>
                    <pic:cNvPr id="0" name="fig_3_3_catboost.png"/>
                    <pic:cNvPicPr/>
                  </pic:nvPicPr>
                  <pic:blipFill>
                    <a:blip r:embed="rId13"/>
                    <a:stretch>
                      <a:fillRect/>
                    </a:stretch>
                  </pic:blipFill>
                  <pic:spPr>
                    <a:xfrm>
                      <a:off x="0" y="0"/>
                      <a:ext cx="5733288" cy="2738965"/>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4" name="Picture 4"/>
                  <wp:cNvGraphicFramePr>
                    <a:graphicFrameLocks noChangeAspect="1"/>
                  </wp:cNvGraphicFramePr>
                  <a:graphic>
                    <a:graphicData uri="http://schemas.openxmlformats.org/drawingml/2006/picture">
                      <pic:pic>
                        <pic:nvPicPr>
                          <pic:cNvPr id="0" name="eq_1.png"/>
                          <pic:cNvPicPr/>
                        </pic:nvPicPr>
                        <pic:blipFill>
                          <a:blip r:embed="rId14"/>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5" name="Picture 5"/>
                  <wp:cNvGraphicFramePr>
                    <a:graphicFrameLocks noChangeAspect="1"/>
                  </wp:cNvGraphicFramePr>
                  <a:graphic>
                    <a:graphicData uri="http://schemas.openxmlformats.org/drawingml/2006/picture">
                      <pic:pic>
                        <pic:nvPicPr>
                          <pic:cNvPr id="0" name="eq_2.png"/>
                          <pic:cNvPicPr/>
                        </pic:nvPicPr>
                        <pic:blipFill>
                          <a:blip r:embed="rId15"/>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6" name="Picture 6"/>
            <wp:cNvGraphicFramePr>
              <a:graphicFrameLocks noChangeAspect="1"/>
            </wp:cNvGraphicFramePr>
            <a:graphic>
              <a:graphicData uri="http://schemas.openxmlformats.org/drawingml/2006/picture">
                <pic:pic>
                  <pic:nvPicPr>
                    <pic:cNvPr id="0" name="fig_3_4_tabpfn.png"/>
                    <pic:cNvPicPr/>
                  </pic:nvPicPr>
                  <pic:blipFill>
                    <a:blip r:embed="rId16"/>
                    <a:stretch>
                      <a:fillRect/>
                    </a:stretch>
                  </pic:blipFill>
                  <pic:spPr>
                    <a:xfrm>
                      <a:off x="0" y="0"/>
                      <a:ext cx="5733288" cy="2833412"/>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7" name="Picture 7"/>
                  <wp:cNvGraphicFramePr>
                    <a:graphicFrameLocks noChangeAspect="1"/>
                  </wp:cNvGraphicFramePr>
                  <a:graphic>
                    <a:graphicData uri="http://schemas.openxmlformats.org/drawingml/2006/picture">
                      <pic:pic>
                        <pic:nvPicPr>
                          <pic:cNvPr id="0" name="eq_3.png"/>
                          <pic:cNvPicPr/>
                        </pic:nvPicPr>
                        <pic:blipFill>
                          <a:blip r:embed="rId17"/>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8" name="Picture 8"/>
            <wp:cNvGraphicFramePr>
              <a:graphicFrameLocks noChangeAspect="1"/>
            </wp:cNvGraphicFramePr>
            <a:graphic>
              <a:graphicData uri="http://schemas.openxmlformats.org/drawingml/2006/picture">
                <pic:pic>
                  <pic:nvPicPr>
                    <pic:cNvPr id="0" name="fig_3_5_tabfm.png"/>
                    <pic:cNvPicPr/>
                  </pic:nvPicPr>
                  <pic:blipFill>
                    <a:blip r:embed="rId18"/>
                    <a:stretch>
                      <a:fillRect/>
                    </a:stretch>
                  </pic:blipFill>
                  <pic:spPr>
                    <a:xfrm>
                      <a:off x="0" y="0"/>
                      <a:ext cx="5733288" cy="2833412"/>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9" name="Picture 9"/>
            <wp:cNvGraphicFramePr>
              <a:graphicFrameLocks noChangeAspect="1"/>
            </wp:cNvGraphicFramePr>
            <a:graphic>
              <a:graphicData uri="http://schemas.openxmlformats.org/drawingml/2006/picture">
                <pic:pic>
                  <pic:nvPicPr>
                    <pic:cNvPr id="0" name="fig_3_6_shap.png"/>
                    <pic:cNvPicPr/>
                  </pic:nvPicPr>
                  <pic:blipFill>
                    <a:blip r:embed="rId19"/>
                    <a:stretch>
                      <a:fillRect/>
                    </a:stretch>
                  </pic:blipFill>
                  <pic:spPr>
                    <a:xfrm>
                      <a:off x="0" y="0"/>
                      <a:ext cx="5733288" cy="2581121"/>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0" name="Picture 10"/>
                  <wp:cNvGraphicFramePr>
                    <a:graphicFrameLocks noChangeAspect="1"/>
                  </wp:cNvGraphicFramePr>
                  <a:graphic>
                    <a:graphicData uri="http://schemas.openxmlformats.org/drawingml/2006/picture">
                      <pic:pic>
                        <pic:nvPicPr>
                          <pic:cNvPr id="0" name="eq_4.png"/>
                          <pic:cNvPicPr/>
                        </pic:nvPicPr>
                        <pic:blipFill>
                          <a:blip r:embed="rId20"/>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spacing w:after="240" w:before="0" w:line="360" w:lineRule="auto"/>
        <w:jc w:val="both"/>
      </w:pPr>
      <w:r>
        <w:rPr>
          <w:rFonts w:ascii="Times New Roman" w:hAnsi="Times New Roman" w:eastAsia="Times New Roman"/>
          <w:b w:val="0"/>
          <w:i w:val="0"/>
          <w:color w:val="000000"/>
          <w:sz w:val="24"/>
        </w:rPr>
        <w:t>Table 3.5 lists the tools used for the work, with the versions recorded in the local environment.</w:t>
      </w:r>
    </w:p>
    <w:p>
      <w:pPr>
        <w:keepNext/>
        <w:spacing w:after="120" w:before="0" w:line="276"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1" name="Picture 11"/>
            <wp:cNvGraphicFramePr>
              <a:graphicFrameLocks noChangeAspect="1"/>
            </wp:cNvGraphicFramePr>
            <a:graphic>
              <a:graphicData uri="http://schemas.openxmlformats.org/drawingml/2006/picture">
                <pic:pic>
                  <pic:nvPicPr>
                    <pic:cNvPr id="0" name="fig_3_7_environment.png"/>
                    <pic:cNvPicPr/>
                  </pic:nvPicPr>
                  <pic:blipFill>
                    <a:blip r:embed="rId21"/>
                    <a:stretch>
                      <a:fillRect/>
                    </a:stretch>
                  </pic:blipFill>
                  <pic:spPr>
                    <a:xfrm>
                      <a:off x="0" y="0"/>
                      <a:ext cx="5733288" cy="2392545"/>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2" name="Picture 12"/>
                  <wp:cNvGraphicFramePr>
                    <a:graphicFrameLocks noChangeAspect="1"/>
                  </wp:cNvGraphicFramePr>
                  <a:graphic>
                    <a:graphicData uri="http://schemas.openxmlformats.org/drawingml/2006/picture">
                      <pic:pic>
                        <pic:nvPicPr>
                          <pic:cNvPr id="0" name="eq_5.png"/>
                          <pic:cNvPicPr/>
                        </pic:nvPicPr>
                        <pic:blipFill>
                          <a:blip r:embed="rId22"/>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3" name="Picture 13"/>
                  <wp:cNvGraphicFramePr>
                    <a:graphicFrameLocks noChangeAspect="1"/>
                  </wp:cNvGraphicFramePr>
                  <a:graphic>
                    <a:graphicData uri="http://schemas.openxmlformats.org/drawingml/2006/picture">
                      <pic:pic>
                        <pic:nvPicPr>
                          <pic:cNvPr id="0" name="eq_6.png"/>
                          <pic:cNvPicPr/>
                        </pic:nvPicPr>
                        <pic:blipFill>
                          <a:blip r:embed="rId23"/>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4" name="Picture 14"/>
                  <wp:cNvGraphicFramePr>
                    <a:graphicFrameLocks noChangeAspect="1"/>
                  </wp:cNvGraphicFramePr>
                  <a:graphic>
                    <a:graphicData uri="http://schemas.openxmlformats.org/drawingml/2006/picture">
                      <pic:pic>
                        <pic:nvPicPr>
                          <pic:cNvPr id="0" name="eq_7.png"/>
                          <pic:cNvPicPr/>
                        </pic:nvPicPr>
                        <pic:blipFill>
                          <a:blip r:embed="rId24"/>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5" name="Picture 15"/>
                  <wp:cNvGraphicFramePr>
                    <a:graphicFrameLocks noChangeAspect="1"/>
                  </wp:cNvGraphicFramePr>
                  <a:graphic>
                    <a:graphicData uri="http://schemas.openxmlformats.org/drawingml/2006/picture">
                      <pic:pic>
                        <pic:nvPicPr>
                          <pic:cNvPr id="0" name="eq_8.png"/>
                          <pic:cNvPicPr/>
                        </pic:nvPicPr>
                        <pic:blipFill>
                          <a:blip r:embed="rId25"/>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6" name="Picture 16"/>
                  <wp:cNvGraphicFramePr>
                    <a:graphicFrameLocks noChangeAspect="1"/>
                  </wp:cNvGraphicFramePr>
                  <a:graphic>
                    <a:graphicData uri="http://schemas.openxmlformats.org/drawingml/2006/picture">
                      <pic:pic>
                        <pic:nvPicPr>
                          <pic:cNvPr id="0" name="eq_9.png"/>
                          <pic:cNvPicPr/>
                        </pic:nvPicPr>
                        <pic:blipFill>
                          <a:blip r:embed="rId26"/>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7" name="Picture 17"/>
                  <wp:cNvGraphicFramePr>
                    <a:graphicFrameLocks noChangeAspect="1"/>
                  </wp:cNvGraphicFramePr>
                  <a:graphic>
                    <a:graphicData uri="http://schemas.openxmlformats.org/drawingml/2006/picture">
                      <pic:pic>
                        <pic:nvPicPr>
                          <pic:cNvPr id="0" name="eq_10.png"/>
                          <pic:cNvPicPr/>
                        </pic:nvPicPr>
                        <pic:blipFill>
                          <a:blip r:embed="rId27"/>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8" name="Picture 18"/>
                  <wp:cNvGraphicFramePr>
                    <a:graphicFrameLocks noChangeAspect="1"/>
                  </wp:cNvGraphicFramePr>
                  <a:graphic>
                    <a:graphicData uri="http://schemas.openxmlformats.org/drawingml/2006/picture">
                      <pic:pic>
                        <pic:nvPicPr>
                          <pic:cNvPr id="0" name="eq_11.png"/>
                          <pic:cNvPicPr/>
                        </pic:nvPicPr>
                        <pic:blipFill>
                          <a:blip r:embed="rId28"/>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The next chapter states what this study expects these methods to show and sets out the schedule for carrying them out.</w:t>
      </w:r>
    </w:p>
    <w:p>
      <w:pPr>
        <w:pStyle w:val="Heading1"/>
        <w:keepNext/>
        <w:pageBreakBefore/>
        <w:spacing w:after="360" w:before="0" w:line="360" w:lineRule="auto"/>
        <w:jc w:val="left"/>
      </w:pPr>
      <w:r>
        <w:rPr>
          <w:rFonts w:ascii="Times New Roman" w:hAnsi="Times New Roman" w:eastAsia="Times New Roman"/>
          <w:b/>
          <w:color w:val="000000"/>
          <w:sz w:val="32"/>
        </w:rPr>
        <w:t>Chapter 4: Expected Outcome and Working Schedule</w:t>
      </w:r>
    </w:p>
    <w:p>
      <w:pPr>
        <w:spacing w:after="240" w:before="0" w:line="360" w:lineRule="auto"/>
        <w:jc w:val="both"/>
      </w:pPr>
      <w:r>
        <w:rPr>
          <w:rFonts w:ascii="Times New Roman" w:hAnsi="Times New Roman" w:eastAsia="Times New Roman"/>
          <w:b w:val="0"/>
          <w:i w:val="0"/>
          <w:color w:val="000000"/>
          <w:sz w:val="24"/>
        </w:rPr>
        <w:t>Chapter 3 described the methods that will be used. This chapter states what those methods are expected to show (Section 4.1) and when each part of the work will be done (Section 4.2).</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directly from the research gaps found in the literature review (Section 2.2.1) and from the two objectives in Section 1.3. Each gap is matched below with what this study expects to deliver. The expectations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spacing w:after="240" w:before="0" w:line="360" w:lineRule="auto"/>
        <w:jc w:val="both"/>
      </w:pPr>
      <w:r>
        <w:rPr>
          <w:rFonts w:ascii="Times New Roman" w:hAnsi="Times New Roman" w:eastAsia="Times New Roman"/>
          <w:b w:val="0"/>
          <w:i w:val="0"/>
          <w:color w:val="000000"/>
          <w:sz w:val="24"/>
        </w:rPr>
        <w:t>Table 4.1 summarises how each expected outcome will be checked.</w:t>
      </w:r>
    </w:p>
    <w:p>
      <w:pPr>
        <w:keepNext/>
        <w:spacing w:after="120" w:before="0" w:line="276"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19" name="Picture 19"/>
            <wp:cNvGraphicFramePr>
              <a:graphicFrameLocks noChangeAspect="1"/>
            </wp:cNvGraphicFramePr>
            <a:graphic>
              <a:graphicData uri="http://schemas.openxmlformats.org/drawingml/2006/picture">
                <pic:pic>
                  <pic:nvPicPr>
                    <pic:cNvPr id="0" name="fig_4_1_gantt.png"/>
                    <pic:cNvPicPr/>
                  </pic:nvPicPr>
                  <pic:blipFill>
                    <a:blip r:embed="rId29"/>
                    <a:stretch>
                      <a:fillRect/>
                    </a:stretch>
                  </pic:blipFill>
                  <pic:spPr>
                    <a:xfrm>
                      <a:off x="0" y="0"/>
                      <a:ext cx="5733288" cy="2873121"/>
                    </a:xfrm>
                    <a:prstGeom prst="rect"/>
                  </pic:spPr>
                </pic:pic>
              </a:graphicData>
            </a:graphic>
          </wp:inline>
        </w:drawing>
      </w:r>
    </w:p>
    <w:p>
      <w:pPr>
        <w:spacing w:after="240" w:before="0" w:line="276"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spacing w:after="240" w:before="0" w:line="360" w:lineRule="auto"/>
        <w:jc w:val="both"/>
      </w:pPr>
      <w:r>
        <w:rPr>
          <w:rFonts w:ascii="Times New Roman" w:hAnsi="Times New Roman" w:eastAsia="Times New Roman"/>
          <w:b w:val="0"/>
          <w:i w:val="0"/>
          <w:color w:val="000000"/>
          <w:sz w:val="24"/>
        </w:rPr>
        <w:t>After the proposal is approved, the planned tasks will be carried out in this order, and the results will be reported and discussed against the expected outcomes of Section 4.1 in the final dissertation.</w:t>
      </w:r>
    </w:p>
    <w:p>
      <w:pPr>
        <w:pStyle w:val="Heading1"/>
        <w:keepNext/>
        <w:pageBreakBefore/>
        <w:spacing w:after="360" w:before="0" w:line="360" w:lineRule="auto"/>
        <w:jc w:val="left"/>
      </w:pPr>
      <w:r>
        <w:rPr>
          <w:rFonts w:ascii="Times New Roman" w:hAnsi="Times New Roman" w:eastAsia="Times New Roman"/>
          <w:b/>
          <w:color w:val="000000"/>
          <w:sz w:val="32"/>
        </w:rPr>
        <w:t>References</w:t>
      </w:r>
    </w:p>
    <w:p>
      <w:pPr>
        <w:spacing w:after="160" w:before="0" w:line="276"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276"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276"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276"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276"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276"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276"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276"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276"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276"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276"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276"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276"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276"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276"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276"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276"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276"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276"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276"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276"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276"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276"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276"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276"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276"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0"/>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