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52"/>
          <w:szCs w:val="52"/>
        </w:rPr>
        <w:t xml:space="preserve">Information Service (IS)</w:t>
      </w:r>
    </w:p>
    <w:p>
      <w:pPr>
        <w:spacing w:before="200"/>
        <w:jc w:val="center"/>
      </w:pPr>
      <w:r>
        <w:rPr>
          <w:rFonts w:ascii="Calibri" w:cs="Calibri" w:eastAsia="Calibri" w:hAnsi="Calibri"/>
          <w:color w:val="44546A"/>
          <w:sz w:val="36"/>
          <w:szCs w:val="36"/>
        </w:rPr>
        <w:t xml:space="preserve">Technical Service Study</w:t>
      </w:r>
    </w:p>
    <w:p>
      <w:pPr>
        <w:spacing w:before="400"/>
        <w:jc w:val="center"/>
      </w:pPr>
      <w:r>
        <w:rPr>
          <w:rFonts w:ascii="Calibri" w:cs="Calibri" w:eastAsia="Calibri" w:hAnsi="Calibri"/>
          <w:i/>
          <w:iCs/>
          <w:sz w:val="24"/>
          <w:szCs w:val="24"/>
        </w:rPr>
        <w:t xml:space="preserve">AI Agents for DAQ Services — Work Package DAQ-WP1</w:t>
      </w:r>
    </w:p>
    <w:p>
      <w:pPr>
        <w:spacing w:before="80"/>
        <w:jc w:val="center"/>
      </w:pPr>
      <w:r>
        <w:rPr>
          <w:rFonts w:ascii="Calibri" w:cs="Calibri" w:eastAsia="Calibri" w:hAnsi="Calibri"/>
          <w:sz w:val="22"/>
          <w:szCs w:val="22"/>
        </w:rPr>
        <w:t xml:space="preserve">Analysis of ATLAS TDAQ Online Services and Exposed APIs</w:t>
      </w:r>
    </w:p>
    <w:p>
      <w:pPr>
        <w:spacing w:before="2000"/>
      </w:pPr>
    </w:p>
    <w:p>
      <w:pPr>
        <w:jc w:val="center"/>
      </w:pPr>
      <w:r>
        <w:rPr>
          <w:rFonts w:ascii="Calibri" w:cs="Calibri" w:eastAsia="Calibri" w:hAnsi="Calibri"/>
          <w:color w:val="595959"/>
          <w:sz w:val="20"/>
          <w:szCs w:val="20"/>
        </w:rPr>
        <w:t xml:space="preserve">Prepared for project supervision review</w:t>
      </w:r>
    </w:p>
    <w:p>
      <w:pPr>
        <w:spacing w:before="100"/>
        <w:jc w:val="center"/>
      </w:pPr>
      <w:r>
        <w:rPr>
          <w:rFonts w:ascii="Calibri" w:cs="Calibri" w:eastAsia="Calibri" w:hAnsi="Calibri"/>
          <w:color w:val="595959"/>
          <w:sz w:val="20"/>
          <w:szCs w:val="20"/>
        </w:rPr>
        <w:t xml:space="preserve">ATLAS Trigger and Data Acquisition (TDAQ) System, CERN</w:t>
      </w:r>
    </w:p>
    <w:p>
      <w:r>
        <w:br w:type="page"/>
      </w:r>
    </w:p>
    <w:p>
      <w:pPr>
        <w:pStyle w:val="Heading1"/>
        <w:spacing w:after="160" w:before="320"/>
      </w:pPr>
      <w:r>
        <w:t xml:space="preserve">Executive Summary</w:t>
      </w:r>
    </w:p>
    <w:p>
      <w:pPr>
        <w:spacing w:after="160" w:line="276"/>
      </w:pPr>
      <w:r>
        <w:rPr>
          <w:rFonts w:ascii="Calibri" w:cs="Calibri" w:eastAsia="Calibri" w:hAnsi="Calibri"/>
          <w:sz w:val="22"/>
          <w:szCs w:val="22"/>
        </w:rPr>
        <w:t xml:space="preserve">This document presents a technical study of the Information Service (IS), one of the five core ATLAS Trigger and Data Acquisition (TDAQ) online services identified for the AI Agents for DAQ Services project (Work Package DAQ-WP1). The purpose of this study is to establish a verified, code-grounded understanding of IS — its architecture, data model, access mechanisms, and operational characteristics — sufficient to inform the design of an autonomous agent capable of interacting with it.</w:t>
      </w:r>
    </w:p>
    <w:p>
      <w:pPr>
        <w:spacing w:after="160" w:line="276"/>
      </w:pPr>
      <w:r>
        <w:rPr>
          <w:rFonts w:ascii="Calibri" w:cs="Calibri" w:eastAsia="Calibri" w:hAnsi="Calibri"/>
          <w:sz w:val="22"/>
          <w:szCs w:val="22"/>
        </w:rPr>
        <w:t xml:space="preserve">The findings in this document are drawn from three categories of evidence: (i) direct inspection of the official IS source repository (atlas-tdaq-software/is), (ii) official ATLAS TDAQ documentation and peer-reviewed conference proceedings, and (iii) prior project research that has not yet been independently re-verified. Each finding is labelled accordingly, and Section 8 lists open items that require further verification before being relied upon in an architecture deliverable.</w:t>
      </w:r>
    </w:p>
    <w:p>
      <w:pPr>
        <w:spacing w:after="160" w:line="276"/>
      </w:pPr>
      <w:r>
        <w:rPr>
          <w:rFonts w:ascii="Calibri" w:cs="Calibri" w:eastAsia="Calibri" w:hAnsi="Calibri"/>
          <w:sz w:val="22"/>
          <w:szCs w:val="22"/>
        </w:rPr>
        <w:t xml:space="preserve">In summary: IS is a distributed, partition-scoped, publish/subscribe data store for live operational telemetry, built on a CORBA-based C++/Java API. It is not an archival system — a separate service, P-BEAST, is responsible for long-term persistence. No native Python client library was found in the inspected source; a newer HTTP/JSON gateway (webis_server) is the most promising path for a Python-based or MCP-based client, though its exact interface has not yet been confirmed.</w:t>
      </w:r>
    </w:p>
    <w:p>
      <w:pPr>
        <w:pStyle w:val="Heading1"/>
        <w:spacing w:after="160" w:before="320"/>
      </w:pPr>
      <w:r>
        <w:t xml:space="preserve">Table of Contents</w:t>
      </w:r>
    </w:p>
    <w:p>
      <w:pPr>
        <w:spacing w:after="160" w:line="276"/>
      </w:pPr>
      <w:r>
        <w:rPr>
          <w:rFonts w:ascii="Calibri" w:cs="Calibri" w:eastAsia="Calibri" w:hAnsi="Calibri"/>
          <w:sz w:val="22"/>
          <w:szCs w:val="22"/>
        </w:rPr>
        <w:t xml:space="preserve">1. Executive Summary</w:t>
      </w:r>
    </w:p>
    <w:p>
      <w:pPr>
        <w:spacing w:after="160" w:line="276"/>
      </w:pPr>
      <w:r>
        <w:rPr>
          <w:rFonts w:ascii="Calibri" w:cs="Calibri" w:eastAsia="Calibri" w:hAnsi="Calibri"/>
          <w:sz w:val="22"/>
          <w:szCs w:val="22"/>
        </w:rPr>
        <w:t xml:space="preserve">2. Purpose and Scope</w:t>
      </w:r>
    </w:p>
    <w:p>
      <w:pPr>
        <w:spacing w:after="160" w:line="276"/>
      </w:pPr>
      <w:r>
        <w:rPr>
          <w:rFonts w:ascii="Calibri" w:cs="Calibri" w:eastAsia="Calibri" w:hAnsi="Calibri"/>
          <w:sz w:val="22"/>
          <w:szCs w:val="22"/>
        </w:rPr>
        <w:t xml:space="preserve">3. Sources and Methodology</w:t>
      </w:r>
    </w:p>
    <w:p>
      <w:pPr>
        <w:spacing w:after="160" w:line="276"/>
      </w:pPr>
      <w:r>
        <w:rPr>
          <w:rFonts w:ascii="Calibri" w:cs="Calibri" w:eastAsia="Calibri" w:hAnsi="Calibri"/>
          <w:sz w:val="22"/>
          <w:szCs w:val="22"/>
        </w:rPr>
        <w:t xml:space="preserve">4. Overview of the Information Service</w:t>
      </w:r>
    </w:p>
    <w:p>
      <w:pPr>
        <w:spacing w:after="160" w:line="276"/>
      </w:pPr>
      <w:r>
        <w:rPr>
          <w:rFonts w:ascii="Calibri" w:cs="Calibri" w:eastAsia="Calibri" w:hAnsi="Calibri"/>
          <w:sz w:val="22"/>
          <w:szCs w:val="22"/>
        </w:rPr>
        <w:t xml:space="preserve">5. Data Model</w:t>
      </w:r>
    </w:p>
    <w:p>
      <w:pPr>
        <w:spacing w:after="160" w:line="276"/>
      </w:pPr>
      <w:r>
        <w:rPr>
          <w:rFonts w:ascii="Calibri" w:cs="Calibri" w:eastAsia="Calibri" w:hAnsi="Calibri"/>
          <w:sz w:val="22"/>
          <w:szCs w:val="22"/>
        </w:rPr>
        <w:t xml:space="preserve">6. Access Mechanisms and Application Programming Interfaces</w:t>
      </w:r>
    </w:p>
    <w:p>
      <w:pPr>
        <w:spacing w:after="160" w:line="276"/>
      </w:pPr>
      <w:r>
        <w:rPr>
          <w:rFonts w:ascii="Calibri" w:cs="Calibri" w:eastAsia="Calibri" w:hAnsi="Calibri"/>
          <w:sz w:val="22"/>
          <w:szCs w:val="22"/>
        </w:rPr>
        <w:t xml:space="preserve">7. Historical Data Archival (P-BEAST)</w:t>
      </w:r>
    </w:p>
    <w:p>
      <w:pPr>
        <w:spacing w:after="160" w:line="276"/>
      </w:pPr>
      <w:r>
        <w:rPr>
          <w:rFonts w:ascii="Calibri" w:cs="Calibri" w:eastAsia="Calibri" w:hAnsi="Calibri"/>
          <w:sz w:val="22"/>
          <w:szCs w:val="22"/>
        </w:rPr>
        <w:t xml:space="preserve">8. Operational Scale and Default Configuration</w:t>
      </w:r>
    </w:p>
    <w:p>
      <w:pPr>
        <w:spacing w:after="160" w:line="276"/>
      </w:pPr>
      <w:r>
        <w:rPr>
          <w:rFonts w:ascii="Calibri" w:cs="Calibri" w:eastAsia="Calibri" w:hAnsi="Calibri"/>
          <w:sz w:val="22"/>
          <w:szCs w:val="22"/>
        </w:rPr>
        <w:t xml:space="preserve">9. Open Items and Areas Requiring Further Verification</w:t>
      </w:r>
    </w:p>
    <w:p>
      <w:pPr>
        <w:spacing w:after="160" w:line="276"/>
      </w:pPr>
      <w:r>
        <w:rPr>
          <w:rFonts w:ascii="Calibri" w:cs="Calibri" w:eastAsia="Calibri" w:hAnsi="Calibri"/>
          <w:sz w:val="22"/>
          <w:szCs w:val="22"/>
        </w:rPr>
        <w:t xml:space="preserve">10. Summary and Recommendations for Next Steps</w:t>
      </w:r>
    </w:p>
    <w:p>
      <w:r>
        <w:br w:type="page"/>
      </w:r>
    </w:p>
    <w:p>
      <w:pPr>
        <w:pStyle w:val="Heading1"/>
        <w:spacing w:after="160" w:before="320"/>
      </w:pPr>
      <w:r>
        <w:t xml:space="preserve">2. Purpose and Scope</w:t>
      </w:r>
    </w:p>
    <w:p>
      <w:pPr>
        <w:spacing w:after="160" w:line="276"/>
      </w:pPr>
      <w:r>
        <w:rPr>
          <w:rFonts w:ascii="Calibri" w:cs="Calibri" w:eastAsia="Calibri" w:hAnsi="Calibri"/>
          <w:sz w:val="22"/>
          <w:szCs w:val="22"/>
        </w:rPr>
        <w:t xml:space="preserve">This study forms part of DAQ-WP1 (“Analysis of the available DAQ online services, including their exposed APIs and interoperability”), one of the top-level work packages defined under the AI Agents for DAQ Services project. The Information Service has been assigned as the subject of this individual study, alongside parallel studies of the remaining core services (Run Control, Process Management, Configuration, and the Error Reporting System) being conducted by other members of the project team.</w:t>
      </w:r>
    </w:p>
    <w:p>
      <w:pPr>
        <w:spacing w:after="160" w:line="276"/>
      </w:pPr>
      <w:r>
        <w:rPr>
          <w:rFonts w:ascii="Calibri" w:cs="Calibri" w:eastAsia="Calibri" w:hAnsi="Calibri"/>
          <w:sz w:val="22"/>
          <w:szCs w:val="22"/>
        </w:rPr>
        <w:t xml:space="preserve">The objective is to produce a reference document sufficient to support two downstream activities: (a) the DAQ-WP2 deliverable, which defines a shared Model Context Protocol (MCP) framework applicable to all core DAQ online services, and (b) the DAQ-WP3/DAQ-WP4 deliverables, which implement and validate individual service agents. This document is deliberately restricted to service analysis; it does not propose a specific agent architecture or tool design, which is left to the subsequent design phase.</w:t>
      </w:r>
    </w:p>
    <w:p>
      <w:pPr>
        <w:pStyle w:val="Heading1"/>
        <w:spacing w:after="160" w:before="320"/>
      </w:pPr>
      <w:r>
        <w:t xml:space="preserve">3. Sources and Methodology</w:t>
      </w:r>
    </w:p>
    <w:p>
      <w:pPr>
        <w:spacing w:after="160" w:line="276"/>
      </w:pPr>
      <w:r>
        <w:rPr>
          <w:rFonts w:ascii="Calibri" w:cs="Calibri" w:eastAsia="Calibri" w:hAnsi="Calibri"/>
          <w:sz w:val="22"/>
          <w:szCs w:val="22"/>
        </w:rPr>
        <w:t xml:space="preserve">The findings in this document draw on the following sources, each directly consulted during this study:</w:t>
      </w:r>
    </w:p>
    <w:p>
      <w:pPr>
        <w:pStyle w:val="ListParagraph"/>
        <w:pStyle w:val="normalPara"/>
        <w:numPr>
          <w:ilvl w:val="0"/>
          <w:numId w:val="1"/>
        </w:numPr>
        <w:spacing w:after="100" w:line="276"/>
      </w:pPr>
      <w:r>
        <w:t xml:space="preserve">Official IS source repository, atlas-tdaq-software/is (obtained as a repository archive and inspected directly), including the public C++ API headers, the CORBA Interface Definition Language (IDL) file, the server implementation, command-line utilities, and an example schema.</w:t>
      </w:r>
    </w:p>
    <w:p>
      <w:pPr>
        <w:pStyle w:val="ListParagraph"/>
        <w:pStyle w:val="normalPara"/>
        <w:numPr>
          <w:ilvl w:val="0"/>
          <w:numId w:val="1"/>
        </w:numPr>
        <w:spacing w:after="100" w:line="276"/>
      </w:pPr>
      <w:r>
        <w:t xml:space="preserve">Information Service User's Guide, S. Kolos, ATLAS TDAQ Online Software — the official reference documentation for the C++ API.</w:t>
      </w:r>
    </w:p>
    <w:p>
      <w:pPr>
        <w:pStyle w:val="ListParagraph"/>
        <w:pStyle w:val="normalPara"/>
        <w:numPr>
          <w:ilvl w:val="0"/>
          <w:numId w:val="1"/>
        </w:numPr>
        <w:spacing w:after="100" w:line="276"/>
      </w:pPr>
      <w:r>
        <w:t xml:space="preserve">“Online Monitoring software framework in the ATLAS experiment,” CHEP 2003 proceedings (arXiv:hep-ex/0305096).</w:t>
      </w:r>
    </w:p>
    <w:p>
      <w:pPr>
        <w:pStyle w:val="ListParagraph"/>
        <w:pStyle w:val="normalPara"/>
        <w:numPr>
          <w:ilvl w:val="0"/>
          <w:numId w:val="1"/>
        </w:numPr>
        <w:spacing w:after="100" w:line="276"/>
      </w:pPr>
      <w:r>
        <w:t xml:space="preserve">“A persistent back-end for the ATLAS TDAQ online information service (P-BEAST),” ATL-DAQ-PROC-2011-047, and related P-BEAST publications.</w:t>
      </w:r>
    </w:p>
    <w:p>
      <w:pPr>
        <w:pStyle w:val="ListParagraph"/>
        <w:pStyle w:val="normalPara"/>
        <w:numPr>
          <w:ilvl w:val="0"/>
          <w:numId w:val="1"/>
        </w:numPr>
        <w:spacing w:after="100" w:line="276"/>
      </w:pPr>
      <w:r>
        <w:t xml:space="preserve">ATLAS TDAQ Software official release notes, release tdaq-11-02-00 (December 2023), covering the webdaq client library and webis_server gateway.</w:t>
      </w:r>
    </w:p>
    <w:p>
      <w:pPr>
        <w:pStyle w:val="ListParagraph"/>
        <w:pStyle w:val="normalPara"/>
        <w:numPr>
          <w:ilvl w:val="0"/>
          <w:numId w:val="1"/>
        </w:numPr>
        <w:spacing w:after="100" w:line="276"/>
      </w:pPr>
      <w:r>
        <w:t xml:space="preserve">“Operation of the ATLAS trigger system in Run 2,” arXiv:2007.12539 — confirms production usage of P-BEAST-derived dashboards.</w:t>
      </w:r>
    </w:p>
    <w:p>
      <w:pPr>
        <w:spacing w:after="160" w:line="276"/>
      </w:pPr>
      <w:r>
        <w:rPr>
          <w:rFonts w:ascii="Calibri" w:cs="Calibri" w:eastAsia="Calibri" w:hAnsi="Calibri"/>
          <w:sz w:val="22"/>
          <w:szCs w:val="22"/>
        </w:rPr>
        <w:t xml:space="preserve">Where a specific figure or technical claim originates from research conducted earlier in the project rather than from a source examined directly in the course of this study, it is explicitly marked as such in the relevant section, most notably in Section 8 (Operational Scale) and Section 9 (Open Items). This distinction is maintained throughout so that the supervisor can assess the confidence level of each statement independently.</w:t>
      </w:r>
    </w:p>
    <w:p>
      <w:r>
        <w:br w:type="page"/>
      </w:r>
    </w:p>
    <w:p>
      <w:pPr>
        <w:pStyle w:val="Heading1"/>
        <w:spacing w:after="160" w:before="320"/>
      </w:pPr>
      <w:r>
        <w:t xml:space="preserve">4. Overview of the Information Service</w:t>
      </w:r>
    </w:p>
    <w:p>
      <w:pPr>
        <w:spacing w:after="160" w:line="276"/>
      </w:pPr>
      <w:r>
        <w:rPr>
          <w:rFonts w:ascii="Calibri" w:cs="Calibri" w:eastAsia="Calibri" w:hAnsi="Calibri"/>
          <w:sz w:val="22"/>
          <w:szCs w:val="22"/>
        </w:rPr>
        <w:t xml:space="preserve">The Information Service provides the mechanism by which TDAQ applications share live operational state with one another and with human operators. Any application that needs to expose its status — for example, a Finite State Machine state, a CPU or memory reading, or a free-buffer count — does so by creating a named, typed information object and publishing it to an IS repository. Other applications, or a human operator through a graphical or command-line interface, may then read that object on request, or subscribe to receive notification whenever it changes.</w:t>
      </w:r>
    </w:p>
    <w:p>
      <w:pPr>
        <w:spacing w:after="160" w:line="276"/>
      </w:pPr>
      <w:r>
        <w:rPr>
          <w:rFonts w:ascii="Calibri" w:cs="Calibri" w:eastAsia="Calibri" w:hAnsi="Calibri"/>
          <w:sz w:val="22"/>
          <w:szCs w:val="22"/>
        </w:rPr>
        <w:t xml:space="preserve">The Information Service is distinct in purpose from the Error Reporting System (ERS), which is used to report discrete faults, warnings, and diagnostic events. The Information Service instead concerns itself with continuously available, current operational state. It is one of several sibling services built on the same underlying transport layer, including the Histogramming Service, which is implemented as a direct specialisation of the Information Service.</w:t>
      </w:r>
    </w:p>
    <w:p>
      <w:pPr>
        <w:pStyle w:val="Heading2"/>
        <w:spacing w:after="120" w:before="240"/>
      </w:pPr>
      <w:r>
        <w:t xml:space="preserve">4.1 Repository Architecture</w:t>
      </w:r>
    </w:p>
    <w:p>
      <w:pPr>
        <w:spacing w:after="160" w:line="276"/>
      </w:pPr>
      <w:r>
        <w:rPr>
          <w:rFonts w:ascii="Calibri" w:cs="Calibri" w:eastAsia="Calibri" w:hAnsi="Calibri"/>
          <w:sz w:val="22"/>
          <w:szCs w:val="22"/>
        </w:rPr>
        <w:t xml:space="preserve">An IS repository is not a single server process. It is implemented as a set of independent IS server processes, each with a unique name, all operating within a given TDAQ partition. There is no global namespace shared across servers: each server maintains its own, independent set of information objects, and client applications must know, or discover, which server holds the data of interest before querying it. A single partition typically runs a substantial number of IS servers concurrently, each specialising in a particular subsystem or application group.</w:t>
      </w:r>
    </w:p>
    <w:p>
      <w:pPr>
        <w:pStyle w:val="Heading2"/>
        <w:spacing w:after="120" w:before="240"/>
      </w:pPr>
      <w:r>
        <w:t xml:space="preserve">4.2 Communication Technology</w:t>
      </w:r>
    </w:p>
    <w:p>
      <w:pPr>
        <w:spacing w:after="160" w:line="276"/>
      </w:pPr>
      <w:r>
        <w:rPr>
          <w:rFonts w:ascii="Calibri" w:cs="Calibri" w:eastAsia="Calibri" w:hAnsi="Calibri"/>
          <w:sz w:val="22"/>
          <w:szCs w:val="22"/>
        </w:rPr>
        <w:t xml:space="preserve">The Information Service is implemented on top of the TDAQ Inter-Process Communication (IPC) layer, which in turn is built on the Common Object Request Broker Architecture (CORBA) standard. The C++ implementation uses the omniORB broker; the Java implementation uses JacORB. Both language bindings are designed to be independent of the underlying communication technology, so that the transport layer could, in principle, be replaced without requiring changes to client applications.</w:t>
      </w:r>
    </w:p>
    <w:p>
      <w:r>
        <w:br w:type="page"/>
      </w:r>
    </w:p>
    <w:p>
      <w:pPr>
        <w:pStyle w:val="Heading1"/>
        <w:spacing w:after="160" w:before="320"/>
      </w:pPr>
      <w:r>
        <w:t xml:space="preserve">5. Data Model</w:t>
      </w:r>
    </w:p>
    <w:p>
      <w:pPr>
        <w:pStyle w:val="Heading2"/>
        <w:spacing w:after="120" w:before="240"/>
      </w:pPr>
      <w:r>
        <w:t xml:space="preserve">5.1 Object Naming</w:t>
      </w:r>
    </w:p>
    <w:p>
      <w:pPr>
        <w:spacing w:after="160" w:line="276"/>
      </w:pPr>
      <w:r>
        <w:rPr>
          <w:rFonts w:ascii="Calibri" w:cs="Calibri" w:eastAsia="Calibri" w:hAnsi="Calibri"/>
          <w:sz w:val="22"/>
          <w:szCs w:val="22"/>
        </w:rPr>
        <w:t xml:space="preserve">Every information object has a name of the fixed form ServerName.ObjectName — exactly two dot-separated segments. This format is enforced in the client library: providing a name that does not conform to this structure raises an InvalidName exception. The partition itself is not encoded in the object name; it is implicit in the client's connection context.</w:t>
      </w:r>
    </w:p>
    <w:p>
      <w:pPr>
        <w:pStyle w:val="Heading2"/>
        <w:spacing w:after="120" w:before="240"/>
      </w:pPr>
      <w:r>
        <w:t xml:space="preserve">5.2 The Three-Level Object Model</w:t>
      </w:r>
    </w:p>
    <w:p>
      <w:pPr>
        <w:spacing w:after="160" w:line="276"/>
      </w:pPr>
      <w:r>
        <w:rPr>
          <w:rFonts w:ascii="Calibri" w:cs="Calibri" w:eastAsia="Calibri" w:hAnsi="Calibri"/>
          <w:sz w:val="22"/>
          <w:szCs w:val="22"/>
        </w:rPr>
        <w:t xml:space="preserve">Information in the IS is organised according to a three-level model, confirmed both in the official User's Guide and in the repository's own documentation:</w:t>
      </w:r>
    </w:p>
    <w:p>
      <w:pPr>
        <w:pStyle w:val="ListParagraph"/>
        <w:pStyle w:val="normalPara"/>
        <w:numPr>
          <w:ilvl w:val="0"/>
          <w:numId w:val="1"/>
        </w:numPr>
        <w:spacing w:after="100" w:line="276"/>
      </w:pPr>
      <w:r>
        <w:t xml:space="preserve">Meta-type declarations: the structure of a custom information type is defined in an XML schema, using an OKS-style syntax (for example, a class with named, typed attributes such as unsigned 16-bit integers, strings, dates, or enumerations).</w:t>
      </w:r>
    </w:p>
    <w:p>
      <w:pPr>
        <w:pStyle w:val="ListParagraph"/>
        <w:pStyle w:val="normalPara"/>
        <w:numPr>
          <w:ilvl w:val="0"/>
          <w:numId w:val="1"/>
        </w:numPr>
        <w:spacing w:after="100" w:line="276"/>
      </w:pPr>
      <w:r>
        <w:t xml:space="preserve">Generated language-level types: the XML schema is compiled by a code-generation utility into native C++ and Java classes corresponding to the declared type.</w:t>
      </w:r>
    </w:p>
    <w:p>
      <w:pPr>
        <w:pStyle w:val="ListParagraph"/>
        <w:pStyle w:val="normalPara"/>
        <w:numPr>
          <w:ilvl w:val="0"/>
          <w:numId w:val="1"/>
        </w:numPr>
        <w:spacing w:after="100" w:line="276"/>
      </w:pPr>
      <w:r>
        <w:t xml:space="preserve">Information instances: concrete objects created and published by applications at run time, instances of the generated classes.</w:t>
      </w:r>
    </w:p>
    <w:p>
      <w:pPr>
        <w:spacing w:after="160" w:line="276"/>
      </w:pPr>
      <w:r>
        <w:rPr>
          <w:rFonts w:ascii="Calibri" w:cs="Calibri" w:eastAsia="Calibri" w:hAnsi="Calibri"/>
          <w:sz w:val="22"/>
          <w:szCs w:val="22"/>
        </w:rPr>
        <w:t xml:space="preserve">For simple values, the Information Service additionally provides ready-made wrapper classes for all C++ built-in types (boolean, character, short/int/long integers and their unsigned variants, float, double, and string), allowing basic data to be published without requiring a custom schema.</w:t>
      </w:r>
    </w:p>
    <w:p>
      <w:pPr>
        <w:pStyle w:val="Heading2"/>
        <w:spacing w:after="120" w:before="240"/>
      </w:pPr>
      <w:r>
        <w:t xml:space="preserve">5.3 Versioning</w:t>
      </w:r>
    </w:p>
    <w:p>
      <w:pPr>
        <w:spacing w:after="160" w:line="276"/>
      </w:pPr>
      <w:r>
        <w:rPr>
          <w:rFonts w:ascii="Calibri" w:cs="Calibri" w:eastAsia="Calibri" w:hAnsi="Calibri"/>
          <w:sz w:val="22"/>
          <w:szCs w:val="22"/>
        </w:rPr>
        <w:t xml:space="preserve">Every published value is associated with a tag, a 32-bit integer identifying a specific version of the object, and a timestamp recorded at microsecond precision. Two update modes are supported: a default mode, in which the previous value is discarded, and a history mode, in which prior values are retained up to a server-configured retention limit (see Section 8.3). A specific historical version can be retrieved directly by its tag.</w:t>
      </w:r>
    </w:p>
    <w:p>
      <w:pPr>
        <w:pStyle w:val="Heading2"/>
        <w:spacing w:after="120" w:before="240"/>
      </w:pPr>
      <w:r>
        <w:t xml:space="preserve">5.4 Wire-Level Structure</w:t>
      </w:r>
    </w:p>
    <w:p>
      <w:pPr>
        <w:spacing w:after="160" w:line="276"/>
      </w:pPr>
      <w:r>
        <w:rPr>
          <w:rFonts w:ascii="Calibri" w:cs="Calibri" w:eastAsia="Calibri" w:hAnsi="Calibri"/>
          <w:sz w:val="22"/>
          <w:szCs w:val="22"/>
        </w:rPr>
        <w:t xml:space="preserve">The following structure, drawn directly from the service's CORBA Interface Definition Language file, represents the literal on-the-wire record format for an information object and its associated metadata: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4100"/>
      </w:tblGrid>
      <w:tr>
        <w:trPr>
          <w:tblHeader/>
        </w:trPr>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Structure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Fields</w:t>
            </w:r>
          </w:p>
        </w:tc>
        <w:tc>
          <w:tcPr>
            <w:tcW w:type="dxa" w:w="4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type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name, code, nested_types[]</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Schema / type descriptor for an object</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tagtime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tag, time</w:t>
            </w:r>
          </w:p>
        </w:tc>
        <w:tc>
          <w:tcPr>
            <w:tcW w:type="dxa" w:w="4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version identifier paired with its timestamp</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attributes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tag, time, address, annotations[]</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Metadata attached to a specific value</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value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attr (attributes), data</w:t>
            </w:r>
          </w:p>
        </w:tc>
        <w:tc>
          <w:tcPr>
            <w:tcW w:type="dxa" w:w="4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single stored value and its metadata</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info</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name, type, value</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One complete snapshot of an object</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info_history</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name, type, values[]</w:t>
            </w:r>
          </w:p>
        </w:tc>
        <w:tc>
          <w:tcPr>
            <w:tcW w:type="dxa" w:w="4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Multiple versions of one object</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event</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name, type, attr (tagtime)</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lightweight change notification without payload</w:t>
            </w:r>
          </w:p>
        </w:tc>
      </w:tr>
    </w:tbl>
    <w:p>
      <w:pPr>
        <w:spacing w:after="160"/>
      </w:pPr>
    </w:p>
    <w:p>
      <w:pPr>
        <w:spacing w:after="160" w:line="276"/>
      </w:pPr>
      <w:r>
        <w:rPr>
          <w:rFonts w:ascii="Calibri" w:cs="Calibri" w:eastAsia="Calibri" w:hAnsi="Calibri"/>
          <w:sz w:val="22"/>
          <w:szCs w:val="22"/>
        </w:rPr>
        <w:t xml:space="preserve">The event structure is deliberately lighter than the info structure: a subscriber that only needs to know that a change occurred, without requiring the new value itself, may request notification at the event level and avoid the cost of transferring the full payload.</w:t>
      </w:r>
    </w:p>
    <w:p>
      <w:pPr>
        <w:pStyle w:val="Heading2"/>
        <w:spacing w:after="120" w:before="240"/>
      </w:pPr>
      <w:r>
        <w:t xml:space="preserve">5.5 Change Classification</w:t>
      </w:r>
    </w:p>
    <w:p>
      <w:pPr>
        <w:spacing w:after="160" w:line="276"/>
      </w:pPr>
      <w:r>
        <w:rPr>
          <w:rFonts w:ascii="Calibri" w:cs="Calibri" w:eastAsia="Calibri" w:hAnsi="Calibri"/>
          <w:sz w:val="22"/>
          <w:szCs w:val="22"/>
        </w:rPr>
        <w:t xml:space="preserve">Every change to an information object is classified under one of three reasons — Created, Updated, or Deleted — (with a fourth, Subscribed, used internally). This classification forms the filtering vocabulary available when establishing a subscription, and is directly comparable in role to the severity levels used within the Error Reporting System.</w:t>
      </w:r>
    </w:p>
    <w:p>
      <w:r>
        <w:br w:type="page"/>
      </w:r>
    </w:p>
    <w:p>
      <w:pPr>
        <w:pStyle w:val="Heading1"/>
        <w:spacing w:after="160" w:before="320"/>
      </w:pPr>
      <w:r>
        <w:t xml:space="preserve">6. Access Mechanisms and Application Programming Interfaces</w:t>
      </w:r>
    </w:p>
    <w:p>
      <w:pPr>
        <w:pStyle w:val="Heading2"/>
        <w:spacing w:after="120" w:before="240"/>
      </w:pPr>
      <w:r>
        <w:t xml:space="preserve">6.1 Live Access — Confirmed C++ and Java Only</w:t>
      </w:r>
    </w:p>
    <w:p>
      <w:pPr>
        <w:spacing w:after="160" w:line="276"/>
      </w:pPr>
      <w:r>
        <w:rPr>
          <w:rFonts w:ascii="Calibri" w:cs="Calibri" w:eastAsia="Calibri" w:hAnsi="Calibri"/>
          <w:sz w:val="22"/>
          <w:szCs w:val="22"/>
        </w:rPr>
        <w:t xml:space="preserve">Direct inspection of the repository's public headers confirms the following client-side classes constitute the live access API: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510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Class</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Capability</w:t>
            </w:r>
          </w:p>
        </w:tc>
        <w:tc>
          <w:tcPr>
            <w:tcW w:type="dxa" w:w="5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Operations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ISInfoDictionary</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Point access (read/write single values)</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checkin (atomic upsert), update, remove, getValue / findValue (by name, or name and tag), getTags, getType, getValues&lt;T&gt; (history)</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ISInfoReceiver</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Push-based subscription</w:t>
            </w:r>
          </w:p>
        </w:tc>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subscribe (single object or filtered by criteria across a server), unsubscribe; selectable event types (Created/Updated/Deleted); Immediate or Delayed subscription policy</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ISInfoStream</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Efficient bulk read</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Sequential retrieval of many objects from one server in a single pass</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ISInfoRange / ISServerRange</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Discovery and browsing</w:t>
            </w:r>
          </w:p>
        </w:tc>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Enumerate servers within a partition, or objects within a server, optionally filtered</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ISInfoDynAny</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Generic, schema-agnostic read/write</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Read or write an object without compile-time knowledge of its type, addressing attributes by name or position, with run-time schema introspection</w:t>
            </w:r>
          </w:p>
        </w:tc>
      </w:tr>
    </w:tbl>
    <w:p>
      <w:pPr>
        <w:spacing w:after="160"/>
      </w:pPr>
    </w:p>
    <w:p>
      <w:pPr>
        <w:pBdr>
          <w:left w:val="single" w:color="8497B0" w:sz="12" w:space="8"/>
        </w:pBdr>
        <w:spacing w:after="200" w:before="80"/>
        <w:ind w:left="360"/>
      </w:pPr>
      <w:r>
        <w:rPr>
          <w:rFonts w:ascii="Calibri" w:cs="Calibri" w:eastAsia="Calibri" w:hAnsi="Calibri"/>
          <w:i/>
          <w:iCs/>
          <w:color w:val="44546A"/>
          <w:sz w:val="20"/>
          <w:szCs w:val="20"/>
        </w:rPr>
        <w:t xml:space="preserve">An older class, ISInfoAny, provides similar generic-access functionality but is explicitly documented as deprecated in favour of ISInfoDynAny in the current repository.</w:t>
      </w:r>
    </w:p>
    <w:p>
      <w:pPr>
        <w:spacing w:after="160" w:line="276"/>
      </w:pPr>
      <w:r>
        <w:rPr>
          <w:rFonts w:ascii="Calibri" w:cs="Calibri" w:eastAsia="Calibri" w:hAnsi="Calibri"/>
          <w:sz w:val="22"/>
          <w:szCs w:val="22"/>
        </w:rPr>
        <w:t xml:space="preserve">A set of command-line utilities, present as working source code in the repository, provide reference implementations of the above API and are directly usable for manual exploration or scripting: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Utility</w:t>
            </w:r>
          </w:p>
        </w:tc>
        <w:tc>
          <w:tcPr>
            <w:tcW w:type="dxa" w:w="7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Function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is_ls</w:t>
            </w:r>
          </w:p>
        </w:tc>
        <w:tc>
          <w:tcPr>
            <w:tcW w:type="dxa" w:w="7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Lists IS servers within a partition and the objects contained within each server, with filters for name pattern, value display, history, tags, and provider identity</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is_write</w:t>
            </w:r>
          </w:p>
        </w:tc>
        <w:tc>
          <w:tcPr>
            <w:tcW w:type="dxa" w:w="7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Publishes or updates an object generically: accepts a type name and a set of named or indexed attribute values, and performs the update via ISInfoDynAny</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is_cmd</w:t>
            </w:r>
          </w:p>
        </w:tc>
        <w:tc>
          <w:tcPr>
            <w:tcW w:type="dxa" w:w="7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Sends a command string to a running information provider</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is_rm</w:t>
            </w:r>
          </w:p>
        </w:tc>
        <w:tc>
          <w:tcPr>
            <w:tcW w:type="dxa" w:w="7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Removes an object from the repository</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ismonitor</w:t>
            </w:r>
          </w:p>
        </w:tc>
        <w:tc>
          <w:tcPr>
            <w:tcW w:type="dxa" w:w="7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Graphical browser for interactive inspection of the repository</w:t>
            </w:r>
          </w:p>
        </w:tc>
      </w:tr>
    </w:tbl>
    <w:p>
      <w:pPr>
        <w:spacing w:after="160"/>
      </w:pPr>
    </w:p>
    <w:p>
      <w:pPr>
        <w:spacing w:after="160" w:line="276"/>
      </w:pPr>
      <w:r>
        <w:rPr>
          <w:rFonts w:ascii="Calibri" w:cs="Calibri" w:eastAsia="Calibri" w:hAnsi="Calibri"/>
          <w:sz w:val="22"/>
          <w:szCs w:val="22"/>
        </w:rPr>
        <w:t xml:space="preserve">No native Python bindings were identified within the inspected repository. The source tree contains C++ implementation and Java implementation (including a pre-built Java archive), together with the command-line and graphical tools built on the C++ API, but no Python module analogous to a first-class client library. This finding is consistent with the equivalent conclusion reached for the Error Reporting System's live-delivery path, which was likewise found to be C++/Java only.</w:t>
      </w:r>
    </w:p>
    <w:p>
      <w:pPr>
        <w:pStyle w:val="Heading2"/>
        <w:spacing w:after="120" w:before="240"/>
      </w:pPr>
      <w:r>
        <w:t xml:space="preserve">6.2 Practical Access from Python</w:t>
      </w:r>
    </w:p>
    <w:p>
      <w:pPr>
        <w:spacing w:after="160" w:line="276"/>
      </w:pPr>
      <w:r>
        <w:rPr>
          <w:rFonts w:ascii="Calibri" w:cs="Calibri" w:eastAsia="Calibri" w:hAnsi="Calibri"/>
          <w:sz w:val="22"/>
          <w:szCs w:val="22"/>
        </w:rPr>
        <w:t xml:space="preserve">Two practical paths exist for a Python-based or MCP-based client, neither of which has a fully confirmed interface at the time of writing:</w:t>
      </w:r>
    </w:p>
    <w:p>
      <w:pPr>
        <w:pStyle w:val="ListParagraph"/>
        <w:pStyle w:val="normalPara"/>
        <w:numPr>
          <w:ilvl w:val="0"/>
          <w:numId w:val="1"/>
        </w:numPr>
        <w:spacing w:after="100" w:line="276"/>
      </w:pPr>
      <w:r>
        <w:t xml:space="preserve">Invoking the existing command-line utilities as subprocesses. This is functional today but is limited to the operations exposed by each utility and is not well suited to structured, high-frequency data exchange.</w:t>
      </w:r>
    </w:p>
    <w:p>
      <w:pPr>
        <w:pStyle w:val="ListParagraph"/>
        <w:pStyle w:val="normalPara"/>
        <w:numPr>
          <w:ilvl w:val="0"/>
          <w:numId w:val="1"/>
        </w:numPr>
        <w:spacing w:after="100" w:line="276"/>
      </w:pPr>
      <w:r>
        <w:t xml:space="preserve">An HTTP/JSON gateway, confirmed to exist in the official TDAQ release notes for release tdaq-11-02-00 (December 2023): a service named webis_server exposes the Information Service, together with the Histogramming and Event Monitoring services, over an HTTP interface returning JSON. A companion client library, webdaq, depends only on curl and a JSON library and can be built independently of the full TDAQ software stack. Configuration is via a single environment variable pointing at a running instance of the gateway. On error, the JSON interface returns a structured error object, which would allow consistent, parseable error handling in a client application.</w:t>
      </w:r>
    </w:p>
    <w:p>
      <w:pPr>
        <w:pBdr>
          <w:left w:val="single" w:color="8497B0" w:sz="12" w:space="8"/>
        </w:pBdr>
        <w:spacing w:after="200" w:before="80"/>
        <w:ind w:left="360"/>
      </w:pPr>
      <w:r>
        <w:rPr>
          <w:rFonts w:ascii="Calibri" w:cs="Calibri" w:eastAsia="Calibri" w:hAnsi="Calibri"/>
          <w:i/>
          <w:iCs/>
          <w:color w:val="44546A"/>
          <w:sz w:val="20"/>
          <w:szCs w:val="20"/>
        </w:rPr>
        <w:t xml:space="preserve">The exact request and response schema of the webis_server HTTP interface — endpoint paths, field names, and whether subscription or streaming behaviour is exposed over HTTP or restricted to point reads — has not been directly inspected during this study. This is identified as the highest-priority open item in Section 9.</w:t>
      </w:r>
    </w:p>
    <w:p>
      <w:r>
        <w:br w:type="page"/>
      </w:r>
    </w:p>
    <w:p>
      <w:pPr>
        <w:pStyle w:val="Heading1"/>
        <w:spacing w:after="160" w:before="320"/>
      </w:pPr>
      <w:r>
        <w:t xml:space="preserve">7. Historical Data Archival (P-BEAST)</w:t>
      </w:r>
    </w:p>
    <w:p>
      <w:pPr>
        <w:spacing w:after="160" w:line="276"/>
      </w:pPr>
      <w:r>
        <w:rPr>
          <w:rFonts w:ascii="Calibri" w:cs="Calibri" w:eastAsia="Calibri" w:hAnsi="Calibri"/>
          <w:sz w:val="22"/>
          <w:szCs w:val="22"/>
        </w:rPr>
        <w:t xml:space="preserve">The Information Service is transient by design: an individual server retains only the current value of each object, plus a bounded history window governed by server-level configuration (see Section 8.3). No component of the Information Service itself provides durable, long-term storage. This role is fulfilled by a separate service, P-BEAST (Persistent Back-End for the ATLAS Information System of TDAQ), whose architecture has been directly confirmed from the published literature.</w:t>
      </w:r>
    </w:p>
    <w:p>
      <w:pPr>
        <w:pStyle w:val="Heading2"/>
        <w:spacing w:after="120" w:before="240"/>
      </w:pPr>
      <w:r>
        <w:t xml:space="preserve">7.1 Confirmed Pipeline</w:t>
      </w:r>
    </w:p>
    <w:p>
      <w:pPr>
        <w:spacing w:after="160" w:line="276"/>
      </w:pPr>
      <w:r>
        <w:rPr>
          <w:rFonts w:ascii="Calibri" w:cs="Calibri" w:eastAsia="Calibri" w:hAnsi="Calibri"/>
          <w:sz w:val="22"/>
          <w:szCs w:val="22"/>
        </w:rPr>
        <w:t xml:space="preserve">The P-BEAST architecture consists of four stages: gathering, filtering, insertion, and retrieval.</w:t>
      </w:r>
    </w:p>
    <w:p>
      <w:pPr>
        <w:pStyle w:val="ListParagraph"/>
        <w:pStyle w:val="normalPara"/>
        <w:numPr>
          <w:ilvl w:val="0"/>
          <w:numId w:val="1"/>
        </w:numPr>
        <w:spacing w:after="100" w:line="276"/>
      </w:pPr>
      <w:r>
        <w:t xml:space="preserve">Gathering: independent gathering agents subscribe, using the standard push-based subscription mechanism described in Section 6.1, to a defined subset of Information Service servers at start-up, and thereafter receive updates continuously as they are published.</w:t>
      </w:r>
    </w:p>
    <w:p>
      <w:pPr>
        <w:pStyle w:val="ListParagraph"/>
        <w:pStyle w:val="normalPara"/>
        <w:numPr>
          <w:ilvl w:val="0"/>
          <w:numId w:val="1"/>
        </w:numPr>
        <w:spacing w:after="100" w:line="276"/>
      </w:pPr>
      <w:r>
        <w:t xml:space="preserve">Filtering: incoming updates pass through a pluggable filter pipeline. A duplicates filter, applied by default, discards repeated values — this exists specifically because the Information Service resends the entire object on every update, including unchanged fields, rather than transmitting only the difference. An optional smoothing filter additionally discards a new numeric value if it falls within a configurable tolerance of the previous one; this filter was measured, in testing, to reduce storage volume by up to 38 per cent.</w:t>
      </w:r>
    </w:p>
    <w:p>
      <w:pPr>
        <w:pStyle w:val="ListParagraph"/>
        <w:pStyle w:val="normalPara"/>
        <w:numPr>
          <w:ilvl w:val="0"/>
          <w:numId w:val="1"/>
        </w:numPr>
        <w:spacing w:after="100" w:line="276"/>
      </w:pPr>
      <w:r>
        <w:t xml:space="preserve">Insertion: filtered data is written into a Cassandra time-series database.</w:t>
      </w:r>
    </w:p>
    <w:p>
      <w:pPr>
        <w:pStyle w:val="ListParagraph"/>
        <w:pStyle w:val="normalPara"/>
        <w:numPr>
          <w:ilvl w:val="0"/>
          <w:numId w:val="1"/>
        </w:numPr>
        <w:spacing w:after="100" w:line="276"/>
      </w:pPr>
      <w:r>
        <w:t xml:space="preserve">Retrieval: P-BEAST exposes a common retrieval API. Simple clients call this API directly; richer clients, such as the ADAM web dashboard, translate incoming HTTP requests into P-BEAST API calls and can return data formatted as JSON, XML, or CSV.</w:t>
      </w:r>
    </w:p>
    <w:p>
      <w:pPr>
        <w:spacing w:after="160" w:line="276"/>
      </w:pPr>
      <w:r>
        <w:rPr>
          <w:rFonts w:ascii="Calibri" w:cs="Calibri" w:eastAsia="Calibri" w:hAnsi="Calibri"/>
          <w:sz w:val="22"/>
          <w:szCs w:val="22"/>
        </w:rPr>
        <w:t xml:space="preserve">A Python client for P-BEAST, exposing a ServerProxy class with CERN Single Sign-On authentication, has been reported in research conducted elsewhere within the project team, but has not been independently inspected during this study. If confirmed, it would represent the natural access path for queries requiring historical Information Service data — for example, “what was the state of this metric one hour into the run” — which fall outside the retention window of a live Information Service server.</w:t>
      </w:r>
    </w:p>
    <w:p>
      <w:r>
        <w:br w:type="page"/>
      </w:r>
    </w:p>
    <w:p>
      <w:pPr>
        <w:pStyle w:val="Heading1"/>
        <w:spacing w:after="160" w:before="320"/>
      </w:pPr>
      <w:r>
        <w:t xml:space="preserve">8. Operational Scale and Default Configuration</w:t>
      </w:r>
    </w:p>
    <w:p>
      <w:pPr>
        <w:pStyle w:val="Heading2"/>
        <w:spacing w:after="120" w:before="240"/>
      </w:pPr>
      <w:r>
        <w:t xml:space="preserve">8.1 Confirmed Figures</w:t>
      </w:r>
    </w:p>
    <w:p>
      <w:pPr>
        <w:spacing w:after="160" w:line="276"/>
      </w:pPr>
      <w:r>
        <w:rPr>
          <w:rFonts w:ascii="Calibri" w:cs="Calibri" w:eastAsia="Calibri" w:hAnsi="Calibri"/>
          <w:sz w:val="22"/>
          <w:szCs w:val="22"/>
        </w:rPr>
        <w:t xml:space="preserve">The following figures have been confirmed directly against the sources listed in Section 3:</w:t>
      </w:r>
    </w:p>
    <w:p>
      <w:pPr>
        <w:pStyle w:val="ListParagraph"/>
        <w:pStyle w:val="normalPara"/>
        <w:numPr>
          <w:ilvl w:val="0"/>
          <w:numId w:val="1"/>
        </w:numPr>
        <w:spacing w:after="100" w:line="276"/>
      </w:pPr>
      <w:r>
        <w:t xml:space="preserve">P-BEAST's production and test configuration processes data from 87 Information Service servers designated as “of interest,” corresponding to the central DAQ and Trigger systems, using 6 gathering agents and a 3-node Cassandra cluster.</w:t>
      </w:r>
    </w:p>
    <w:p>
      <w:pPr>
        <w:pStyle w:val="ListParagraph"/>
        <w:pStyle w:val="normalPara"/>
        <w:numPr>
          <w:ilvl w:val="0"/>
          <w:numId w:val="1"/>
        </w:numPr>
        <w:spacing w:after="100" w:line="276"/>
      </w:pPr>
      <w:r>
        <w:t xml:space="preserve">The optional smoothing filter was measured to reduce archival storage volume by up to 38 per cent.</w:t>
      </w:r>
    </w:p>
    <w:p>
      <w:pPr>
        <w:pStyle w:val="ListParagraph"/>
        <w:pStyle w:val="normalPara"/>
        <w:numPr>
          <w:ilvl w:val="0"/>
          <w:numId w:val="1"/>
        </w:numPr>
        <w:spacing w:after="100" w:line="276"/>
      </w:pPr>
      <w:r>
        <w:t xml:space="preserve">The overall TDAQ deployment operates on the order of 3,000 computers running approximately 20,000 to 25,000 applications; the precise figures vary slightly between publications and over time as the system has evolved.</w:t>
      </w:r>
    </w:p>
    <w:p>
      <w:pPr>
        <w:pStyle w:val="Heading2"/>
        <w:spacing w:after="120" w:before="240"/>
      </w:pPr>
      <w:r>
        <w:t xml:space="preserve">8.2 Server Default Configuration</w:t>
      </w:r>
    </w:p>
    <w:p>
      <w:pPr>
        <w:spacing w:after="160" w:line="276"/>
      </w:pPr>
      <w:r>
        <w:rPr>
          <w:rFonts w:ascii="Calibri" w:cs="Calibri" w:eastAsia="Calibri" w:hAnsi="Calibri"/>
          <w:sz w:val="22"/>
          <w:szCs w:val="22"/>
        </w:rPr>
        <w:t xml:space="preserve">The following default operating parameters were confirmed directly from the server implementation source code, and are each configurable per server instance via environment variable: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600"/>
      </w:tblGrid>
      <w:tr>
        <w:trPr>
          <w:tblHeader/>
        </w:trPr>
        <w:tc>
          <w:tcPr>
            <w:tcW w:type="dxa" w:w="3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Parameter</w:t>
            </w:r>
          </w:p>
        </w:tc>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Default Value</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Environment Variable</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History depth (versions retained per object)</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 (“–1” denotes unlimited)</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IS_SERVER_HISTORY_DEPTH</w:t>
            </w:r>
          </w:p>
        </w:tc>
      </w:tr>
      <w:tr>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History time range</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Approximately 1,000 hours</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IS_SERVER_HISTORY_TIME_RANGE</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Worker threads</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16</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IS_SERVER_WORKER_THREADS</w:t>
            </w:r>
          </w:p>
        </w:tc>
      </w:tr>
      <w:tr>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Callback delivery timeout</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 milliseconds</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(set via omniORB client call timeout)</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Maximum tolerated callback timeouts before a subscriber is dropped</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IS_SERVER_MAX_TOLERATED_TIMEOUTS</w:t>
            </w:r>
          </w:p>
        </w:tc>
      </w:tr>
      <w:tr>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Maximum callback queue size</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100,000</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IS_SERVER_MAX_QUEUE_SIZE</w:t>
            </w:r>
          </w:p>
        </w:tc>
      </w:tr>
    </w:tbl>
    <w:p>
      <w:pPr>
        <w:spacing w:after="160"/>
      </w:pPr>
    </w:p>
    <w:p>
      <w:pPr>
        <w:pStyle w:val="Heading2"/>
        <w:spacing w:after="120" w:before="240"/>
      </w:pPr>
      <w:r>
        <w:t xml:space="preserve">8.3 Figures Reported but Not Independently Verified in This Study</w:t>
      </w:r>
    </w:p>
    <w:p>
      <w:pPr>
        <w:spacing w:after="160" w:line="276"/>
      </w:pPr>
      <w:r>
        <w:rPr>
          <w:rFonts w:ascii="Calibri" w:cs="Calibri" w:eastAsia="Calibri" w:hAnsi="Calibri"/>
          <w:sz w:val="22"/>
          <w:szCs w:val="22"/>
        </w:rPr>
        <w:t xml:space="preserve">The following figures were surfaced during earlier research conducted within the project and are recorded here for completeness. They are plausible and broadly consistent with the confirmed figures above, but should be re-checked against the original source material or a live test partition before being cited as established fact in a project deliverable:</w:t>
      </w:r>
    </w:p>
    <w:p>
      <w:pPr>
        <w:pStyle w:val="ListParagraph"/>
        <w:pStyle w:val="normalPara"/>
        <w:numPr>
          <w:ilvl w:val="0"/>
          <w:numId w:val="1"/>
        </w:numPr>
        <w:spacing w:after="100" w:line="276"/>
      </w:pPr>
      <w:r>
        <w:t xml:space="preserve">Approximately 230 total Information Service servers across the full application farm, as distinct from the 87 servers of specific interest to P-BEAST, which is confirmed.</w:t>
      </w:r>
    </w:p>
    <w:p>
      <w:pPr>
        <w:pStyle w:val="ListParagraph"/>
        <w:pStyle w:val="normalPara"/>
        <w:numPr>
          <w:ilvl w:val="0"/>
          <w:numId w:val="1"/>
        </w:numPr>
        <w:spacing w:after="100" w:line="276"/>
      </w:pPr>
      <w:r>
        <w:t xml:space="preserve">Approximately 200,000 information objects, comprising approximately 2,000,000 individual variables, across the 87 servers of interest.</w:t>
      </w:r>
    </w:p>
    <w:p>
      <w:pPr>
        <w:pStyle w:val="ListParagraph"/>
        <w:pStyle w:val="normalPara"/>
        <w:numPr>
          <w:ilvl w:val="0"/>
          <w:numId w:val="1"/>
        </w:numPr>
        <w:spacing w:after="100" w:line="276"/>
      </w:pPr>
      <w:r>
        <w:t xml:space="preserve">Peak update rates reaching tens of thousands of updates per second on certain servers, with a measured average of approximately 9,200 update transactions per second across the six gathering agents.</w:t>
      </w:r>
    </w:p>
    <w:p>
      <w:pPr>
        <w:pStyle w:val="ListParagraph"/>
        <w:pStyle w:val="normalPara"/>
        <w:numPr>
          <w:ilvl w:val="0"/>
          <w:numId w:val="1"/>
        </w:numPr>
        <w:spacing w:after="100" w:line="276"/>
      </w:pPr>
      <w:r>
        <w:t xml:space="preserve">Early performance testing reportedly demonstrated a single Information Service instance handling up to 1,000 information providers, each updating once per second, alongside 15 concurrent information consumers.</w:t>
      </w:r>
    </w:p>
    <w:p>
      <w:r>
        <w:br w:type="page"/>
      </w:r>
    </w:p>
    <w:p>
      <w:pPr>
        <w:pStyle w:val="Heading1"/>
        <w:spacing w:after="160" w:before="320"/>
      </w:pPr>
      <w:r>
        <w:t xml:space="preserve">9. Open Items and Areas Requiring Further Verification</w:t>
      </w:r>
    </w:p>
    <w:p>
      <w:pPr>
        <w:spacing w:after="160" w:line="276"/>
      </w:pPr>
      <w:r>
        <w:rPr>
          <w:rFonts w:ascii="Calibri" w:cs="Calibri" w:eastAsia="Calibri" w:hAnsi="Calibri"/>
          <w:sz w:val="22"/>
          <w:szCs w:val="22"/>
        </w:rPr>
        <w:t xml:space="preserve">The following items remain open at the conclusion of this study and are recommended as the immediate next steps prior to finalising an agent architecture:</w:t>
      </w:r>
    </w:p>
    <w:p>
      <w:pPr>
        <w:pStyle w:val="Heading2"/>
        <w:spacing w:after="120" w:before="240"/>
      </w:pPr>
      <w:r>
        <w:t xml:space="preserve">9.1 High Priority</w:t>
      </w:r>
    </w:p>
    <w:p>
      <w:pPr>
        <w:pStyle w:val="ListParagraph"/>
        <w:pStyle w:val="normalPara"/>
        <w:numPr>
          <w:ilvl w:val="0"/>
          <w:numId w:val="1"/>
        </w:numPr>
        <w:spacing w:after="100" w:line="276"/>
      </w:pPr>
      <w:r>
        <w:t xml:space="preserve">Confirmation of the webis_server HTTP/JSON interface: the specific endpoint paths, request and response field structures, and whether subscription or streaming access is available over HTTP, or whether the gateway is restricted to point-in-time reads. This determines whether a Python-based agent can achieve live, push-based updates without an intermediary bridge process.</w:t>
      </w:r>
    </w:p>
    <w:p>
      <w:pPr>
        <w:pStyle w:val="ListParagraph"/>
        <w:pStyle w:val="normalPara"/>
        <w:numPr>
          <w:ilvl w:val="0"/>
          <w:numId w:val="1"/>
        </w:numPr>
        <w:spacing w:after="100" w:line="276"/>
      </w:pPr>
      <w:r>
        <w:t xml:space="preserve">Determination of whether a live-subscription capability is reachable from Python without a bridge process. If the HTTP gateway does not expose subscriptions, the only push-based option would be a dedicated, always-running C++ or Java ingestion process — architecturally similar to a P-BEAST gathering agent — feeding a Python-facing interface.</w:t>
      </w:r>
    </w:p>
    <w:p>
      <w:pPr>
        <w:pStyle w:val="Heading2"/>
        <w:spacing w:after="120" w:before="240"/>
      </w:pPr>
      <w:r>
        <w:t xml:space="preserve">9.2 Medium Priority</w:t>
      </w:r>
    </w:p>
    <w:p>
      <w:pPr>
        <w:pStyle w:val="ListParagraph"/>
        <w:pStyle w:val="normalPara"/>
        <w:numPr>
          <w:ilvl w:val="0"/>
          <w:numId w:val="1"/>
        </w:numPr>
        <w:spacing w:after="100" w:line="276"/>
      </w:pPr>
      <w:r>
        <w:t xml:space="preserve">Confirmation of the P-BEAST retrieval API, including specific endpoints, the authentication flow for the reported Python client, and whether it can be queried directly from an automated script or requires an interactive, browser-based authentication step.</w:t>
      </w:r>
    </w:p>
    <w:p>
      <w:pPr>
        <w:pStyle w:val="ListParagraph"/>
        <w:pStyle w:val="normalPara"/>
        <w:numPr>
          <w:ilvl w:val="0"/>
          <w:numId w:val="1"/>
        </w:numPr>
        <w:spacing w:after="100" w:line="276"/>
      </w:pPr>
      <w:r>
        <w:t xml:space="preserve">Re-verification of the operational scale figures listed in Section 8.3 against the original source material or a live test partition.</w:t>
      </w:r>
    </w:p>
    <w:p>
      <w:pPr>
        <w:pStyle w:val="Heading2"/>
        <w:spacing w:after="120" w:before="240"/>
      </w:pPr>
      <w:r>
        <w:t xml:space="preserve">9.3 Architectural Considerations for Design Phase</w:t>
      </w:r>
    </w:p>
    <w:p>
      <w:pPr>
        <w:pStyle w:val="ListParagraph"/>
        <w:pStyle w:val="normalPara"/>
        <w:numPr>
          <w:ilvl w:val="0"/>
          <w:numId w:val="1"/>
        </w:numPr>
        <w:spacing w:after="100" w:line="276"/>
      </w:pPr>
      <w:r>
        <w:t xml:space="preserve">The Information Service provides no global, cross-server search capability. Discovery of relevant objects is inherently server-scoped, requiring enumeration of servers followed by filtered browsing within each. Any agent intended to resolve natural-language queries against unfamiliar object names will require its own discovery or indexing layer built on top of these primitives.</w:t>
      </w:r>
    </w:p>
    <w:p>
      <w:pPr>
        <w:pStyle w:val="ListParagraph"/>
        <w:pStyle w:val="normalPara"/>
        <w:numPr>
          <w:ilvl w:val="0"/>
          <w:numId w:val="1"/>
        </w:numPr>
        <w:spacing w:after="100" w:line="276"/>
      </w:pPr>
      <w:r>
        <w:t xml:space="preserve">The full-object-update behaviour, whereby every update transmits the complete object regardless of which fields actually changed, is confirmed as the underlying motivation for P-BEAST's duplicate-filtering stage. Its practical impact on subscription traffic volume for any specific object of interest has not yet been measured directly and should be tested against a live partition.</w:t>
      </w:r>
    </w:p>
    <w:p>
      <w:r>
        <w:br w:type="page"/>
      </w:r>
    </w:p>
    <w:p>
      <w:pPr>
        <w:pStyle w:val="Heading1"/>
        <w:spacing w:after="160" w:before="320"/>
      </w:pPr>
      <w:r>
        <w:t xml:space="preserve">10. Summary and Recommendations for Next Steps</w:t>
      </w:r>
    </w:p>
    <w:p>
      <w:pPr>
        <w:spacing w:after="160" w:line="276"/>
      </w:pPr>
      <w:r>
        <w:rPr>
          <w:rFonts w:ascii="Calibri" w:cs="Calibri" w:eastAsia="Calibri" w:hAnsi="Calibri"/>
          <w:sz w:val="22"/>
          <w:szCs w:val="22"/>
        </w:rPr>
        <w:t xml:space="preserve">This study has established a verified, code-grounded understanding of the Information Service sufficient to inform the subsequent design of a DAQ-agent. The principal findings are summarised as follows:</w:t>
      </w:r>
    </w:p>
    <w:p>
      <w:pPr>
        <w:pStyle w:val="ListParagraph"/>
        <w:pStyle w:val="normalPara"/>
        <w:numPr>
          <w:ilvl w:val="0"/>
          <w:numId w:val="1"/>
        </w:numPr>
        <w:spacing w:after="100" w:line="276"/>
      </w:pPr>
      <w:r>
        <w:t xml:space="preserve">The complete data model, naming convention, and CORBA interface of the Information Service have been confirmed directly from source code, providing a concrete specification against which any proposed agent capability can be mapped.</w:t>
      </w:r>
    </w:p>
    <w:p>
      <w:pPr>
        <w:pStyle w:val="ListParagraph"/>
        <w:pStyle w:val="normalPara"/>
        <w:numPr>
          <w:ilvl w:val="0"/>
          <w:numId w:val="1"/>
        </w:numPr>
        <w:spacing w:after="100" w:line="276"/>
      </w:pPr>
      <w:r>
        <w:t xml:space="preserve">Live access to the Information Service is confirmed to be available in C++ and Java only. No native Python client was found in the inspected repository.</w:t>
      </w:r>
    </w:p>
    <w:p>
      <w:pPr>
        <w:pStyle w:val="ListParagraph"/>
        <w:pStyle w:val="normalPara"/>
        <w:numPr>
          <w:ilvl w:val="0"/>
          <w:numId w:val="1"/>
        </w:numPr>
        <w:spacing w:after="100" w:line="276"/>
      </w:pPr>
      <w:r>
        <w:t xml:space="preserve">The most promising path toward Python or MCP-based access is the HTTP/JSON gateway (webis_server / webdaq), whose precise interface remains to be confirmed and constitutes the principal recommended next step.</w:t>
      </w:r>
    </w:p>
    <w:p>
      <w:pPr>
        <w:pStyle w:val="ListParagraph"/>
        <w:pStyle w:val="normalPara"/>
        <w:numPr>
          <w:ilvl w:val="0"/>
          <w:numId w:val="1"/>
        </w:numPr>
        <w:spacing w:after="100" w:line="276"/>
      </w:pPr>
      <w:r>
        <w:t xml:space="preserve">The Information Service itself provides no durable archival capability; this is the responsibility of the separate P-BEAST service, whose architecture has been confirmed and which may warrant its own brief follow-up verification for the purposes of historical-data queries.</w:t>
      </w:r>
    </w:p>
    <w:p>
      <w:pPr>
        <w:pStyle w:val="ListParagraph"/>
        <w:pStyle w:val="normalPara"/>
        <w:numPr>
          <w:ilvl w:val="0"/>
          <w:numId w:val="1"/>
        </w:numPr>
        <w:spacing w:after="100" w:line="276"/>
      </w:pPr>
      <w:r>
        <w:t xml:space="preserve">A small number of operational figures remain unverified against primary sources and are flagged accordingly; these should be confirmed before inclusion in any formal architecture or deliverable document.</w:t>
      </w:r>
    </w:p>
    <w:p>
      <w:pPr>
        <w:spacing w:after="160" w:line="276"/>
      </w:pPr>
      <w:r>
        <w:rPr>
          <w:rFonts w:ascii="Calibri" w:cs="Calibri" w:eastAsia="Calibri" w:hAnsi="Calibri"/>
          <w:sz w:val="22"/>
          <w:szCs w:val="22"/>
        </w:rPr>
        <w:t xml:space="preserve">It is recommended that the immediate next step be a direct inspection of the webis_server source repository and, where accessible, a live test partition, in order to close the high-priority open items identified in Section 9.1. This would allow the project team to make a confident, evidence-based decision on the transport layer underpinning the shared MCP framework being developed under DAQ-WP2.</w:t>
      </w:r>
    </w:p>
    <w:sectPr>
      <w:headerReference w:type="default" r:id="rId7"/>
      <w:headerReference w:type="first" r:id="rId8"/>
      <w:footerReference w:type="default" r:id="rId9"/>
      <w:footerReference w:type="first" r:id="rId10"/>
      <w:pgSz w:w="12240" w:h="15840" w:orient="portrait"/>
      <w:pgMar w:top="1440" w:right="1350" w:bottom="1440" w:left="13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rFonts w:ascii="Calibri" w:cs="Calibri" w:eastAsia="Calibri" w:hAnsi="Calibri"/>
        <w:color w:val="808080"/>
        <w:sz w:val="16"/>
        <w:szCs w:val="16"/>
      </w:rPr>
      <w:t xml:space="preserve">Information Service (IS) — Technical Service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Para">
    <w:name w:val="Normal Para"/>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2026-08-21T10:32:31.444Z</dcterms:created>
  <dcterms:modified xsi:type="dcterms:W3CDTF">2026-08-21T10:32:31.445Z</dcterms:modified>
</cp:coreProperties>
</file>

<file path=docProps/custom.xml><?xml version="1.0" encoding="utf-8"?>
<Properties xmlns="http://schemas.openxmlformats.org/officeDocument/2006/custom-properties" xmlns:vt="http://schemas.openxmlformats.org/officeDocument/2006/docPropsVTypes"/>
</file>