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DFA0" w14:textId="77777777" w:rsidR="0027048D" w:rsidRDefault="0027048D">
      <w:pPr>
        <w:spacing w:after="2400"/>
      </w:pPr>
    </w:p>
    <w:p w14:paraId="1B6CB027" w14:textId="77777777" w:rsidR="0027048D" w:rsidRDefault="00000000">
      <w:pPr>
        <w:jc w:val="center"/>
      </w:pPr>
      <w:r>
        <w:rPr>
          <w:b/>
          <w:bCs/>
          <w:color w:val="1B4F72"/>
          <w:sz w:val="56"/>
          <w:szCs w:val="56"/>
        </w:rPr>
        <w:t>FINANCIAL OPERATIONS</w:t>
      </w:r>
    </w:p>
    <w:p w14:paraId="33AE9665" w14:textId="77777777" w:rsidR="0027048D" w:rsidRDefault="00000000"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>ANALYTICS</w:t>
      </w:r>
    </w:p>
    <w:p w14:paraId="4BCC6C72" w14:textId="77777777" w:rsidR="0027048D" w:rsidRDefault="0027048D">
      <w:pPr>
        <w:pBdr>
          <w:top w:val="single" w:sz="6" w:space="8" w:color="2E86C1"/>
        </w:pBdr>
        <w:spacing w:after="80"/>
        <w:jc w:val="center"/>
      </w:pPr>
    </w:p>
    <w:p w14:paraId="7C691D63" w14:textId="77777777" w:rsidR="0027048D" w:rsidRDefault="00000000">
      <w:pPr>
        <w:spacing w:after="120"/>
        <w:jc w:val="center"/>
      </w:pPr>
      <w:r>
        <w:rPr>
          <w:color w:val="2E86C1"/>
          <w:sz w:val="24"/>
          <w:szCs w:val="24"/>
        </w:rPr>
        <w:t>U.S. Superstore  |  Revenue, Profitability &amp; Customer Churn Analysis</w:t>
      </w:r>
    </w:p>
    <w:p w14:paraId="67996635" w14:textId="77777777" w:rsidR="0027048D" w:rsidRDefault="0027048D">
      <w:pPr>
        <w:pBdr>
          <w:bottom w:val="single" w:sz="6" w:space="8" w:color="2E86C1"/>
        </w:pBdr>
        <w:jc w:val="center"/>
      </w:pPr>
    </w:p>
    <w:p w14:paraId="02F2FA37" w14:textId="77777777" w:rsidR="0027048D" w:rsidRDefault="0027048D">
      <w:pPr>
        <w:spacing w:after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048D" w14:paraId="51020EF2" w14:textId="77777777"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5C63B" w14:textId="77777777" w:rsidR="0027048D" w:rsidRDefault="00000000">
            <w:pPr>
              <w:jc w:val="center"/>
            </w:pPr>
            <w:r>
              <w:rPr>
                <w:b/>
                <w:bCs/>
                <w:color w:val="1B4F72"/>
                <w:sz w:val="36"/>
                <w:szCs w:val="36"/>
              </w:rPr>
              <w:t>$2.3M</w:t>
            </w:r>
          </w:p>
          <w:p w14:paraId="47428C65" w14:textId="77777777" w:rsidR="0027048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Total Sales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0C9B1" w14:textId="77777777" w:rsidR="0027048D" w:rsidRDefault="00000000">
            <w:pPr>
              <w:jc w:val="center"/>
            </w:pPr>
            <w:r>
              <w:rPr>
                <w:b/>
                <w:bCs/>
                <w:color w:val="1B4F72"/>
                <w:sz w:val="36"/>
                <w:szCs w:val="36"/>
              </w:rPr>
              <w:t>$286K</w:t>
            </w:r>
          </w:p>
          <w:p w14:paraId="221684B0" w14:textId="77777777" w:rsidR="0027048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Total Profit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D114E" w14:textId="77777777" w:rsidR="0027048D" w:rsidRDefault="00000000">
            <w:pPr>
              <w:jc w:val="center"/>
            </w:pPr>
            <w:r>
              <w:rPr>
                <w:b/>
                <w:bCs/>
                <w:color w:val="1B4F72"/>
                <w:sz w:val="36"/>
                <w:szCs w:val="36"/>
              </w:rPr>
              <w:t>0.848</w:t>
            </w:r>
          </w:p>
          <w:p w14:paraId="25BDAE1C" w14:textId="77777777" w:rsidR="0027048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Churn Model AUC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D3AAA" w14:textId="77777777" w:rsidR="0027048D" w:rsidRDefault="00000000">
            <w:pPr>
              <w:jc w:val="center"/>
            </w:pPr>
            <w:r>
              <w:rPr>
                <w:b/>
                <w:bCs/>
                <w:color w:val="1B4F72"/>
                <w:sz w:val="36"/>
                <w:szCs w:val="36"/>
              </w:rPr>
              <w:t>$70–115K</w:t>
            </w:r>
          </w:p>
          <w:p w14:paraId="74508B6F" w14:textId="77777777" w:rsidR="0027048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Est. Profit Uplift/Year</w:t>
            </w:r>
          </w:p>
        </w:tc>
      </w:tr>
    </w:tbl>
    <w:p w14:paraId="570429DD" w14:textId="77777777" w:rsidR="0027048D" w:rsidRDefault="0027048D">
      <w:pPr>
        <w:spacing w:after="800"/>
      </w:pPr>
    </w:p>
    <w:p w14:paraId="55C6D5DB" w14:textId="77777777" w:rsidR="0027048D" w:rsidRDefault="00000000">
      <w:pPr>
        <w:spacing w:after="60"/>
        <w:jc w:val="center"/>
      </w:pPr>
      <w:r>
        <w:rPr>
          <w:b/>
          <w:bCs/>
          <w:color w:val="333333"/>
          <w:sz w:val="26"/>
          <w:szCs w:val="26"/>
        </w:rPr>
        <w:t>Niraj Mehta</w:t>
      </w:r>
    </w:p>
    <w:p w14:paraId="480712D7" w14:textId="77777777" w:rsidR="0027048D" w:rsidRDefault="00000000">
      <w:pPr>
        <w:spacing w:after="40"/>
        <w:jc w:val="center"/>
      </w:pPr>
      <w:r>
        <w:rPr>
          <w:color w:val="666666"/>
          <w:sz w:val="20"/>
          <w:szCs w:val="20"/>
        </w:rPr>
        <w:t>MS Engineering Management  |  Northeastern University</w:t>
      </w:r>
    </w:p>
    <w:p w14:paraId="4DDAD1B4" w14:textId="2B45669C" w:rsidR="0027048D" w:rsidRDefault="00000000" w:rsidP="00412F7C">
      <w:pPr>
        <w:spacing w:after="40"/>
        <w:jc w:val="center"/>
        <w:sectPr w:rsidR="0027048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color w:val="666666"/>
          <w:sz w:val="20"/>
          <w:szCs w:val="20"/>
        </w:rPr>
        <w:t xml:space="preserve">nirajmehta960@gmail.com  |  </w:t>
      </w:r>
      <w:hyperlink r:id="rId7" w:history="1">
        <w:r w:rsidR="0027048D">
          <w:rPr>
            <w:rStyle w:val="Hyperlink"/>
            <w:sz w:val="20"/>
            <w:szCs w:val="20"/>
          </w:rPr>
          <w:t>GitHub</w:t>
        </w:r>
      </w:hyperlink>
      <w:r>
        <w:rPr>
          <w:color w:val="666666"/>
          <w:sz w:val="20"/>
          <w:szCs w:val="20"/>
        </w:rPr>
        <w:t xml:space="preserve">  |  </w:t>
      </w:r>
      <w:hyperlink r:id="rId8" w:history="1">
        <w:r w:rsidR="0027048D">
          <w:rPr>
            <w:rStyle w:val="Hyperlink"/>
            <w:sz w:val="20"/>
            <w:szCs w:val="20"/>
          </w:rPr>
          <w:t>LinkedIn</w:t>
        </w:r>
      </w:hyperlink>
    </w:p>
    <w:p w14:paraId="5EABD163" w14:textId="77777777" w:rsidR="0027048D" w:rsidRDefault="00000000" w:rsidP="00412F7C">
      <w:pPr>
        <w:pStyle w:val="Heading1"/>
        <w:spacing w:before="0"/>
      </w:pPr>
      <w:r>
        <w:lastRenderedPageBreak/>
        <w:t>1. Executive Summary</w:t>
      </w:r>
    </w:p>
    <w:p w14:paraId="2F9BC329" w14:textId="6177C405" w:rsidR="0027048D" w:rsidRDefault="00000000" w:rsidP="00C31B1F">
      <w:pPr>
        <w:spacing w:after="120"/>
        <w:jc w:val="both"/>
      </w:pPr>
      <w:r>
        <w:rPr>
          <w:color w:val="333333"/>
        </w:rPr>
        <w:t xml:space="preserve">Retail businesses need to understand not just </w:t>
      </w:r>
      <w:proofErr w:type="gramStart"/>
      <w:r>
        <w:rPr>
          <w:color w:val="333333"/>
        </w:rPr>
        <w:t>revenue</w:t>
      </w:r>
      <w:proofErr w:type="gramEnd"/>
      <w:r>
        <w:rPr>
          <w:color w:val="333333"/>
        </w:rPr>
        <w:t xml:space="preserve"> but where they make or lose money. This project analyzes four years of transactional data (2014–2017) from a U.S. Superstore operating across Furniture, Office Supplies, and Technology categories in all 50 states. The analysis is structured around three pillars:</w:t>
      </w:r>
    </w:p>
    <w:p w14:paraId="059AD331" w14:textId="77777777" w:rsidR="0027048D" w:rsidRDefault="00000000" w:rsidP="00C31B1F"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color w:val="333333"/>
        </w:rPr>
        <w:t>Revenue Analysis &amp; Forecasting</w:t>
      </w:r>
      <w:r>
        <w:rPr>
          <w:color w:val="333333"/>
        </w:rPr>
        <w:t xml:space="preserve"> — trends, decomposition, 3–</w:t>
      </w:r>
      <w:proofErr w:type="gramStart"/>
      <w:r>
        <w:rPr>
          <w:color w:val="333333"/>
        </w:rPr>
        <w:t>6 month</w:t>
      </w:r>
      <w:proofErr w:type="gramEnd"/>
      <w:r>
        <w:rPr>
          <w:color w:val="333333"/>
        </w:rPr>
        <w:t xml:space="preserve"> forecast</w:t>
      </w:r>
    </w:p>
    <w:p w14:paraId="1FA4AEDF" w14:textId="77777777" w:rsidR="0027048D" w:rsidRDefault="00000000" w:rsidP="00C31B1F"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color w:val="333333"/>
        </w:rPr>
        <w:t>Profitability Deep-Dive</w:t>
      </w:r>
      <w:r>
        <w:rPr>
          <w:color w:val="333333"/>
        </w:rPr>
        <w:t xml:space="preserve"> — sub-category P&amp;L, discount–profit analysis, regional/segment performance</w:t>
      </w:r>
    </w:p>
    <w:p w14:paraId="0BD5555A" w14:textId="77777777" w:rsidR="0027048D" w:rsidRDefault="00000000" w:rsidP="00C31B1F">
      <w:pPr>
        <w:pStyle w:val="ListParagraph"/>
        <w:numPr>
          <w:ilvl w:val="0"/>
          <w:numId w:val="2"/>
        </w:numPr>
        <w:spacing w:after="120"/>
        <w:jc w:val="both"/>
      </w:pPr>
      <w:r>
        <w:rPr>
          <w:b/>
          <w:bCs/>
          <w:color w:val="333333"/>
        </w:rPr>
        <w:t>Customer Churn Prediction</w:t>
      </w:r>
      <w:r>
        <w:rPr>
          <w:color w:val="333333"/>
        </w:rPr>
        <w:t xml:space="preserve"> — churn rate (365-day inactivity), behavioral drivers, classification model (AUC-ROC target ≥ 0.70)</w:t>
      </w:r>
    </w:p>
    <w:p w14:paraId="12381F99" w14:textId="77777777" w:rsidR="0027048D" w:rsidRDefault="00000000" w:rsidP="00C31B1F">
      <w:pPr>
        <w:spacing w:after="120"/>
        <w:jc w:val="both"/>
      </w:pPr>
      <w:r>
        <w:rPr>
          <w:color w:val="333333"/>
        </w:rPr>
        <w:t>The dataset includes actual profit per transaction, enabling true P&amp;L analysis rather than revenue-only tracking. The best churn model achieved 0.848 AUC-ROC (Logistic Regression), exceeding the 0.70 target. The primary recommendation — capping standard discounts at 20% — is projected to improve annual profit by $50K–$80K, with a combined improvement of $70K–$115K/year across all initiatives.</w:t>
      </w:r>
    </w:p>
    <w:p w14:paraId="0E20EDC4" w14:textId="77777777" w:rsidR="0027048D" w:rsidRDefault="0027048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380"/>
        <w:gridCol w:w="5380"/>
      </w:tblGrid>
      <w:tr w:rsidR="0027048D" w14:paraId="30AD7A44" w14:textId="77777777"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E2460" w14:textId="77777777" w:rsidR="0027048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6407D" w14:textId="77777777" w:rsidR="0027048D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5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4FA26" w14:textId="77777777" w:rsidR="0027048D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7048D" w14:paraId="01AC845E" w14:textId="77777777"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86337" w14:textId="77777777" w:rsidR="0027048D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E6A9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~$2.3M sales, ~$286K profit</w:t>
            </w:r>
          </w:p>
        </w:tc>
        <w:tc>
          <w:tcPr>
            <w:tcW w:w="5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7A548" w14:textId="77777777" w:rsidR="0027048D" w:rsidRDefault="00000000">
            <w:r>
              <w:rPr>
                <w:color w:val="333333"/>
                <w:sz w:val="20"/>
                <w:szCs w:val="20"/>
              </w:rPr>
              <w:t>~12.5% margin; Tables, Bookcases, and Supplies at net loss</w:t>
            </w:r>
          </w:p>
        </w:tc>
      </w:tr>
      <w:tr w:rsidR="0027048D" w14:paraId="39844043" w14:textId="77777777"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A905" w14:textId="77777777" w:rsidR="0027048D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6F85E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Discount cliff at 20%</w:t>
            </w:r>
          </w:p>
        </w:tc>
        <w:tc>
          <w:tcPr>
            <w:tcW w:w="5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E692" w14:textId="77777777" w:rsidR="0027048D" w:rsidRDefault="00000000">
            <w:r>
              <w:rPr>
                <w:color w:val="333333"/>
                <w:sz w:val="20"/>
                <w:szCs w:val="20"/>
              </w:rPr>
              <w:t>Beyond ~20% discount, profit margins collapse; 40%+ discounts largely unprofitable</w:t>
            </w:r>
          </w:p>
        </w:tc>
      </w:tr>
      <w:tr w:rsidR="0027048D" w14:paraId="790595F4" w14:textId="77777777"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22049" w14:textId="77777777" w:rsidR="0027048D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D511B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Churn drivers identified</w:t>
            </w:r>
          </w:p>
        </w:tc>
        <w:tc>
          <w:tcPr>
            <w:tcW w:w="5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D68AD" w14:textId="77777777" w:rsidR="0027048D" w:rsidRDefault="00000000">
            <w:r>
              <w:rPr>
                <w:color w:val="333333"/>
                <w:sz w:val="20"/>
                <w:szCs w:val="20"/>
              </w:rPr>
              <w:t>Order frequency, category breadth, discount level, and customer segment</w:t>
            </w:r>
          </w:p>
        </w:tc>
      </w:tr>
      <w:tr w:rsidR="0027048D" w14:paraId="497EA111" w14:textId="77777777"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9B10" w14:textId="77777777" w:rsidR="0027048D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7A488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Top recommendation</w:t>
            </w:r>
          </w:p>
        </w:tc>
        <w:tc>
          <w:tcPr>
            <w:tcW w:w="5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C894" w14:textId="77777777" w:rsidR="0027048D" w:rsidRDefault="00000000">
            <w:r>
              <w:rPr>
                <w:color w:val="333333"/>
                <w:sz w:val="20"/>
                <w:szCs w:val="20"/>
              </w:rPr>
              <w:t>Cap standard discounts at 20%; est. profit improvement $50K–$80K/year</w:t>
            </w:r>
          </w:p>
        </w:tc>
      </w:tr>
    </w:tbl>
    <w:p w14:paraId="19F5F813" w14:textId="77777777" w:rsidR="0027048D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Table 1: Key Findings Summary</w:t>
      </w:r>
    </w:p>
    <w:p w14:paraId="0C3A9DCA" w14:textId="77777777" w:rsidR="0027048D" w:rsidRDefault="00000000">
      <w:r>
        <w:br w:type="page"/>
      </w:r>
    </w:p>
    <w:p w14:paraId="3FC3FA4B" w14:textId="77777777" w:rsidR="0027048D" w:rsidRDefault="00000000">
      <w:pPr>
        <w:pStyle w:val="Heading1"/>
      </w:pPr>
      <w:r>
        <w:lastRenderedPageBreak/>
        <w:t>2. Data Source &amp; Methodology</w:t>
      </w:r>
    </w:p>
    <w:p w14:paraId="5C65D3A7" w14:textId="77777777" w:rsidR="0027048D" w:rsidRDefault="00000000">
      <w:pPr>
        <w:pStyle w:val="Heading2"/>
      </w:pPr>
      <w:r>
        <w:t>2.1 Dataset Overview</w:t>
      </w:r>
    </w:p>
    <w:p w14:paraId="4975A7A7" w14:textId="77777777" w:rsidR="0027048D" w:rsidRDefault="00000000" w:rsidP="00C31B1F">
      <w:pPr>
        <w:spacing w:after="120"/>
        <w:jc w:val="both"/>
      </w:pPr>
      <w:r>
        <w:rPr>
          <w:color w:val="333333"/>
        </w:rPr>
        <w:t>The analysis uses the Superstore Sales Dataset (Kaggle/Tableau sample data), comprising 9,993 transaction line items across 21 columns from January 2014 through December 2017. The dataset covers 793 unique customers, 5,009 unique orders, 4 regions, and all 50 U.S. states. Critically, the dataset includes actual profit per transaction, which is essential for financial operations analysis.</w:t>
      </w:r>
    </w:p>
    <w:p w14:paraId="41AD806B" w14:textId="77777777" w:rsidR="0027048D" w:rsidRDefault="00000000">
      <w:pPr>
        <w:pStyle w:val="Heading2"/>
      </w:pPr>
      <w:r>
        <w:t>2.2 Data Pipeline Architecture</w:t>
      </w:r>
    </w:p>
    <w:p w14:paraId="665ED820" w14:textId="29D05E00" w:rsidR="0027048D" w:rsidRDefault="00000000" w:rsidP="00C31B1F">
      <w:pPr>
        <w:spacing w:after="120"/>
        <w:jc w:val="both"/>
      </w:pPr>
      <w:r>
        <w:rPr>
          <w:color w:val="333333"/>
        </w:rPr>
        <w:t>The project implements a four-stage pipeline: raw data ingestion, preprocessing (cleaning, deduplication, type standardization), feature engineering (order-level and customer-level aggregation, churn labeling), and model-ready output. Data leakage was identified and mitigated by excluding recency_days from model features, as it directly defines the churn target variable.</w:t>
      </w:r>
    </w:p>
    <w:p w14:paraId="5F962721" w14:textId="77777777" w:rsidR="0027048D" w:rsidRDefault="00000000" w:rsidP="00C31B1F">
      <w:pPr>
        <w:spacing w:after="120"/>
        <w:jc w:val="both"/>
      </w:pPr>
      <w:r>
        <w:rPr>
          <w:color w:val="333333"/>
        </w:rPr>
        <w:t>Feature engineering produced customer-level metrics including order_count, total_spent, total_profit, avg_discount, avg_shipping_days, avg_order_value, avg_profit_margin, tenure_days, unique_categories, and unique_subcategories. Customer churn is defined as no purchase in the last 365 days of the dataset window.</w:t>
      </w:r>
    </w:p>
    <w:p w14:paraId="1E67FF39" w14:textId="77777777" w:rsidR="0027048D" w:rsidRDefault="00000000">
      <w:pPr>
        <w:pStyle w:val="Heading2"/>
      </w:pPr>
      <w:r>
        <w:t>2.3 Tools &amp;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7048D" w14:paraId="7929C473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6E635" w14:textId="77777777" w:rsidR="0027048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A3116" w14:textId="77777777" w:rsidR="0027048D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</w:tr>
      <w:tr w:rsidR="0027048D" w14:paraId="23764077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2571B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Languages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7842" w14:textId="77777777" w:rsidR="0027048D" w:rsidRDefault="00000000">
            <w:r>
              <w:rPr>
                <w:color w:val="333333"/>
                <w:sz w:val="20"/>
                <w:szCs w:val="20"/>
              </w:rPr>
              <w:t>Python, SQL</w:t>
            </w:r>
          </w:p>
        </w:tc>
      </w:tr>
      <w:tr w:rsidR="0027048D" w14:paraId="55D5E6E5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3C976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Data Processing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45821" w14:textId="77777777" w:rsidR="0027048D" w:rsidRDefault="00000000">
            <w:r>
              <w:rPr>
                <w:color w:val="333333"/>
                <w:sz w:val="20"/>
                <w:szCs w:val="20"/>
              </w:rPr>
              <w:t>Pandas, NumPy</w:t>
            </w:r>
          </w:p>
        </w:tc>
      </w:tr>
      <w:tr w:rsidR="0027048D" w14:paraId="63964DA2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7B12B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Machine Learning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46728" w14:textId="77777777" w:rsidR="0027048D" w:rsidRDefault="00000000">
            <w:r>
              <w:rPr>
                <w:color w:val="333333"/>
                <w:sz w:val="20"/>
                <w:szCs w:val="20"/>
              </w:rPr>
              <w:t>Scikit-learn (Logistic Regression, Random Forest, Gradient Boosting)</w:t>
            </w:r>
          </w:p>
        </w:tc>
      </w:tr>
      <w:tr w:rsidR="0027048D" w14:paraId="6BE2B03B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D3378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Visualization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C407D" w14:textId="77777777" w:rsidR="0027048D" w:rsidRDefault="00000000">
            <w:r>
              <w:rPr>
                <w:color w:val="333333"/>
                <w:sz w:val="20"/>
                <w:szCs w:val="20"/>
              </w:rPr>
              <w:t>Matplotlib, Seaborn</w:t>
            </w:r>
          </w:p>
        </w:tc>
      </w:tr>
      <w:tr w:rsidR="0027048D" w14:paraId="0EB2A1C3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FC9CE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Dashboard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DE624" w14:textId="77777777" w:rsidR="0027048D" w:rsidRDefault="00000000">
            <w:r>
              <w:rPr>
                <w:color w:val="333333"/>
                <w:sz w:val="20"/>
                <w:szCs w:val="20"/>
              </w:rPr>
              <w:t>Power BI (5-page executive dashboard, star-schema model, DAX measures)</w:t>
            </w:r>
          </w:p>
        </w:tc>
      </w:tr>
      <w:tr w:rsidR="0027048D" w14:paraId="4DBF5F79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46F88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Environment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7AF5D" w14:textId="77777777" w:rsidR="0027048D" w:rsidRDefault="00000000">
            <w:r>
              <w:rPr>
                <w:color w:val="333333"/>
                <w:sz w:val="20"/>
                <w:szCs w:val="20"/>
              </w:rPr>
              <w:t>Jupyter Lab, GitHub</w:t>
            </w:r>
          </w:p>
        </w:tc>
      </w:tr>
    </w:tbl>
    <w:p w14:paraId="41BE72E2" w14:textId="77777777" w:rsidR="0027048D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Table 2: Tools &amp; Technologies</w:t>
      </w:r>
    </w:p>
    <w:p w14:paraId="424A1E58" w14:textId="77777777" w:rsidR="0027048D" w:rsidRDefault="00000000">
      <w:r>
        <w:br w:type="page"/>
      </w:r>
    </w:p>
    <w:p w14:paraId="307AF26E" w14:textId="77777777" w:rsidR="0027048D" w:rsidRDefault="00000000">
      <w:pPr>
        <w:pStyle w:val="Heading1"/>
      </w:pPr>
      <w:r>
        <w:lastRenderedPageBreak/>
        <w:t>3. Revenue Analysis</w:t>
      </w:r>
    </w:p>
    <w:p w14:paraId="77B34557" w14:textId="77777777" w:rsidR="0027048D" w:rsidRDefault="00000000">
      <w:pPr>
        <w:pStyle w:val="Heading2"/>
      </w:pPr>
      <w:r>
        <w:t>3.1 Monthly Revenue &amp; Profit Trend</w:t>
      </w:r>
    </w:p>
    <w:p w14:paraId="33782393" w14:textId="77777777" w:rsidR="0027048D" w:rsidRDefault="00000000" w:rsidP="00C31B1F">
      <w:pPr>
        <w:spacing w:after="120"/>
        <w:jc w:val="both"/>
      </w:pPr>
      <w:r>
        <w:rPr>
          <w:color w:val="333333"/>
        </w:rPr>
        <w:t>Revenue and profit show clear seasonality with Q4 peaks each year. Over the four-year period, both revenue and profit demonstrate an upward growth trajectory. The business generated approximately $2.3M in total sales and $286K in profit, yielding an overall margin of approximately 12.5%.</w:t>
      </w:r>
    </w:p>
    <w:p w14:paraId="22F999BE" w14:textId="77777777" w:rsidR="0027048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5DDC607" wp14:editId="2FD680B4">
            <wp:extent cx="4934606" cy="2291067"/>
            <wp:effectExtent l="0" t="0" r="0" b="0"/>
            <wp:docPr id="1" name="revenue_profit_trend.png" descr="revenue_profit_trend.png" title="revenue_profit_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060" cy="230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D19B" w14:textId="77777777" w:rsidR="0027048D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1: Monthly Revenue &amp; Profit Trend (2014–2017)</w:t>
      </w:r>
    </w:p>
    <w:p w14:paraId="7AF5215D" w14:textId="77777777" w:rsidR="0027048D" w:rsidRDefault="00000000">
      <w:pPr>
        <w:pStyle w:val="Heading2"/>
      </w:pPr>
      <w:r>
        <w:t>3.2 Sub-Category Profitability (P&amp;L)</w:t>
      </w:r>
    </w:p>
    <w:p w14:paraId="290DE8DE" w14:textId="77777777" w:rsidR="0027048D" w:rsidRDefault="00000000" w:rsidP="00C31B1F">
      <w:pPr>
        <w:spacing w:after="120"/>
        <w:jc w:val="both"/>
      </w:pPr>
      <w:r>
        <w:rPr>
          <w:color w:val="333333"/>
        </w:rPr>
        <w:t>Sub-category analysis reveals that not all high-revenue lines are profitable. Tables, Bookcases, and Supplies are net-loss sub-categories despite generating significant sales. In contrast, Copiers and Paper deliver the highest profit margins (39% and 36% respectively). This mismatch between revenue and profit underscores the need for pricing and discount strategy review.</w:t>
      </w:r>
    </w:p>
    <w:p w14:paraId="15AB5EB3" w14:textId="77777777" w:rsidR="0027048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93CAE9B" wp14:editId="48031FE3">
            <wp:extent cx="5334000" cy="2857500"/>
            <wp:effectExtent l="0" t="0" r="0" b="0"/>
            <wp:docPr id="1914129977" name="subcategory_pl.png" descr="subcategory_pl.png" title="subcategory_p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4963" w14:textId="4E98C6CB" w:rsidR="0027048D" w:rsidRDefault="00000000" w:rsidP="00C31B1F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2: Sub-Category P&amp;L — Sales vs. Profit</w:t>
      </w:r>
    </w:p>
    <w:p w14:paraId="289E4EF5" w14:textId="77777777" w:rsidR="0027048D" w:rsidRDefault="00000000">
      <w:pPr>
        <w:pStyle w:val="Heading1"/>
      </w:pPr>
      <w:r>
        <w:lastRenderedPageBreak/>
        <w:t>4. Profitability Deep-Dive</w:t>
      </w:r>
    </w:p>
    <w:p w14:paraId="5C47C75F" w14:textId="77777777" w:rsidR="0027048D" w:rsidRDefault="00000000">
      <w:pPr>
        <w:pStyle w:val="Heading2"/>
      </w:pPr>
      <w:r>
        <w:t>4.1 Discount vs. Profit Analysis</w:t>
      </w:r>
    </w:p>
    <w:p w14:paraId="48B87475" w14:textId="77777777" w:rsidR="0027048D" w:rsidRDefault="00000000" w:rsidP="00C31B1F">
      <w:pPr>
        <w:spacing w:after="120"/>
        <w:jc w:val="both"/>
      </w:pPr>
      <w:r>
        <w:rPr>
          <w:color w:val="333333"/>
        </w:rPr>
        <w:t>Transaction-level analysis reveals a clear "discount cliff": at discount levels above approximately 20%, average per-transaction profit turns negative. The scatter plot shows that while 0–10% discounts maintain healthy margins, heavy discounts (21–30%) and extreme discounts (31%+) generate consistent losses. This finding is the basis for the primary recommendation to cap standard discounts at 20%.</w:t>
      </w:r>
    </w:p>
    <w:p w14:paraId="67588A63" w14:textId="77777777" w:rsidR="0027048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AEB2E6B" wp14:editId="6B608860">
            <wp:extent cx="4953000" cy="2667000"/>
            <wp:effectExtent l="0" t="0" r="0" b="0"/>
            <wp:docPr id="1504350972" name="discount_vs_profit.png" descr="discount_vs_profit.png" title="discount_vs_prof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E8A8" w14:textId="77777777" w:rsidR="0027048D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3: Discount vs. Profit — Transaction-Level Scatter</w:t>
      </w:r>
    </w:p>
    <w:p w14:paraId="0C075611" w14:textId="77777777" w:rsidR="0027048D" w:rsidRDefault="00000000">
      <w:pPr>
        <w:pStyle w:val="Heading2"/>
      </w:pPr>
      <w:r>
        <w:t>4.2 Discount Band Analysis</w:t>
      </w:r>
    </w:p>
    <w:p w14:paraId="107D8646" w14:textId="77777777" w:rsidR="0027048D" w:rsidRDefault="00000000" w:rsidP="00C31B1F">
      <w:pPr>
        <w:spacing w:after="120"/>
        <w:jc w:val="both"/>
      </w:pPr>
      <w:r>
        <w:rPr>
          <w:color w:val="333333"/>
        </w:rPr>
        <w:t>Grouping transactions into five discount bands confirms the cliff effect. No-discount and light-discount (1–10%) transactions average $67 and $95 profit respectively. Moderate discounts (11–20%) still maintain positive average profit at ~$25. However, heavy (21–30%) and extreme (31%+) bands average -$38 and -$100+ per transaction, respectively.</w:t>
      </w:r>
    </w:p>
    <w:p w14:paraId="3A94D278" w14:textId="77777777" w:rsidR="0027048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15CABFB" wp14:editId="0B3EA59C">
            <wp:extent cx="4572000" cy="2667000"/>
            <wp:effectExtent l="0" t="0" r="0" b="0"/>
            <wp:docPr id="453099565" name="discount_band_analysis.png" descr="discount_band_analysis.png" title="discount_band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116B" w14:textId="77777777" w:rsidR="0027048D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lastRenderedPageBreak/>
        <w:t>Figure 4: Average Profit by Discount Band</w:t>
      </w:r>
    </w:p>
    <w:p w14:paraId="12B82F2F" w14:textId="77777777" w:rsidR="0027048D" w:rsidRDefault="00000000">
      <w:pPr>
        <w:pStyle w:val="Heading2"/>
      </w:pPr>
      <w:r>
        <w:t>4.3 Regional &amp; Segment Performance</w:t>
      </w:r>
    </w:p>
    <w:p w14:paraId="3EF6D48C" w14:textId="77777777" w:rsidR="0027048D" w:rsidRDefault="00000000" w:rsidP="00C31B1F">
      <w:pPr>
        <w:spacing w:after="120"/>
        <w:jc w:val="both"/>
      </w:pPr>
      <w:r>
        <w:rPr>
          <w:color w:val="333333"/>
        </w:rPr>
        <w:t>The West region leads in both sales and profit margin (~15%), followed by the East (~13.5%). The Central region underperforms at approximately 8% margin, driven largely by Furniture losses. By segment, Home Office achieves the highest margin (~14%) despite lower volume, while Consumer (the largest segment) operates at ~11.5% margin.</w:t>
      </w:r>
    </w:p>
    <w:p w14:paraId="1E44DAB9" w14:textId="77777777" w:rsidR="0027048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D641B06" wp14:editId="046DAEB8">
            <wp:extent cx="4000500" cy="2476500"/>
            <wp:effectExtent l="0" t="0" r="0" b="0"/>
            <wp:docPr id="628390934" name="region_profitability.png" descr="region_profitability.png" title="region_profitabi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B935" w14:textId="77777777" w:rsidR="0027048D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5: Profit Margin by Region</w:t>
      </w:r>
    </w:p>
    <w:p w14:paraId="3BD90377" w14:textId="77777777" w:rsidR="0027048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ED46DC8" wp14:editId="3684808D">
            <wp:extent cx="4000500" cy="2476500"/>
            <wp:effectExtent l="0" t="0" r="0" b="0"/>
            <wp:docPr id="1669698180" name="segment_profitability.png" descr="segment_profitability.png" title="segment_profitabi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C493" w14:textId="77777777" w:rsidR="0027048D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6: Profit Margin by Segment</w:t>
      </w:r>
    </w:p>
    <w:p w14:paraId="748FF4CB" w14:textId="77777777" w:rsidR="0027048D" w:rsidRDefault="00000000">
      <w:r>
        <w:br w:type="page"/>
      </w:r>
    </w:p>
    <w:p w14:paraId="51AF1531" w14:textId="77777777" w:rsidR="0027048D" w:rsidRDefault="00000000">
      <w:pPr>
        <w:pStyle w:val="Heading1"/>
      </w:pPr>
      <w:r>
        <w:lastRenderedPageBreak/>
        <w:t>5. Customer Churn Prediction</w:t>
      </w:r>
    </w:p>
    <w:p w14:paraId="44CCE5F9" w14:textId="77777777" w:rsidR="0027048D" w:rsidRDefault="00000000">
      <w:pPr>
        <w:pStyle w:val="Heading2"/>
      </w:pPr>
      <w:r>
        <w:t>5.1 Target Variable Distribution</w:t>
      </w:r>
    </w:p>
    <w:p w14:paraId="039F4DE3" w14:textId="77777777" w:rsidR="0027048D" w:rsidRDefault="00000000" w:rsidP="00C31B1F">
      <w:pPr>
        <w:spacing w:after="120"/>
        <w:jc w:val="both"/>
      </w:pPr>
      <w:r>
        <w:rPr>
          <w:color w:val="333333"/>
        </w:rPr>
        <w:t>Customer churn is defined as 365+ days of inactivity from the last observed order date. Approximately 12.5% of the 793 customers are classified as churned (~100 customers), creating a moderately imbalanced classification problem.</w:t>
      </w:r>
    </w:p>
    <w:p w14:paraId="117BBB6F" w14:textId="77777777" w:rsidR="0027048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4447479" wp14:editId="2134F1DE">
            <wp:extent cx="3619500" cy="2667000"/>
            <wp:effectExtent l="0" t="0" r="0" b="0"/>
            <wp:docPr id="459513460" name="churn_overview.png" descr="churn_overview.png" title="churn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4D1E" w14:textId="77777777" w:rsidR="0027048D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7: Churn Target Distribution (Active vs. Churned)</w:t>
      </w:r>
    </w:p>
    <w:p w14:paraId="68E54FCA" w14:textId="77777777" w:rsidR="0027048D" w:rsidRDefault="00000000">
      <w:pPr>
        <w:pStyle w:val="Heading2"/>
      </w:pPr>
      <w:r>
        <w:t>5.2 Feature Correlation</w:t>
      </w:r>
    </w:p>
    <w:p w14:paraId="4032D4B2" w14:textId="77777777" w:rsidR="0027048D" w:rsidRDefault="00000000" w:rsidP="00C31B1F">
      <w:pPr>
        <w:spacing w:after="120"/>
        <w:jc w:val="both"/>
      </w:pPr>
      <w:r>
        <w:rPr>
          <w:color w:val="333333"/>
        </w:rPr>
        <w:t>The customer-level correlation matrix reveals that order_count, total_spent, and unique_subcategories are strongly correlated, informing feature selection decisions. Tenure_days shows moderate positive correlation with churn — however, recency_days was excluded from all models as it directly defines the churn target, avoiding data leakage.</w:t>
      </w:r>
    </w:p>
    <w:p w14:paraId="7916821C" w14:textId="77777777" w:rsidR="0027048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72F9610" wp14:editId="479C9112">
            <wp:extent cx="4191000" cy="3619500"/>
            <wp:effectExtent l="0" t="0" r="0" b="0"/>
            <wp:docPr id="249269146" name="correlation_matrix.png" descr="correlation_matrix.png" title="correlat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5704" w14:textId="77777777" w:rsidR="0027048D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8: Customer-Level Feature Correlation Matrix</w:t>
      </w:r>
    </w:p>
    <w:p w14:paraId="29393568" w14:textId="77777777" w:rsidR="0027048D" w:rsidRDefault="00000000">
      <w:pPr>
        <w:pStyle w:val="Heading2"/>
      </w:pPr>
      <w:r>
        <w:t>5.3 Model Performance Comparison</w:t>
      </w:r>
    </w:p>
    <w:p w14:paraId="12C2A17D" w14:textId="77777777" w:rsidR="0027048D" w:rsidRDefault="00000000" w:rsidP="00C31B1F">
      <w:pPr>
        <w:spacing w:after="120"/>
        <w:jc w:val="both"/>
      </w:pPr>
      <w:r>
        <w:rPr>
          <w:color w:val="333333"/>
        </w:rPr>
        <w:t>Three classification models were trained and evaluated: Logistic Regression, Random Forest, and Gradient Boosting. All models exceeded the 0.70 AUC-ROC target. Logistic Regression achieved the highest AUC-ROC at 0.848, followed by Random Forest (0.836) and Gradient Boosting (0.795). Logistic Regression was selected as the best model due to its superior discrimination and interpretability.</w:t>
      </w:r>
    </w:p>
    <w:p w14:paraId="4FB9EF8F" w14:textId="77777777" w:rsidR="0027048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C762E4A" wp14:editId="7F4F0F33">
            <wp:extent cx="3162645" cy="2861441"/>
            <wp:effectExtent l="0" t="0" r="0" b="0"/>
            <wp:docPr id="1784082250" name="roc_comparison.png" descr="roc_comparison.png" title="roc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645" cy="286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9DBF" w14:textId="382501A8" w:rsidR="0027048D" w:rsidRDefault="00000000" w:rsidP="00C31B1F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9: ROC Curve Comparison Across Models</w:t>
      </w:r>
    </w:p>
    <w:p w14:paraId="56CC88F8" w14:textId="77777777" w:rsidR="0027048D" w:rsidRDefault="00000000">
      <w:pPr>
        <w:pStyle w:val="Heading2"/>
      </w:pPr>
      <w:r>
        <w:lastRenderedPageBreak/>
        <w:t>5.4 Confusion Matrices</w:t>
      </w:r>
    </w:p>
    <w:p w14:paraId="7FAF7119" w14:textId="40C7698A" w:rsidR="0027048D" w:rsidRDefault="00000000" w:rsidP="00C31B1F">
      <w:pPr>
        <w:spacing w:after="120"/>
        <w:jc w:val="both"/>
      </w:pPr>
      <w:r>
        <w:rPr>
          <w:color w:val="333333"/>
        </w:rPr>
        <w:t xml:space="preserve">The confusion matrices show the precision/recall tradeoffs. Logistic Regression correctly identifies 16 of 20 actual churned customers (80% recall for churn class) while maintaining 109 of 139 true negatives. Random Forest shows very high precision but lower recall (15% for churn), suggesting it may miss at-risk customers. For a retention campaign, </w:t>
      </w:r>
      <w:r w:rsidR="00C31B1F">
        <w:rPr>
          <w:color w:val="333333"/>
        </w:rPr>
        <w:t xml:space="preserve">a </w:t>
      </w:r>
      <w:r>
        <w:rPr>
          <w:color w:val="333333"/>
        </w:rPr>
        <w:t>higher recall (Logistic Regression) is preferred to ensure at-risk customers are flagged.</w:t>
      </w:r>
    </w:p>
    <w:p w14:paraId="0892D894" w14:textId="77777777" w:rsidR="0027048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AADFF38" wp14:editId="7024C47C">
            <wp:extent cx="5334000" cy="1905000"/>
            <wp:effectExtent l="0" t="0" r="0" b="0"/>
            <wp:docPr id="1419986179" name="confusion_matrices.png" descr="confusion_matrices.png" title="confusion_matri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4910" w14:textId="77777777" w:rsidR="0027048D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10: Confusion Matrices for All Three Models</w:t>
      </w:r>
    </w:p>
    <w:p w14:paraId="6E7E8D21" w14:textId="77777777" w:rsidR="0027048D" w:rsidRDefault="00000000">
      <w:pPr>
        <w:pStyle w:val="Heading2"/>
      </w:pPr>
      <w:r>
        <w:t>5.5 Feature Importance</w:t>
      </w:r>
    </w:p>
    <w:p w14:paraId="07F90C2D" w14:textId="77777777" w:rsidR="0027048D" w:rsidRDefault="00000000" w:rsidP="00C31B1F">
      <w:pPr>
        <w:spacing w:after="120"/>
        <w:jc w:val="both"/>
      </w:pPr>
      <w:r>
        <w:rPr>
          <w:color w:val="333333"/>
        </w:rPr>
        <w:t>The tree-based feature importance (from the best tree model) shows tenure_days as the dominant predictor, followed by order_count and total_spent. Behavioral metrics such as avg_profit_margin, avg_discount, and unique_subcategories also contribute meaningfully. This aligns with business intuition: customers who order infrequently and engage with fewer product categories are more likely to churn.</w:t>
      </w:r>
    </w:p>
    <w:p w14:paraId="7854BE16" w14:textId="77777777" w:rsidR="0027048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D92AB47" wp14:editId="0EC1A1BB">
            <wp:extent cx="4572000" cy="2857500"/>
            <wp:effectExtent l="0" t="0" r="0" b="0"/>
            <wp:docPr id="1280970802" name="feature_importance.png" descr="feature_importance.png" title="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447B" w14:textId="77777777" w:rsidR="0027048D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11: Top Churn Predictors (Feature Importance)</w:t>
      </w:r>
    </w:p>
    <w:p w14:paraId="26091181" w14:textId="77777777" w:rsidR="0027048D" w:rsidRDefault="00000000">
      <w:r>
        <w:br w:type="page"/>
      </w:r>
    </w:p>
    <w:p w14:paraId="44F14E24" w14:textId="77777777" w:rsidR="0027048D" w:rsidRDefault="00000000">
      <w:pPr>
        <w:pStyle w:val="Heading1"/>
      </w:pPr>
      <w:r>
        <w:lastRenderedPageBreak/>
        <w:t>6. Interactive Dashboard (Power BI)</w:t>
      </w:r>
    </w:p>
    <w:p w14:paraId="784F9178" w14:textId="77777777" w:rsidR="0027048D" w:rsidRDefault="00000000" w:rsidP="00C31B1F">
      <w:pPr>
        <w:spacing w:after="120"/>
        <w:jc w:val="both"/>
      </w:pPr>
      <w:r>
        <w:rPr>
          <w:color w:val="333333"/>
        </w:rPr>
        <w:t>A five-page executive dashboard was built in Power BI Service using a star-schema data model (fact + dimension tables) and DAX measures. The dashboard provides drill-down capability across time, region, segment, and category dimensions.</w:t>
      </w:r>
    </w:p>
    <w:p w14:paraId="1F8C92FF" w14:textId="77777777" w:rsidR="0027048D" w:rsidRDefault="00000000">
      <w:pPr>
        <w:pStyle w:val="Heading2"/>
      </w:pPr>
      <w:r>
        <w:t>6.1 Financial KPI Overview</w:t>
      </w:r>
    </w:p>
    <w:p w14:paraId="6EEFF16A" w14:textId="77777777" w:rsidR="0027048D" w:rsidRDefault="00000000" w:rsidP="00C31B1F">
      <w:pPr>
        <w:spacing w:after="120"/>
        <w:jc w:val="both"/>
      </w:pPr>
      <w:r>
        <w:rPr>
          <w:color w:val="333333"/>
        </w:rPr>
        <w:t>The overview page surfaces top-level KPIs (Total Sales, Total Profit, Profit Margin %, Total Orders, Unique Customers) with monthly trend and year-over-year growth visuals. Slicer filters allow dynamic exploration by year, region, segment, and category.</w:t>
      </w:r>
    </w:p>
    <w:p w14:paraId="060D52DE" w14:textId="77777777" w:rsidR="0027048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5663BBB" wp14:editId="2E0E42A3">
            <wp:extent cx="5143500" cy="4286250"/>
            <wp:effectExtent l="0" t="0" r="0" b="0"/>
            <wp:docPr id="2015648474" name="01_financial_kpi_overview.png" descr="01_financial_kpi_overview.png" title="01_financial_kpi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BC94" w14:textId="77777777" w:rsidR="0027048D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12: Dashboard Page 1 — Financial KPI Overview</w:t>
      </w:r>
    </w:p>
    <w:p w14:paraId="10BF60DF" w14:textId="77777777" w:rsidR="0027048D" w:rsidRDefault="00000000">
      <w:r>
        <w:br w:type="page"/>
      </w:r>
    </w:p>
    <w:p w14:paraId="18F3FC18" w14:textId="77777777" w:rsidR="0027048D" w:rsidRDefault="00000000">
      <w:pPr>
        <w:pStyle w:val="Heading2"/>
      </w:pPr>
      <w:r>
        <w:lastRenderedPageBreak/>
        <w:t>6.2 Profitability Deep-Dive</w:t>
      </w:r>
    </w:p>
    <w:p w14:paraId="631AD738" w14:textId="77777777" w:rsidR="0027048D" w:rsidRDefault="00000000" w:rsidP="00C31B1F">
      <w:pPr>
        <w:spacing w:after="120"/>
        <w:jc w:val="both"/>
      </w:pPr>
      <w:r>
        <w:rPr>
          <w:color w:val="333333"/>
        </w:rPr>
        <w:t>This page presents sub-category P&amp;L, discount vs. profit scatter, profit margin ranking, discount band analysis, and a state-level profitability map. It enables executives to identify which product lines and geographies drive or erode margin.</w:t>
      </w:r>
    </w:p>
    <w:p w14:paraId="17BF6985" w14:textId="77777777" w:rsidR="0027048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41F288D" wp14:editId="6A63920C">
            <wp:extent cx="5143500" cy="4095750"/>
            <wp:effectExtent l="0" t="0" r="0" b="0"/>
            <wp:docPr id="808629623" name="02_profitability_deep_dive.png" descr="02_profitability_deep_dive.png" title="02_profitability_deep_d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D58E" w14:textId="77777777" w:rsidR="0027048D" w:rsidRDefault="00000000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 13: Dashboard Page 2 — Profitability Deep-Dive</w:t>
      </w:r>
    </w:p>
    <w:p w14:paraId="5D55548F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00655379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12D84A9B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7DD7184F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22E6E472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5E8957BE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1B6788D6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0C8A8089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7DE9F466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4B0D3772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1D773C48" w14:textId="77777777" w:rsidR="00C31B1F" w:rsidRDefault="00C31B1F">
      <w:pPr>
        <w:spacing w:before="60" w:after="200"/>
        <w:jc w:val="center"/>
      </w:pPr>
    </w:p>
    <w:p w14:paraId="1CF071F1" w14:textId="77777777" w:rsidR="0027048D" w:rsidRDefault="00000000">
      <w:pPr>
        <w:pStyle w:val="Heading2"/>
      </w:pPr>
      <w:r>
        <w:lastRenderedPageBreak/>
        <w:t>6.3 Regional &amp; Segment Performance</w:t>
      </w:r>
    </w:p>
    <w:p w14:paraId="4F4FFDB8" w14:textId="77777777" w:rsidR="0027048D" w:rsidRDefault="00000000" w:rsidP="00C31B1F">
      <w:pPr>
        <w:spacing w:after="120"/>
        <w:jc w:val="both"/>
      </w:pPr>
      <w:r>
        <w:rPr>
          <w:color w:val="333333"/>
        </w:rPr>
        <w:t>The regional page includes region comparison (sales, profit, margin), a top/bottom states table with profit margin ranking, category-by-region heatmap, ship mode analysis, and segment comparison. This enables resource allocation decisions at the regional and segment level.</w:t>
      </w:r>
    </w:p>
    <w:p w14:paraId="4AC56D82" w14:textId="77777777" w:rsidR="0027048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8E6B4B3" wp14:editId="15AEDE71">
            <wp:extent cx="5143500" cy="4095750"/>
            <wp:effectExtent l="0" t="0" r="0" b="0"/>
            <wp:docPr id="2031423544" name="03_regional_segment_performance.png" descr="03_regional_segment_performance.png" title="03_regional_segment_perform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0320" w14:textId="77777777" w:rsidR="0027048D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14: Dashboard Page 3 — Regional &amp; Segment Performance</w:t>
      </w:r>
    </w:p>
    <w:p w14:paraId="0F0F8F83" w14:textId="77777777" w:rsidR="0027048D" w:rsidRDefault="00000000">
      <w:r>
        <w:br w:type="page"/>
      </w:r>
    </w:p>
    <w:p w14:paraId="6301407F" w14:textId="77777777" w:rsidR="0027048D" w:rsidRDefault="00000000">
      <w:pPr>
        <w:pStyle w:val="Heading2"/>
      </w:pPr>
      <w:r>
        <w:lastRenderedPageBreak/>
        <w:t>6.4 Customer Retention &amp; Churn</w:t>
      </w:r>
    </w:p>
    <w:p w14:paraId="421432E9" w14:textId="77777777" w:rsidR="0027048D" w:rsidRDefault="00000000" w:rsidP="00C31B1F">
      <w:pPr>
        <w:spacing w:after="120"/>
        <w:jc w:val="both"/>
      </w:pPr>
      <w:r>
        <w:rPr>
          <w:color w:val="333333"/>
        </w:rPr>
        <w:t>The churn page visualizes churn rate by segment, order frequency, and customer value distribution. It surfaces the behavioral patterns identified by the predictive model, enabling targeted retention campaigns.</w:t>
      </w:r>
    </w:p>
    <w:p w14:paraId="1BF1E844" w14:textId="77777777" w:rsidR="0027048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0985D5B" wp14:editId="204250C4">
            <wp:extent cx="5143500" cy="4095750"/>
            <wp:effectExtent l="0" t="0" r="0" b="0"/>
            <wp:docPr id="1347406641" name="04_customer_retention_churn.png" descr="04_customer_retention_churn.png" title="04_customer_retention_chu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4774" w14:textId="77777777" w:rsidR="0027048D" w:rsidRDefault="00000000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 15: Dashboard Page 4 — Customer Retention &amp; Churn</w:t>
      </w:r>
    </w:p>
    <w:p w14:paraId="5DD4F5A2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2CFA6F23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24AE05B6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69DDB049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15C2A133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5CC9920D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3BEC1792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1EE3FFE1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38D16F56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511D0FD6" w14:textId="77777777" w:rsidR="00C31B1F" w:rsidRDefault="00C31B1F">
      <w:pPr>
        <w:spacing w:before="60" w:after="200"/>
        <w:jc w:val="center"/>
        <w:rPr>
          <w:i/>
          <w:iCs/>
          <w:color w:val="666666"/>
          <w:sz w:val="18"/>
          <w:szCs w:val="18"/>
        </w:rPr>
      </w:pPr>
    </w:p>
    <w:p w14:paraId="7AAD46A0" w14:textId="77777777" w:rsidR="00C31B1F" w:rsidRDefault="00C31B1F">
      <w:pPr>
        <w:spacing w:before="60" w:after="200"/>
        <w:jc w:val="center"/>
      </w:pPr>
    </w:p>
    <w:p w14:paraId="7D8A034E" w14:textId="77777777" w:rsidR="0027048D" w:rsidRDefault="00000000">
      <w:pPr>
        <w:pStyle w:val="Heading2"/>
      </w:pPr>
      <w:r>
        <w:lastRenderedPageBreak/>
        <w:t>6.5 Executive Recommendations</w:t>
      </w:r>
    </w:p>
    <w:p w14:paraId="32ADC332" w14:textId="0880CF19" w:rsidR="0027048D" w:rsidRDefault="00000000" w:rsidP="00C31B1F">
      <w:pPr>
        <w:spacing w:after="120"/>
        <w:jc w:val="both"/>
      </w:pPr>
      <w:r>
        <w:rPr>
          <w:color w:val="333333"/>
        </w:rPr>
        <w:t xml:space="preserve">The final page presents a waterfall chart showing </w:t>
      </w:r>
      <w:r w:rsidR="00C31B1F">
        <w:rPr>
          <w:color w:val="333333"/>
        </w:rPr>
        <w:t xml:space="preserve">the </w:t>
      </w:r>
      <w:r>
        <w:rPr>
          <w:color w:val="333333"/>
        </w:rPr>
        <w:t>estimated profit impact of each recommendation (current profit → discount cap → loss sub-category fix → churn recovery → total), along with a prioritized action table with expected impact, responsible owner, and priority ranking.</w:t>
      </w:r>
    </w:p>
    <w:p w14:paraId="4F261261" w14:textId="77777777" w:rsidR="0027048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B21277A" wp14:editId="31F4369B">
            <wp:extent cx="5143500" cy="3048000"/>
            <wp:effectExtent l="0" t="0" r="0" b="0"/>
            <wp:docPr id="1114645311" name="05_executive_recommendations.png" descr="05_executive_recommendations.png" title="05_executive_recommend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FC71" w14:textId="77777777" w:rsidR="0027048D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16: Dashboard Page 5 — Executive Recommendations</w:t>
      </w:r>
    </w:p>
    <w:p w14:paraId="35302F6D" w14:textId="77777777" w:rsidR="0027048D" w:rsidRDefault="00000000">
      <w:r>
        <w:br w:type="page"/>
      </w:r>
    </w:p>
    <w:p w14:paraId="1498412B" w14:textId="77777777" w:rsidR="0027048D" w:rsidRDefault="00000000">
      <w:pPr>
        <w:pStyle w:val="Heading1"/>
      </w:pPr>
      <w:r>
        <w:lastRenderedPageBreak/>
        <w:t>7. Business Recommendations</w:t>
      </w:r>
    </w:p>
    <w:p w14:paraId="3008CD90" w14:textId="77777777" w:rsidR="0027048D" w:rsidRDefault="00000000">
      <w:pPr>
        <w:spacing w:after="120"/>
      </w:pPr>
      <w:r>
        <w:rPr>
          <w:color w:val="333333"/>
        </w:rPr>
        <w:t>Based on the analysis across revenue trends, profitability, and customer churn, the following five strategic initiatives are recommended:</w:t>
      </w:r>
    </w:p>
    <w:p w14:paraId="5CC2D6F7" w14:textId="77777777" w:rsidR="0027048D" w:rsidRDefault="0027048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160"/>
        <w:gridCol w:w="2700"/>
        <w:gridCol w:w="3000"/>
      </w:tblGrid>
      <w:tr w:rsidR="0027048D" w14:paraId="4CC6246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DB0C6" w14:textId="77777777" w:rsidR="0027048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37D1D" w14:textId="77777777" w:rsidR="0027048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38B90" w14:textId="77777777" w:rsidR="0027048D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Impact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DFED6" w14:textId="77777777" w:rsidR="0027048D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27048D" w14:paraId="3F39486A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F098F" w14:textId="77777777" w:rsidR="0027048D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EAF1C" w14:textId="77777777" w:rsidR="0027048D" w:rsidRDefault="00000000">
            <w:r>
              <w:rPr>
                <w:color w:val="333333"/>
                <w:sz w:val="20"/>
                <w:szCs w:val="20"/>
              </w:rPr>
              <w:t>Cap standard discounts at 20%; VP approval above 20%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077D3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+$50K–$80K/year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1AB65" w14:textId="77777777" w:rsidR="0027048D" w:rsidRDefault="00000000">
            <w:r>
              <w:rPr>
                <w:color w:val="333333"/>
                <w:sz w:val="20"/>
                <w:szCs w:val="20"/>
              </w:rPr>
              <w:t>Discount band analysis shows margins collapse beyond 20%</w:t>
            </w:r>
          </w:p>
        </w:tc>
      </w:tr>
      <w:tr w:rsidR="0027048D" w14:paraId="7B28DEDE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BD49D" w14:textId="77777777" w:rsidR="0027048D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85729" w14:textId="77777777" w:rsidR="0027048D" w:rsidRDefault="00000000">
            <w:r>
              <w:rPr>
                <w:color w:val="333333"/>
                <w:sz w:val="20"/>
                <w:szCs w:val="20"/>
              </w:rPr>
              <w:t>Address loss sub-categories (Tables, Bookcases, Supplies)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AEB6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+$5K–$10K/year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F6EC2" w14:textId="77777777" w:rsidR="0027048D" w:rsidRDefault="00000000">
            <w:r>
              <w:rPr>
                <w:color w:val="333333"/>
                <w:sz w:val="20"/>
                <w:szCs w:val="20"/>
              </w:rPr>
              <w:t>Reprice or reduce exposure; eliminate P&amp;L drag</w:t>
            </w:r>
          </w:p>
        </w:tc>
      </w:tr>
      <w:tr w:rsidR="0027048D" w14:paraId="4A16F05F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AD50B" w14:textId="77777777" w:rsidR="0027048D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C0480" w14:textId="77777777" w:rsidR="0027048D" w:rsidRDefault="00000000">
            <w:r>
              <w:rPr>
                <w:color w:val="333333"/>
                <w:sz w:val="20"/>
                <w:szCs w:val="20"/>
              </w:rPr>
              <w:t>Deploy churn model for at-risk customer flagging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585DA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+$15K–$25K/year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CF6DA" w14:textId="77777777" w:rsidR="0027048D" w:rsidRDefault="00000000">
            <w:r>
              <w:rPr>
                <w:color w:val="333333"/>
                <w:sz w:val="20"/>
                <w:szCs w:val="20"/>
              </w:rPr>
              <w:t>Proactive reactivation campaigns and loyalty programs</w:t>
            </w:r>
          </w:p>
        </w:tc>
      </w:tr>
      <w:tr w:rsidR="0027048D" w14:paraId="3A201D0E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04AFE" w14:textId="77777777" w:rsidR="0027048D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9F45A" w14:textId="77777777" w:rsidR="0027048D" w:rsidRDefault="00000000">
            <w:r>
              <w:rPr>
                <w:color w:val="333333"/>
                <w:sz w:val="20"/>
                <w:szCs w:val="20"/>
              </w:rPr>
              <w:t>Invest in high-margin regions/segments; review Central region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FE0C2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Margin improvement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E57EE" w14:textId="77777777" w:rsidR="0027048D" w:rsidRDefault="00000000">
            <w:r>
              <w:rPr>
                <w:color w:val="333333"/>
                <w:sz w:val="20"/>
                <w:szCs w:val="20"/>
              </w:rPr>
              <w:t>Central region at 8% vs. West at 15%; targeted intervention</w:t>
            </w:r>
          </w:p>
        </w:tc>
      </w:tr>
      <w:tr w:rsidR="0027048D" w14:paraId="09B60DFE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76285" w14:textId="77777777" w:rsidR="0027048D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B909D" w14:textId="77777777" w:rsidR="0027048D" w:rsidRDefault="00000000">
            <w:r>
              <w:rPr>
                <w:color w:val="333333"/>
                <w:sz w:val="20"/>
                <w:szCs w:val="20"/>
              </w:rPr>
              <w:t>Promote high-margin sub-categories (Copiers, Paper, Labels)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79A19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Mix shift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7A5E" w14:textId="77777777" w:rsidR="0027048D" w:rsidRDefault="00000000">
            <w:r>
              <w:rPr>
                <w:color w:val="333333"/>
                <w:sz w:val="20"/>
                <w:szCs w:val="20"/>
              </w:rPr>
              <w:t>Shift revenue mix toward profitable product lines</w:t>
            </w:r>
          </w:p>
        </w:tc>
      </w:tr>
    </w:tbl>
    <w:p w14:paraId="28437257" w14:textId="77777777" w:rsidR="0027048D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Table 3: Strategic Recommendations</w:t>
      </w:r>
    </w:p>
    <w:p w14:paraId="3E862C64" w14:textId="77777777" w:rsidR="0027048D" w:rsidRDefault="00000000">
      <w:pPr>
        <w:pStyle w:val="Heading2"/>
      </w:pPr>
      <w:r>
        <w:t>7.1 Estimated Profit Impact</w:t>
      </w:r>
    </w:p>
    <w:p w14:paraId="3C61DD25" w14:textId="77777777" w:rsidR="0027048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0DFB67F" wp14:editId="2168E5FA">
            <wp:extent cx="4191000" cy="2095500"/>
            <wp:effectExtent l="0" t="0" r="0" b="0"/>
            <wp:docPr id="1375986171" name="profit_impact_summary.png" descr="profit_impact_summary.png" title="profit_impact_sum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AA63" w14:textId="77777777" w:rsidR="0027048D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17: Profit Impact Summary</w:t>
      </w:r>
    </w:p>
    <w:p w14:paraId="372E588E" w14:textId="77777777" w:rsidR="0027048D" w:rsidRDefault="0027048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0"/>
        <w:gridCol w:w="3680"/>
      </w:tblGrid>
      <w:tr w:rsidR="0027048D" w14:paraId="5052D04A" w14:textId="77777777">
        <w:tc>
          <w:tcPr>
            <w:tcW w:w="5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80918" w14:textId="77777777" w:rsidR="0027048D" w:rsidRDefault="00000000">
            <w:r>
              <w:rPr>
                <w:b/>
                <w:bCs/>
                <w:color w:val="FFFFFF"/>
                <w:sz w:val="20"/>
                <w:szCs w:val="20"/>
              </w:rPr>
              <w:t>Initiative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19877" w14:textId="77777777" w:rsidR="0027048D" w:rsidRDefault="00000000">
            <w:r>
              <w:rPr>
                <w:b/>
                <w:bCs/>
                <w:color w:val="FFFFFF"/>
                <w:sz w:val="20"/>
                <w:szCs w:val="20"/>
              </w:rPr>
              <w:t>Annual Impact</w:t>
            </w:r>
          </w:p>
        </w:tc>
      </w:tr>
      <w:tr w:rsidR="0027048D" w14:paraId="0D889150" w14:textId="77777777">
        <w:tc>
          <w:tcPr>
            <w:tcW w:w="5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D9687" w14:textId="77777777" w:rsidR="0027048D" w:rsidRDefault="00000000">
            <w:r>
              <w:rPr>
                <w:color w:val="333333"/>
                <w:sz w:val="20"/>
                <w:szCs w:val="20"/>
              </w:rPr>
              <w:t>Discount cap at 20%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4853E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+$50,000 – $80,000</w:t>
            </w:r>
          </w:p>
        </w:tc>
      </w:tr>
      <w:tr w:rsidR="0027048D" w14:paraId="1B600A0D" w14:textId="77777777">
        <w:tc>
          <w:tcPr>
            <w:tcW w:w="5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B7238" w14:textId="77777777" w:rsidR="0027048D" w:rsidRDefault="00000000">
            <w:r>
              <w:rPr>
                <w:color w:val="333333"/>
                <w:sz w:val="20"/>
                <w:szCs w:val="20"/>
              </w:rPr>
              <w:t>Loss sub-category elimination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9A51C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+$5,000 – $10,000</w:t>
            </w:r>
          </w:p>
        </w:tc>
      </w:tr>
      <w:tr w:rsidR="0027048D" w14:paraId="480F07F1" w14:textId="77777777">
        <w:tc>
          <w:tcPr>
            <w:tcW w:w="5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5742" w14:textId="77777777" w:rsidR="0027048D" w:rsidRDefault="00000000">
            <w:r>
              <w:rPr>
                <w:color w:val="333333"/>
                <w:sz w:val="20"/>
                <w:szCs w:val="20"/>
              </w:rPr>
              <w:t>Churn recovery (reactivation)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66434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+$15,000 – $25,000</w:t>
            </w:r>
          </w:p>
        </w:tc>
      </w:tr>
      <w:tr w:rsidR="0027048D" w14:paraId="546EC86A" w14:textId="77777777">
        <w:tc>
          <w:tcPr>
            <w:tcW w:w="5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0755B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Conservative Total Improvement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2DE81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~$70,000 – $115,000/year</w:t>
            </w:r>
          </w:p>
        </w:tc>
      </w:tr>
    </w:tbl>
    <w:p w14:paraId="05129C23" w14:textId="40DDEC26" w:rsidR="0027048D" w:rsidRDefault="00000000" w:rsidP="00AC1654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Table 4: Estimated Annual Profit Impact</w:t>
      </w:r>
      <w:r>
        <w:br w:type="page"/>
      </w:r>
    </w:p>
    <w:p w14:paraId="35FCA1DD" w14:textId="77777777" w:rsidR="0027048D" w:rsidRDefault="00000000">
      <w:pPr>
        <w:pStyle w:val="Heading1"/>
      </w:pPr>
      <w:r>
        <w:lastRenderedPageBreak/>
        <w:t>8. Project Structure &amp; Reproducibility</w:t>
      </w:r>
    </w:p>
    <w:p w14:paraId="37DA6923" w14:textId="77777777" w:rsidR="0027048D" w:rsidRDefault="00000000">
      <w:pPr>
        <w:spacing w:after="120"/>
      </w:pPr>
      <w:r>
        <w:rPr>
          <w:color w:val="333333"/>
        </w:rPr>
        <w:t>The project follows a modular architecture with clear separation between data processing, modeling, visualization, and testing. All code is version-controlled on GitHub.</w:t>
      </w:r>
    </w:p>
    <w:p w14:paraId="510032FD" w14:textId="77777777" w:rsidR="0027048D" w:rsidRDefault="0027048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7048D" w14:paraId="2E4732C9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0F47F" w14:textId="77777777" w:rsidR="0027048D" w:rsidRDefault="00000000">
            <w:r>
              <w:rPr>
                <w:b/>
                <w:bCs/>
                <w:color w:val="FFFFFF"/>
                <w:sz w:val="20"/>
                <w:szCs w:val="20"/>
              </w:rPr>
              <w:t>Directory / File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064C9" w14:textId="77777777" w:rsidR="0027048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7048D" w14:paraId="1F349569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1299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data/raw/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A5FA9" w14:textId="77777777" w:rsidR="0027048D" w:rsidRDefault="00000000">
            <w:r>
              <w:rPr>
                <w:color w:val="333333"/>
                <w:sz w:val="20"/>
                <w:szCs w:val="20"/>
              </w:rPr>
              <w:t>Original Superstore CSV (latin-1 encoding)</w:t>
            </w:r>
          </w:p>
        </w:tc>
      </w:tr>
      <w:tr w:rsidR="0027048D" w14:paraId="109F642F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ADC5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data/preprocessed/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B2321" w14:textId="77777777" w:rsidR="0027048D" w:rsidRDefault="00000000">
            <w:r>
              <w:rPr>
                <w:color w:val="333333"/>
                <w:sz w:val="20"/>
                <w:szCs w:val="20"/>
              </w:rPr>
              <w:t>Cleaned transaction-level data</w:t>
            </w:r>
          </w:p>
        </w:tc>
      </w:tr>
      <w:tr w:rsidR="0027048D" w14:paraId="475046CF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32595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data/featured/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59C0C" w14:textId="77777777" w:rsidR="0027048D" w:rsidRDefault="00000000">
            <w:r>
              <w:rPr>
                <w:color w:val="333333"/>
                <w:sz w:val="20"/>
                <w:szCs w:val="20"/>
              </w:rPr>
              <w:t>Order-level, customer-level, and model_ready.csv</w:t>
            </w:r>
          </w:p>
        </w:tc>
      </w:tr>
      <w:tr w:rsidR="0027048D" w14:paraId="29B00FDA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953DB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src/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2DE88" w14:textId="77777777" w:rsidR="0027048D" w:rsidRDefault="00000000">
            <w:r>
              <w:rPr>
                <w:color w:val="333333"/>
                <w:sz w:val="20"/>
                <w:szCs w:val="20"/>
              </w:rPr>
              <w:t>Python modules: data_cleaning.py, feature_engineering.py, modeling.py, visualizations.py, forecasting.py, run_data_pipeline.py</w:t>
            </w:r>
          </w:p>
        </w:tc>
      </w:tr>
      <w:tr w:rsidR="0027048D" w14:paraId="1B3421D8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CEF31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notebooks/ (01–08)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11234" w14:textId="77777777" w:rsidR="0027048D" w:rsidRDefault="00000000">
            <w:r>
              <w:rPr>
                <w:color w:val="333333"/>
                <w:sz w:val="20"/>
                <w:szCs w:val="20"/>
              </w:rPr>
              <w:t xml:space="preserve">End-to-end analysis: profiling, cleaning, feature </w:t>
            </w:r>
            <w:proofErr w:type="spellStart"/>
            <w:r>
              <w:rPr>
                <w:color w:val="333333"/>
                <w:sz w:val="20"/>
                <w:szCs w:val="20"/>
              </w:rPr>
              <w:t>eng.</w:t>
            </w:r>
            <w:proofErr w:type="spellEnd"/>
            <w:r>
              <w:rPr>
                <w:color w:val="333333"/>
                <w:sz w:val="20"/>
                <w:szCs w:val="20"/>
              </w:rPr>
              <w:t>, EDA, forecasting, profitability, churn prediction, recommendations</w:t>
            </w:r>
          </w:p>
        </w:tc>
      </w:tr>
      <w:tr w:rsidR="0027048D" w14:paraId="338F5A61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323DA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model/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32782" w14:textId="77777777" w:rsidR="0027048D" w:rsidRDefault="00000000">
            <w:r>
              <w:rPr>
                <w:color w:val="333333"/>
                <w:sz w:val="20"/>
                <w:szCs w:val="20"/>
              </w:rPr>
              <w:t>best_model.pkl and scaler.pkl</w:t>
            </w:r>
          </w:p>
        </w:tc>
      </w:tr>
      <w:tr w:rsidR="0027048D" w14:paraId="53196DF1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AFEE7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tests/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9837" w14:textId="77777777" w:rsidR="0027048D" w:rsidRDefault="00000000">
            <w:r>
              <w:rPr>
                <w:color w:val="333333"/>
                <w:sz w:val="20"/>
                <w:szCs w:val="20"/>
              </w:rPr>
              <w:t>Unit tests for cleaning, feature engineering, and modeling (pytest)</w:t>
            </w:r>
          </w:p>
        </w:tc>
      </w:tr>
      <w:tr w:rsidR="0027048D" w14:paraId="7A3A361A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B890D" w14:textId="77777777" w:rsidR="0027048D" w:rsidRDefault="00000000">
            <w:r>
              <w:rPr>
                <w:b/>
                <w:bCs/>
                <w:color w:val="1B4F72"/>
                <w:sz w:val="20"/>
                <w:szCs w:val="20"/>
              </w:rPr>
              <w:t>images/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56AAD" w14:textId="77777777" w:rsidR="0027048D" w:rsidRDefault="00000000">
            <w:r>
              <w:rPr>
                <w:color w:val="333333"/>
                <w:sz w:val="20"/>
                <w:szCs w:val="20"/>
              </w:rPr>
              <w:t>EDA charts and Power BI dashboard screenshots</w:t>
            </w:r>
          </w:p>
        </w:tc>
      </w:tr>
    </w:tbl>
    <w:p w14:paraId="263A79AF" w14:textId="77777777" w:rsidR="0027048D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Table 5: Project Structure</w:t>
      </w:r>
    </w:p>
    <w:p w14:paraId="2C5AFA2E" w14:textId="77777777" w:rsidR="0027048D" w:rsidRDefault="00000000" w:rsidP="00AC1654">
      <w:pPr>
        <w:spacing w:after="120"/>
        <w:jc w:val="both"/>
      </w:pPr>
      <w:r>
        <w:rPr>
          <w:color w:val="333333"/>
        </w:rPr>
        <w:t>To reproduce: clone the repository, install requirements (pip install -r requirements.txt), place superstore.csv in data/raw/, run python src/run_data_pipeline.py, and execute notebooks 01–08 in sequence. Tests can be run with pytest tests/ -v.</w:t>
      </w:r>
    </w:p>
    <w:p w14:paraId="393C74C1" w14:textId="77777777" w:rsidR="0027048D" w:rsidRDefault="00000000">
      <w:pPr>
        <w:pStyle w:val="Heading1"/>
      </w:pPr>
      <w:r>
        <w:t>9. Key Design Decisions</w:t>
      </w:r>
    </w:p>
    <w:p w14:paraId="5F57D2DF" w14:textId="77777777" w:rsidR="0027048D" w:rsidRDefault="00000000" w:rsidP="00AC1654"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Data leakage prevention: </w:t>
      </w:r>
      <w:r>
        <w:t>recency_days was excluded from all model features because it directly defines the churn target (365-day inactivity). This was caught during correlation analysis and is documented in the pipeline.</w:t>
      </w:r>
    </w:p>
    <w:p w14:paraId="4741AF25" w14:textId="77777777" w:rsidR="0027048D" w:rsidRDefault="00000000" w:rsidP="00AC1654"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Model selection rationale: </w:t>
      </w:r>
      <w:r>
        <w:t>Logistic Regression was selected over tree-based models despite comparable AUC-ROC because it provides higher recall for the churned class (critical for retention campaigns) and better interpretability for stakeholder communication.</w:t>
      </w:r>
    </w:p>
    <w:p w14:paraId="3DE8FB21" w14:textId="77777777" w:rsidR="0027048D" w:rsidRDefault="00000000" w:rsidP="00AC1654"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Dashboard architecture: </w:t>
      </w:r>
      <w:r>
        <w:t>Power BI Service with star-schema data model (fact + dimension tables) and DAX measures enables dynamic cross-filtering and drill-down across all five dashboard pages.</w:t>
      </w:r>
    </w:p>
    <w:p w14:paraId="2DF6EEEA" w14:textId="77777777" w:rsidR="0027048D" w:rsidRDefault="00000000" w:rsidP="00AC1654"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Conservative estimates: </w:t>
      </w:r>
      <w:r>
        <w:t>All profit impact projections use conservative ranges (e.g., $50K–$80K rather than point estimates) to reflect uncertainty in behavioral response to policy changes.</w:t>
      </w:r>
    </w:p>
    <w:p w14:paraId="22FE6E64" w14:textId="07B8BD81" w:rsidR="0027048D" w:rsidRDefault="00000000" w:rsidP="00AC1654">
      <w:pPr>
        <w:pStyle w:val="ListParagraph"/>
        <w:numPr>
          <w:ilvl w:val="0"/>
          <w:numId w:val="3"/>
        </w:numPr>
        <w:spacing w:after="120"/>
        <w:jc w:val="both"/>
      </w:pPr>
      <w:r>
        <w:rPr>
          <w:b/>
          <w:bCs/>
        </w:rPr>
        <w:t xml:space="preserve">Preprocessing vs. feature engineering boundary: </w:t>
      </w:r>
      <w:r>
        <w:t>Preprocessing handles cleaning, renaming, and cardinality reduction. Feature engineering produces net-new derived columns only (e.g., tenure_days, avg_profit_margin, unique_subcategories).</w:t>
      </w:r>
    </w:p>
    <w:sectPr w:rsidR="0027048D">
      <w:headerReference w:type="default" r:id="rId26"/>
      <w:footerReference w:type="default" r:id="rId2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D6269" w14:textId="77777777" w:rsidR="00430331" w:rsidRDefault="00430331">
      <w:r>
        <w:separator/>
      </w:r>
    </w:p>
  </w:endnote>
  <w:endnote w:type="continuationSeparator" w:id="0">
    <w:p w14:paraId="585D83F3" w14:textId="77777777" w:rsidR="00430331" w:rsidRDefault="00430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DD2E9" w14:textId="53114CC8" w:rsidR="0027048D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31B1F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C2879" w14:textId="77777777" w:rsidR="00430331" w:rsidRDefault="00430331">
      <w:r>
        <w:separator/>
      </w:r>
    </w:p>
  </w:footnote>
  <w:footnote w:type="continuationSeparator" w:id="0">
    <w:p w14:paraId="7F032BA5" w14:textId="77777777" w:rsidR="00430331" w:rsidRDefault="00430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551D4" w14:textId="6492E5C3" w:rsidR="0027048D" w:rsidRDefault="00000000">
    <w:pPr>
      <w:pBdr>
        <w:bottom w:val="single" w:sz="2" w:space="4" w:color="2E86C1"/>
      </w:pBdr>
      <w:tabs>
        <w:tab w:val="right" w:pos="9026"/>
      </w:tabs>
    </w:pPr>
    <w:r>
      <w:rPr>
        <w:color w:val="666666"/>
        <w:sz w:val="16"/>
        <w:szCs w:val="16"/>
      </w:rPr>
      <w:t>Financial Operations Analytics  |  U.S. Superstore</w:t>
    </w:r>
    <w:r>
      <w:rPr>
        <w:color w:val="666666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C749B"/>
    <w:multiLevelType w:val="hybridMultilevel"/>
    <w:tmpl w:val="ADF894B6"/>
    <w:lvl w:ilvl="0" w:tplc="9280A482">
      <w:start w:val="1"/>
      <w:numFmt w:val="bullet"/>
      <w:lvlText w:val="●"/>
      <w:lvlJc w:val="left"/>
      <w:pPr>
        <w:ind w:left="720" w:hanging="360"/>
      </w:pPr>
    </w:lvl>
    <w:lvl w:ilvl="1" w:tplc="99224BC6">
      <w:start w:val="1"/>
      <w:numFmt w:val="bullet"/>
      <w:lvlText w:val="○"/>
      <w:lvlJc w:val="left"/>
      <w:pPr>
        <w:ind w:left="1440" w:hanging="360"/>
      </w:pPr>
    </w:lvl>
    <w:lvl w:ilvl="2" w:tplc="786EA4AE">
      <w:start w:val="1"/>
      <w:numFmt w:val="bullet"/>
      <w:lvlText w:val="■"/>
      <w:lvlJc w:val="left"/>
      <w:pPr>
        <w:ind w:left="2160" w:hanging="360"/>
      </w:pPr>
    </w:lvl>
    <w:lvl w:ilvl="3" w:tplc="3C6A3D1E">
      <w:start w:val="1"/>
      <w:numFmt w:val="bullet"/>
      <w:lvlText w:val="●"/>
      <w:lvlJc w:val="left"/>
      <w:pPr>
        <w:ind w:left="2880" w:hanging="360"/>
      </w:pPr>
    </w:lvl>
    <w:lvl w:ilvl="4" w:tplc="3A80C1DC">
      <w:start w:val="1"/>
      <w:numFmt w:val="bullet"/>
      <w:lvlText w:val="○"/>
      <w:lvlJc w:val="left"/>
      <w:pPr>
        <w:ind w:left="3600" w:hanging="360"/>
      </w:pPr>
    </w:lvl>
    <w:lvl w:ilvl="5" w:tplc="9886EAD8">
      <w:start w:val="1"/>
      <w:numFmt w:val="bullet"/>
      <w:lvlText w:val="■"/>
      <w:lvlJc w:val="left"/>
      <w:pPr>
        <w:ind w:left="4320" w:hanging="360"/>
      </w:pPr>
    </w:lvl>
    <w:lvl w:ilvl="6" w:tplc="E5128062">
      <w:start w:val="1"/>
      <w:numFmt w:val="bullet"/>
      <w:lvlText w:val="●"/>
      <w:lvlJc w:val="left"/>
      <w:pPr>
        <w:ind w:left="5040" w:hanging="360"/>
      </w:pPr>
    </w:lvl>
    <w:lvl w:ilvl="7" w:tplc="A8E01F14">
      <w:start w:val="1"/>
      <w:numFmt w:val="bullet"/>
      <w:lvlText w:val="●"/>
      <w:lvlJc w:val="left"/>
      <w:pPr>
        <w:ind w:left="5760" w:hanging="360"/>
      </w:pPr>
    </w:lvl>
    <w:lvl w:ilvl="8" w:tplc="AF2CA1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7427E9"/>
    <w:multiLevelType w:val="hybridMultilevel"/>
    <w:tmpl w:val="90CA2AE2"/>
    <w:lvl w:ilvl="0" w:tplc="97A86EF8">
      <w:start w:val="1"/>
      <w:numFmt w:val="bullet"/>
      <w:lvlText w:val="•"/>
      <w:lvlJc w:val="left"/>
      <w:pPr>
        <w:ind w:left="720" w:hanging="360"/>
      </w:pPr>
    </w:lvl>
    <w:lvl w:ilvl="1" w:tplc="995AAA04">
      <w:numFmt w:val="decimal"/>
      <w:lvlText w:val=""/>
      <w:lvlJc w:val="left"/>
    </w:lvl>
    <w:lvl w:ilvl="2" w:tplc="F1421050">
      <w:numFmt w:val="decimal"/>
      <w:lvlText w:val=""/>
      <w:lvlJc w:val="left"/>
    </w:lvl>
    <w:lvl w:ilvl="3" w:tplc="53F07BB6">
      <w:numFmt w:val="decimal"/>
      <w:lvlText w:val=""/>
      <w:lvlJc w:val="left"/>
    </w:lvl>
    <w:lvl w:ilvl="4" w:tplc="5DE214E0">
      <w:numFmt w:val="decimal"/>
      <w:lvlText w:val=""/>
      <w:lvlJc w:val="left"/>
    </w:lvl>
    <w:lvl w:ilvl="5" w:tplc="5A8E6A78">
      <w:numFmt w:val="decimal"/>
      <w:lvlText w:val=""/>
      <w:lvlJc w:val="left"/>
    </w:lvl>
    <w:lvl w:ilvl="6" w:tplc="14D0B246">
      <w:numFmt w:val="decimal"/>
      <w:lvlText w:val=""/>
      <w:lvlJc w:val="left"/>
    </w:lvl>
    <w:lvl w:ilvl="7" w:tplc="95A20EAC">
      <w:numFmt w:val="decimal"/>
      <w:lvlText w:val=""/>
      <w:lvlJc w:val="left"/>
    </w:lvl>
    <w:lvl w:ilvl="8" w:tplc="48A8A6D4">
      <w:numFmt w:val="decimal"/>
      <w:lvlText w:val=""/>
      <w:lvlJc w:val="left"/>
    </w:lvl>
  </w:abstractNum>
  <w:abstractNum w:abstractNumId="2" w15:restartNumberingAfterBreak="0">
    <w:nsid w:val="75882CDA"/>
    <w:multiLevelType w:val="hybridMultilevel"/>
    <w:tmpl w:val="C7269B6C"/>
    <w:lvl w:ilvl="0" w:tplc="19926CFA">
      <w:start w:val="1"/>
      <w:numFmt w:val="decimal"/>
      <w:lvlText w:val="%1."/>
      <w:lvlJc w:val="left"/>
      <w:pPr>
        <w:ind w:left="720" w:hanging="360"/>
      </w:pPr>
    </w:lvl>
    <w:lvl w:ilvl="1" w:tplc="1F28C304">
      <w:numFmt w:val="decimal"/>
      <w:lvlText w:val=""/>
      <w:lvlJc w:val="left"/>
    </w:lvl>
    <w:lvl w:ilvl="2" w:tplc="E480A906">
      <w:numFmt w:val="decimal"/>
      <w:lvlText w:val=""/>
      <w:lvlJc w:val="left"/>
    </w:lvl>
    <w:lvl w:ilvl="3" w:tplc="DACC78E8">
      <w:numFmt w:val="decimal"/>
      <w:lvlText w:val=""/>
      <w:lvlJc w:val="left"/>
    </w:lvl>
    <w:lvl w:ilvl="4" w:tplc="BD38949E">
      <w:numFmt w:val="decimal"/>
      <w:lvlText w:val=""/>
      <w:lvlJc w:val="left"/>
    </w:lvl>
    <w:lvl w:ilvl="5" w:tplc="0012F474">
      <w:numFmt w:val="decimal"/>
      <w:lvlText w:val=""/>
      <w:lvlJc w:val="left"/>
    </w:lvl>
    <w:lvl w:ilvl="6" w:tplc="AE6838B6">
      <w:numFmt w:val="decimal"/>
      <w:lvlText w:val=""/>
      <w:lvlJc w:val="left"/>
    </w:lvl>
    <w:lvl w:ilvl="7" w:tplc="1E22411C">
      <w:numFmt w:val="decimal"/>
      <w:lvlText w:val=""/>
      <w:lvlJc w:val="left"/>
    </w:lvl>
    <w:lvl w:ilvl="8" w:tplc="3058FED6">
      <w:numFmt w:val="decimal"/>
      <w:lvlText w:val=""/>
      <w:lvlJc w:val="left"/>
    </w:lvl>
  </w:abstractNum>
  <w:num w:numId="1" w16cid:durableId="1628584949">
    <w:abstractNumId w:val="0"/>
    <w:lvlOverride w:ilvl="0">
      <w:startOverride w:val="1"/>
    </w:lvlOverride>
  </w:num>
  <w:num w:numId="2" w16cid:durableId="1394354981">
    <w:abstractNumId w:val="2"/>
    <w:lvlOverride w:ilvl="0">
      <w:startOverride w:val="1"/>
    </w:lvlOverride>
  </w:num>
  <w:num w:numId="3" w16cid:durableId="19089566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48D"/>
    <w:rsid w:val="0027048D"/>
    <w:rsid w:val="00412F7C"/>
    <w:rsid w:val="00430331"/>
    <w:rsid w:val="008A3994"/>
    <w:rsid w:val="008F0A5C"/>
    <w:rsid w:val="00AC1654"/>
    <w:rsid w:val="00BB4077"/>
    <w:rsid w:val="00C31B1F"/>
    <w:rsid w:val="00D0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4B0BD2"/>
  <w15:docId w15:val="{16B5042D-D28B-8F48-8C0C-90680852F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2E86C1"/>
      </w:pBdr>
      <w:spacing w:before="360" w:after="160"/>
      <w:outlineLvl w:val="0"/>
    </w:pPr>
    <w:rPr>
      <w:b/>
      <w:bCs/>
      <w:color w:val="1B4F72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C3E5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1B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1B1F"/>
  </w:style>
  <w:style w:type="paragraph" w:styleId="Footer">
    <w:name w:val="footer"/>
    <w:basedOn w:val="Normal"/>
    <w:link w:val="FooterChar"/>
    <w:uiPriority w:val="99"/>
    <w:unhideWhenUsed/>
    <w:rsid w:val="00C31B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1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raj-mehta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github.com/nirajmehta960/financial-operations-analytic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1787</Words>
  <Characters>11601</Characters>
  <Application>Microsoft Office Word</Application>
  <DocSecurity>0</DocSecurity>
  <Lines>341</Lines>
  <Paragraphs>205</Paragraphs>
  <ScaleCrop>false</ScaleCrop>
  <Company/>
  <LinksUpToDate>false</LinksUpToDate>
  <CharactersWithSpaces>13183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Niraj Mehta</cp:lastModifiedBy>
  <cp:revision>3</cp:revision>
  <cp:lastPrinted>2026-03-15T19:17:00Z</cp:lastPrinted>
  <dcterms:created xsi:type="dcterms:W3CDTF">2026-03-15T19:17:00Z</dcterms:created>
  <dcterms:modified xsi:type="dcterms:W3CDTF">2026-03-15T19:18:00Z</dcterms:modified>
</cp:coreProperties>
</file>