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62B0" w14:textId="77777777" w:rsidR="002F6623" w:rsidRDefault="002F6623" w:rsidP="00CC14E2">
      <w:pPr>
        <w:spacing w:after="160"/>
        <w:rPr>
          <w:b/>
          <w:bCs/>
        </w:rPr>
      </w:pPr>
    </w:p>
    <w:p w14:paraId="18A33A58" w14:textId="483EA8E6" w:rsidR="00EA67D0" w:rsidRDefault="00C53FBD">
      <w:pPr>
        <w:spacing w:after="160"/>
        <w:jc w:val="center"/>
      </w:pPr>
      <w:r>
        <w:rPr>
          <w:b/>
          <w:bCs/>
          <w:sz w:val="26"/>
          <w:szCs w:val="26"/>
        </w:rPr>
        <w:t>ABSTRACT</w:t>
      </w:r>
    </w:p>
    <w:p w14:paraId="39ADC77B" w14:textId="4044E026" w:rsidR="001D019C" w:rsidRDefault="00E03ADB" w:rsidP="001D019C">
      <w:pPr>
        <w:spacing w:after="200" w:line="276" w:lineRule="auto"/>
        <w:jc w:val="both"/>
      </w:pPr>
      <w:r w:rsidRPr="00E03ADB">
        <w:t xml:space="preserve">This paper </w:t>
      </w:r>
      <w:r w:rsidR="00184FE8">
        <w:t>backtests</w:t>
      </w:r>
      <w:r w:rsidRPr="00E03ADB">
        <w:t xml:space="preserve"> three Value-at-Risk (VaR) models—Historical Simulation, Parametric (Normal), and Student-t—hold up when tested against S&amp;P 500 daily returns covering January 2018 through December 2024. That seven-year run features four </w:t>
      </w:r>
      <w:r w:rsidR="00D25485" w:rsidRPr="00E03ADB">
        <w:t>distinct</w:t>
      </w:r>
      <w:r w:rsidRPr="00E03ADB">
        <w:t xml:space="preserve"> market backdrops: the tail end of pre-COVID growth, the 2020 COVID-19 plunge and quick recovery, the bear market sparked by Fed rate hikes in 2022, and the rebound of 2023–2024. Lots of classic backtesting work just calibrates a VaR model once over a fixed period and then checks how it did, but that’s not the approach here. Instead, this study uses a walk-forward design. Each model is recalibrated every day with the previous 250 trading days—and then checked against the next day’s actual return. That gives us 1,509 out-of-sample forecast days between January 2019 and December 2024</w:t>
      </w:r>
      <w:r w:rsidR="00C53FBD">
        <w:t xml:space="preserve">. </w:t>
      </w:r>
    </w:p>
    <w:p w14:paraId="49020541" w14:textId="21153ED1" w:rsidR="00EA67D0" w:rsidRDefault="001D019C" w:rsidP="001D019C">
      <w:pPr>
        <w:spacing w:after="200" w:line="276" w:lineRule="auto"/>
        <w:jc w:val="both"/>
      </w:pPr>
      <w:r>
        <w:t xml:space="preserve">To judge the models, three big backtesting tests get used: Kupiec’s Proportion of Failures test (1995), Christoffersen’s Conditional Coverage test (1998), and the Basel Committee Traffic Light test. All </w:t>
      </w:r>
      <w:r w:rsidR="00D25485">
        <w:t>these fits</w:t>
      </w:r>
      <w:r>
        <w:t xml:space="preserve"> under the SR 11-7 model-risk-management framework, which was the rule of the land until the Fed’s April 2026 switch to SR 26-2. The results aren’t just a clear “winner” vs “loser”—things are more nuanced. At the tough 99% confidence level, all three models formally miss unconditional coverage, but the gap is </w:t>
      </w:r>
      <w:r w:rsidR="00D25485">
        <w:t>wide</w:t>
      </w:r>
      <w:r>
        <w:t xml:space="preserve"> across them. The Parametric Normal model is the worst offender by far (44 violations, LR = 36.92, p &lt; 0.0001), while Historical Simulation (26 violations; LR = 6.55) and Student-t (28 violations; LR = 8.91) get much closer to what you’d want. But it doesn’t stop there—violation clustering seems everywhere. All models fail the Christoffersen independence test at 95%, and only Student-t barely manages independence at 99% (p = 0.107). Its conditional-coverage test still rejects, though, thanks to coverage shortfall. Breaking down subperiods, the grinding 2022 rate-hiking regime shakes up violation clustering more than the sharper COVID shock did, implying these gradual shifts are </w:t>
      </w:r>
      <w:r w:rsidR="00A778A0">
        <w:t>harder</w:t>
      </w:r>
      <w:r>
        <w:t xml:space="preserve"> for fixed-window estimators to follow than abrupt ones. On the final 250 days, none make it into Basel’s Green zone anymore. The takeaway? Clustering during regime shifts is baked into fixed-window VaR estimation—it’s not something you fix just by ditching the Normal distribution. This matters for SR 11-7 model validation, and, after SR 11-7’s replacement with SR 26-2, for how the new rules put more emphasis on materiality in model supervision</w:t>
      </w:r>
      <w:r w:rsidR="00C53FBD">
        <w:t>.</w:t>
      </w:r>
    </w:p>
    <w:p w14:paraId="6D906CCC" w14:textId="7EBF3E18" w:rsidR="00EA67D0" w:rsidRDefault="00C53FBD">
      <w:pPr>
        <w:spacing w:after="80" w:line="276" w:lineRule="auto"/>
        <w:jc w:val="both"/>
      </w:pPr>
      <w:r>
        <w:rPr>
          <w:sz w:val="20"/>
          <w:szCs w:val="20"/>
        </w:rPr>
        <w:t xml:space="preserve">Keywords: </w:t>
      </w:r>
      <w:r w:rsidR="00E35DC2" w:rsidRPr="00E35DC2">
        <w:rPr>
          <w:sz w:val="20"/>
          <w:szCs w:val="20"/>
        </w:rPr>
        <w:t>Value-at-Risk, Backtesting, Kupiec Test, Christoffersen Test, Basel Traffic Light, SR 11-7, SR 26-2, Model Validation, Walk-Forward Backtesting, Historical Simulation, Student-t Distribution, Fat Tails, Market Risk</w:t>
      </w:r>
    </w:p>
    <w:p w14:paraId="58AAB44F" w14:textId="77777777" w:rsidR="00EA67D0" w:rsidRDefault="00C53FBD">
      <w:pPr>
        <w:spacing w:line="276" w:lineRule="auto"/>
        <w:jc w:val="both"/>
        <w:rPr>
          <w:sz w:val="20"/>
          <w:szCs w:val="20"/>
        </w:rPr>
      </w:pPr>
      <w:r>
        <w:rPr>
          <w:sz w:val="20"/>
          <w:szCs w:val="20"/>
        </w:rPr>
        <w:t>JEL Classification: G10, G17, G28, C52, C58</w:t>
      </w:r>
    </w:p>
    <w:p w14:paraId="7E7BC01F" w14:textId="77777777" w:rsidR="007E4353" w:rsidRDefault="007E4353">
      <w:pPr>
        <w:spacing w:line="276" w:lineRule="auto"/>
        <w:jc w:val="both"/>
      </w:pPr>
    </w:p>
    <w:p w14:paraId="128011A1" w14:textId="77777777" w:rsidR="00EA67D0" w:rsidRDefault="00C53FBD">
      <w:pPr>
        <w:pStyle w:val="Heading1"/>
      </w:pPr>
      <w:r>
        <w:lastRenderedPageBreak/>
        <w:t>1. Introduction</w:t>
      </w:r>
    </w:p>
    <w:p w14:paraId="61623DA0" w14:textId="6ECFE5A2" w:rsidR="00F92EB5" w:rsidRDefault="00F92EB5" w:rsidP="00F92EB5">
      <w:pPr>
        <w:spacing w:after="100" w:line="276" w:lineRule="auto"/>
        <w:jc w:val="both"/>
      </w:pPr>
      <w:r>
        <w:t xml:space="preserve">Value-at-Risk (VaR) has been at the heart of financial risk management ever since J.P. Morgan introduced RiskMetrics back in the early 1990s. The idea’s </w:t>
      </w:r>
      <w:r w:rsidR="00A778A0">
        <w:t>simple</w:t>
      </w:r>
      <w:r>
        <w:t>: VaR tells you the max expected loss over a certain period, at a set confidence level. That made it the go-to for regulatory capital under Basel II, Basel III, and the Fundamental Review of the Trading Book (FRTB). In the U.S., the Federal Reserve’s Supervisory Guidance on Model Risk Management—SR 11-7 (2011)—put strict requirements on every quantitative model used for these purposes, VaR models included: independent validation, ongoing monitoring, and regular backtesting. SR 11-7 shaped model risk rules for fifteen years, until April 2026, when the Fed, OCC, and FDIC swapped it out for SR 26-2. We’ll come back to that change later. For this study, since the 2018–2024 sample fits squarely within SR 11-7’s reign, that’s the lens we use, though we’ll talk about what SR 26-2 changes.</w:t>
      </w:r>
    </w:p>
    <w:p w14:paraId="10E31C70" w14:textId="77777777" w:rsidR="00F92EB5" w:rsidRDefault="00F92EB5" w:rsidP="00F92EB5">
      <w:pPr>
        <w:spacing w:after="100" w:line="276" w:lineRule="auto"/>
        <w:jc w:val="both"/>
      </w:pPr>
    </w:p>
    <w:p w14:paraId="73C6AB15" w14:textId="77777777" w:rsidR="00F92EB5" w:rsidRDefault="00F92EB5" w:rsidP="00F92EB5">
      <w:pPr>
        <w:spacing w:after="100" w:line="276" w:lineRule="auto"/>
        <w:jc w:val="both"/>
      </w:pPr>
      <w:r>
        <w:t>VaR’s big flaw: it leans on how returns are distributed, and the usual assumption—that returns are Normally distributed—is about as thoroughly debunked as anything gets in finance. Equity return series show fat tails, negative skew, and volatility clustering—especially during market stress, exactly when risk measures need to be right. The upshot: a Gaussian VaR model misses tail risk, just when banks need to see it most.</w:t>
      </w:r>
    </w:p>
    <w:p w14:paraId="7D05B9A8" w14:textId="6C8660E4" w:rsidR="00F92EB5" w:rsidRDefault="00F92EB5" w:rsidP="00F92EB5">
      <w:pPr>
        <w:spacing w:after="100" w:line="276" w:lineRule="auto"/>
        <w:jc w:val="both"/>
      </w:pPr>
      <w:r>
        <w:t>The 2018–2024 stretch in this study isn’t an easy ride for VaR models. It dips into a late-2018 drawdown, the COVID crash in March 2020 (one of the fastest bear markets ever), and its quick rebound, the slow-burn Fed hiking bear market in 2022, and the 2023–2024 comeback. Rather than treating all seven years as a blob, this paper backtests each model out-of-sample, day by day, and breaks down the violations by market regime—which, it turns out, matters a lot.</w:t>
      </w:r>
    </w:p>
    <w:p w14:paraId="0E33B846" w14:textId="6E9F9FE6" w:rsidR="00F92EB5" w:rsidRDefault="00F92EB5" w:rsidP="00F92EB5">
      <w:pPr>
        <w:spacing w:after="100" w:line="276" w:lineRule="auto"/>
        <w:jc w:val="both"/>
      </w:pPr>
      <w:r>
        <w:t xml:space="preserve">This paper stands apart from most backtesting studies in a </w:t>
      </w:r>
      <w:r w:rsidR="00A778A0">
        <w:t>specific</w:t>
      </w:r>
      <w:r>
        <w:t xml:space="preserve"> way. Most, including Halilbegovic et al. (2019) and Fruzzetti, Nasti, and Orlandi (2023)—the two we compare against—set up the VaR model once (maybe a few times) and measure violations against that static threshold. It’s easy but blurs the line between fitting and actual forecasting. Here, every forecast for every model gets refit daily, using only what’s </w:t>
      </w:r>
      <w:r w:rsidR="00A778A0">
        <w:t>known</w:t>
      </w:r>
      <w:r>
        <w:t xml:space="preserve"> before that day. Each model’s recalibrated on a trailing 250-day window and compared to the next day’s actual return, a fresh run for all 1,509 out-of-sample days. That puts a lot more pressure on the models and changes what you see compared to a single static calibration.</w:t>
      </w:r>
    </w:p>
    <w:p w14:paraId="7F77B1BD" w14:textId="3D59154F" w:rsidR="00F92EB5" w:rsidRDefault="00F92EB5" w:rsidP="00F92EB5">
      <w:pPr>
        <w:spacing w:after="100" w:line="276" w:lineRule="auto"/>
        <w:jc w:val="both"/>
      </w:pPr>
      <w:r>
        <w:t xml:space="preserve">There are four findings here that stand out. First, with all three models held to the same walk-forward standard, unconditional coverage failures at 99% aren’t just a Gaussian thing—they show up across all three, though the Parametric Normal model is much worse (five to six times by LR stats) than Historical Simulation or Student-t. Second, clustering of violations is nearly universal too: every model fails Christoffersen’s independence at 95%, and only Student-t squeaks by at 99%, so fat-tailed assumptions help with clustering much more than with coverage itself. Third, breaking out violations by regime shows the 2022 rate-hiking bear market triggered a higher proportional excess of violations than the COVID crash, which is surprising since COVID was a </w:t>
      </w:r>
      <w:r>
        <w:lastRenderedPageBreak/>
        <w:t xml:space="preserve">sharper shock. But apparently, a fixed 250-day window catches up to sudden shocks better than those slow, grinding changes that take months to reveal themselves—most of </w:t>
      </w:r>
      <w:r w:rsidR="00A778A0">
        <w:t>the year</w:t>
      </w:r>
      <w:r>
        <w:t xml:space="preserve">, really. Fourth, if you focus just on the most recent 250 trading days in 2024, none of these </w:t>
      </w:r>
      <w:r w:rsidR="00A778A0">
        <w:t>model’s</w:t>
      </w:r>
      <w:r>
        <w:t xml:space="preserve"> </w:t>
      </w:r>
      <w:r w:rsidR="00A778A0">
        <w:t>land</w:t>
      </w:r>
      <w:r>
        <w:t xml:space="preserve"> in Basel’s Green zone </w:t>
      </w:r>
      <w:r w:rsidR="00A778A0">
        <w:t xml:space="preserve">anymore, </w:t>
      </w:r>
      <w:r>
        <w:t xml:space="preserve">which matters right now for any firm leaning on these approaches. </w:t>
      </w:r>
      <w:r w:rsidR="00A778A0">
        <w:t>Altogether</w:t>
      </w:r>
      <w:r>
        <w:t>, this says violation clustering during regime shifts is baked into fixed trailing-window VaR estimation. You don’t solve it just by swapping out Normal for Student-t. That drives work on regime-aware, machine-learning-based VaR models (see Section 7.2).</w:t>
      </w:r>
    </w:p>
    <w:p w14:paraId="2DEA89D6" w14:textId="77777777" w:rsidR="00F92EB5" w:rsidRDefault="00F92EB5" w:rsidP="00F92EB5">
      <w:pPr>
        <w:spacing w:after="100" w:line="276" w:lineRule="auto"/>
        <w:jc w:val="both"/>
      </w:pPr>
    </w:p>
    <w:p w14:paraId="19B6990E" w14:textId="77777777" w:rsidR="00F92EB5" w:rsidRDefault="00F92EB5" w:rsidP="00F92EB5">
      <w:pPr>
        <w:spacing w:after="100" w:line="276" w:lineRule="auto"/>
        <w:jc w:val="both"/>
      </w:pPr>
      <w:r>
        <w:t>The rest of the paper is laid out like this:</w:t>
      </w:r>
    </w:p>
    <w:p w14:paraId="0BDE8CEB" w14:textId="0349BF32" w:rsidR="00EA67D0" w:rsidRDefault="00F92EB5" w:rsidP="00F92EB5">
      <w:pPr>
        <w:spacing w:after="100" w:line="276" w:lineRule="auto"/>
        <w:jc w:val="both"/>
      </w:pPr>
      <w:r>
        <w:t>Section 2 reviews the literature, showing how this study’s walk-forward design fits in with recent work. Section 3 covers the data and basic stats. Section 4 explains each VaR estimation method and how the walk-forward works. Section 5 describes the backtesting tests. Section 6 dives into the results. Section 7 explores what all this means for SR 11-7 validation in practice—plus the April 2026 shift to SR 26-2—and what it suggests for building AI-powered VaR models. Section 8 wraps up and hints at next steps for research</w:t>
      </w:r>
      <w:r w:rsidR="00C53FBD">
        <w:t>.</w:t>
      </w:r>
    </w:p>
    <w:p w14:paraId="73D0BC81" w14:textId="77777777" w:rsidR="00EA67D0" w:rsidRDefault="00C53FBD">
      <w:pPr>
        <w:pStyle w:val="Heading1"/>
      </w:pPr>
      <w:r>
        <w:t>2. Literature Review</w:t>
      </w:r>
    </w:p>
    <w:p w14:paraId="29DC965A" w14:textId="77777777" w:rsidR="00EA67D0" w:rsidRDefault="00C53FBD">
      <w:pPr>
        <w:pStyle w:val="Heading2"/>
      </w:pPr>
      <w:r>
        <w:t>2.1 The Development of VaR as a Risk Measure</w:t>
      </w:r>
    </w:p>
    <w:p w14:paraId="2F16D0FB" w14:textId="77777777" w:rsidR="00475BC4" w:rsidRDefault="00475BC4" w:rsidP="003E2913">
      <w:pPr>
        <w:spacing w:after="200" w:line="276" w:lineRule="auto"/>
        <w:jc w:val="both"/>
      </w:pPr>
      <w:r>
        <w:t>VaR landed in mainstream finance with J.P. Morgan’s RiskMetrics (1994), then got locked in under Basel II (1996), which forced banks to hold capital against a 10-day 99% VaR estimate. That made VaR a real regulatory tool, not just an internal backstop, and suddenly getting the model right mattered. Jorion (2006) is still the go-to text for VaR; Christoffersen (2012) covers econometrics and the backtesting routines this paper uses.</w:t>
      </w:r>
    </w:p>
    <w:p w14:paraId="7E5269DA" w14:textId="1D93464D" w:rsidR="00EA67D0" w:rsidRDefault="00475BC4" w:rsidP="003E2913">
      <w:pPr>
        <w:spacing w:after="200" w:line="276" w:lineRule="auto"/>
        <w:jc w:val="both"/>
      </w:pPr>
      <w:r>
        <w:t>VaR’s flaws popped up almost as fast as it caught on. Decades before VaR was regulatory, Mandelbrot (1963) showed financial returns have fat tails, nothing like the Normal distribution—and this has been rediscovered so many times, it’s a stylized fact. Artzner et al. (1999) took a different tack: VaR flunks the sub-additivity property (diversifying can, oddly, raise your VaR), and they pitched Expected Shortfall (ES), which fixes that problem. Basel III FRTB (2019) moved toward ES for market-risk capital, but VaR backtesting still sits at the heart of model validation (see Fruzzetti et al., 2023).</w:t>
      </w:r>
    </w:p>
    <w:p w14:paraId="3AB3DBF0" w14:textId="77777777" w:rsidR="00EA67D0" w:rsidRDefault="00C53FBD">
      <w:pPr>
        <w:pStyle w:val="Heading2"/>
      </w:pPr>
      <w:r>
        <w:t>2.2 Backtesting Methodologies</w:t>
      </w:r>
    </w:p>
    <w:p w14:paraId="183C867D" w14:textId="3FC8A4E1" w:rsidR="00283727" w:rsidRDefault="00283727" w:rsidP="003E2913">
      <w:pPr>
        <w:spacing w:after="200" w:line="276" w:lineRule="auto"/>
        <w:jc w:val="both"/>
      </w:pPr>
      <w:r>
        <w:t xml:space="preserve">Backtesting means you match up predicted losses (VaR forecasts) against what actually happened (realized losses). Zhang and Nadarajah (2017) count nearly thirty distinct backtesting techniques, split into four camps: unconditional coverage, conditional (independence), duration-based tests, and odds-and-ends like density forecasts. Kupiec (1995) comes up with the most popular unconditional coverage </w:t>
      </w:r>
      <w:r w:rsidR="00A778A0">
        <w:t xml:space="preserve">test, </w:t>
      </w:r>
      <w:r>
        <w:t xml:space="preserve">the Proportion of Failures (POF), which checks if violation frequency </w:t>
      </w:r>
      <w:r>
        <w:lastRenderedPageBreak/>
        <w:t>matches the stated confidence level, using a likelihood ratio. But as Zhang and Nadarajah (2017) and Haas (2001) point out, this test ignores when the violations happen—a model could nail the number but clump them all in one panic week!</w:t>
      </w:r>
    </w:p>
    <w:p w14:paraId="06EB82EE" w14:textId="04FB672B" w:rsidR="00283727" w:rsidRDefault="00283727" w:rsidP="003E2913">
      <w:pPr>
        <w:spacing w:after="200" w:line="276" w:lineRule="auto"/>
        <w:jc w:val="both"/>
      </w:pPr>
      <w:r>
        <w:t>Christoffersen (1998) closes that gap, creating the Conditional Coverage test that checks both unconditional coverage and independence—because clustering (losses on consecutive days, both over VaR) points to a model that’s not keeping up with changing volatility. That’s a bigger issue than just the average violation frequency, especially in a crisis. In Section 6, that split—coverage vs independence—shows up in the results: some models have decent coverage but still fall flat on independence, exactly what the Christoffersen test spots.</w:t>
      </w:r>
    </w:p>
    <w:p w14:paraId="6CC0A6B5" w14:textId="788095CB" w:rsidR="00EA67D0" w:rsidRDefault="00283727" w:rsidP="003E2913">
      <w:pPr>
        <w:spacing w:after="200" w:line="276" w:lineRule="auto"/>
        <w:jc w:val="both"/>
      </w:pPr>
      <w:r>
        <w:t xml:space="preserve">The Basel Committee’s Traffic Light scheme (1996; 2019 revision) adds a blunt, but regulatory-heavy, layer: it sorts models into </w:t>
      </w:r>
      <w:r w:rsidR="00A778A0">
        <w:t>green, yellow, or red</w:t>
      </w:r>
      <w:r>
        <w:t xml:space="preserve"> zones based simply on violation counts (over 250 days at 99% confidence), with the Yellow and Red zones jacking up capital requirements or triggering mandatory reviews. Since it’s just the count, independence doesn’t matter, so you can pass Basel but fail Christoffersen—or vice versa</w:t>
      </w:r>
      <w:r w:rsidR="00C53FBD">
        <w:t>.</w:t>
      </w:r>
    </w:p>
    <w:p w14:paraId="35C85B13" w14:textId="77777777" w:rsidR="00EA67D0" w:rsidRDefault="00C53FBD">
      <w:pPr>
        <w:pStyle w:val="Heading2"/>
      </w:pPr>
      <w:r>
        <w:t>2.3 Fat Tails and Non-Normality in Financial Returns</w:t>
      </w:r>
    </w:p>
    <w:p w14:paraId="2E03DB81" w14:textId="77777777" w:rsidR="007560B7" w:rsidRDefault="007560B7" w:rsidP="003E2913">
      <w:pPr>
        <w:spacing w:after="200" w:line="276" w:lineRule="auto"/>
        <w:jc w:val="both"/>
      </w:pPr>
      <w:r>
        <w:t>Empirically, the Gaussian assumption for returns is dead. Fama (1965) showed daily stock returns are leptokurtic—fat tails—one of the earliest proofs of the point, and it’s been confirmed everywhere since. McNeil, Frey, and Embrechts (2015) find excess kurtosis in the 5–15 range for daily equity returns, which matches the S&amp;P 500’s full-sample kurtosis of 14.41 in our study (see Section 3)—high but not shocking given the inclusion of the March 2020 crash.</w:t>
      </w:r>
    </w:p>
    <w:p w14:paraId="4EDE66A9" w14:textId="21002156" w:rsidR="00EA67D0" w:rsidRDefault="007560B7" w:rsidP="003E2913">
      <w:pPr>
        <w:spacing w:after="200" w:line="276" w:lineRule="auto"/>
        <w:jc w:val="both"/>
      </w:pPr>
      <w:r>
        <w:t xml:space="preserve">The </w:t>
      </w:r>
      <w:r w:rsidR="00A778A0">
        <w:t>student</w:t>
      </w:r>
      <w:r>
        <w:t>-t distribution, with its freely adjustable tail thickness, is the main alternative to Normal in risk modeling; Blattberg and Gonedes (1974) suggested it for stocks and it’s been standard since. Low degrees of freedom make for fatter tails; typical daily equity estimates run 3–7 degrees. Historical Simulation skips distributional assumptions entirely and uses recent realized returns—great for matching whatever happened in the calibration window, but dependent on those specifics</w:t>
      </w:r>
      <w:r w:rsidR="00C53FBD">
        <w:t>.</w:t>
      </w:r>
    </w:p>
    <w:p w14:paraId="4515402E" w14:textId="77777777" w:rsidR="00EA67D0" w:rsidRDefault="00C53FBD">
      <w:pPr>
        <w:pStyle w:val="Heading2"/>
      </w:pPr>
      <w:r>
        <w:t>2.4 SR 11-7, SR 26-2, and Model Risk Management</w:t>
      </w:r>
    </w:p>
    <w:p w14:paraId="4221ECCB" w14:textId="5DE24D9C" w:rsidR="007560B7" w:rsidRDefault="007560B7" w:rsidP="00A778A0">
      <w:pPr>
        <w:spacing w:after="200" w:line="276" w:lineRule="auto"/>
        <w:jc w:val="both"/>
      </w:pPr>
      <w:r>
        <w:t>SR 11-7 (2011) steered model risk at U.S. financial institutions for fifteen years, defining models as “quantitative methods, systems, or approaches” that turn inputs into numbers using statistical/economic assumptions. VaR models fit the definition, so they had to undergo independent validation, monitoring, and backtesting—explicitly tying backtest results to model tweaks and restrictions.</w:t>
      </w:r>
    </w:p>
    <w:p w14:paraId="0C26A7C5" w14:textId="740B8D7D" w:rsidR="00EA67D0" w:rsidRDefault="007560B7" w:rsidP="003E2913">
      <w:pPr>
        <w:spacing w:after="200" w:line="276" w:lineRule="auto"/>
        <w:jc w:val="both"/>
      </w:pPr>
      <w:r>
        <w:t xml:space="preserve">April 17, 2026, brought the switch: SR 11-7 was replaced by SR 26-2 (Fed, OCC, FDIC, 2026), marking the first big revision since 2011. SR 26-2 keeps the core principles—independent challenge, validation, monitoring—but shifts the focus toward model materiality: tailoring expectations by risk profile, instead of “one-size-fits-all,” and narrows the “model” definition </w:t>
      </w:r>
      <w:r>
        <w:lastRenderedPageBreak/>
        <w:t>(leaving out basic deterministic calculations SR 11-7 had swept in). For this paper, since the sample is pure SR 11-7 era and the backtesting routines are still core disciplines under SR 26-2, we stick with SR 11-7 as the benchmark and later look at how SR 26-2 changes things</w:t>
      </w:r>
      <w:r w:rsidR="00C53FBD">
        <w:t>.</w:t>
      </w:r>
    </w:p>
    <w:p w14:paraId="41FEF128" w14:textId="77777777" w:rsidR="00EA67D0" w:rsidRDefault="00C53FBD">
      <w:pPr>
        <w:pStyle w:val="Heading2"/>
      </w:pPr>
      <w:r>
        <w:t>2.5 Positioning This Study</w:t>
      </w:r>
    </w:p>
    <w:p w14:paraId="3632722C" w14:textId="77777777" w:rsidR="000A05E5" w:rsidRDefault="000A05E5" w:rsidP="003E2913">
      <w:pPr>
        <w:spacing w:after="200" w:line="276" w:lineRule="auto"/>
        <w:jc w:val="both"/>
      </w:pPr>
      <w:r>
        <w:t>Two recent papers come close to this one in scope. Halilbegovic, Celebic, Arapovic, and Vehabovic (2019) backtest Historical Simulation, Parametric, and Monte Carlo VaR against a five-stock portfolio, using five backtests (POF, TUFF, Basel, Christoffersen, Mixed Kupiec), over just one calm year and calibrating from the static full sample. Fruzzetti, Nasti, and Orlandi (2023), with Bank of Italy data (2012–2021), backtest RiskMetrics VaR and expand into ES backtesting, using rolling windows for robustness but not as the main analysis.</w:t>
      </w:r>
    </w:p>
    <w:p w14:paraId="2EA77463" w14:textId="2EE27FD2" w:rsidR="000A05E5" w:rsidRDefault="000A05E5" w:rsidP="003E2913">
      <w:pPr>
        <w:spacing w:after="200" w:line="276" w:lineRule="auto"/>
        <w:jc w:val="both"/>
      </w:pPr>
      <w:r>
        <w:t xml:space="preserve">This study diverges from theirs in three big ways. First, scope: instead of just a handful of stocks or currency portfolios, we test a broad equity benchmark, traversing seven turbulent years and several regimes—the only way we could break out the violation patterns in Section 6.5. Second, estimation: where Halilbegovic et al. calibrate once and Fruzzetti et al. use rolling windows mainly as robustness checks, we deploy daily walk-forward re-estimation, so every forecast uses only data available before that day. Third, interpretation: a calm one-year sample lets Halilbegovic et al. declare their models “accurate at almost all levels,” while Fruzzetti et al. see their RiskMetrics VaR pass standard tests and ES fail. Our walk-forward, multi-regime approach, in contrast, finds coverage failures and clusterings everywhere, across all models—the differences are </w:t>
      </w:r>
      <w:r w:rsidR="00A778A0">
        <w:t>just</w:t>
      </w:r>
      <w:r>
        <w:t xml:space="preserve"> degree, not pass/fail. That’s evidence that conclusions about VaR adequacy depend a lot on the sample’s market regimes and the estimation design behind the </w:t>
      </w:r>
      <w:r w:rsidR="00A778A0">
        <w:t xml:space="preserve">forecasts, </w:t>
      </w:r>
      <w:r>
        <w:t>something that, frankly, deserves more attention in this space</w:t>
      </w:r>
      <w:r w:rsidR="00C53FBD">
        <w:t>.</w:t>
      </w:r>
    </w:p>
    <w:p w14:paraId="7C8C1B4C" w14:textId="77777777" w:rsidR="00EA67D0" w:rsidRDefault="00C53FBD">
      <w:pPr>
        <w:pStyle w:val="Heading1"/>
      </w:pPr>
      <w:r>
        <w:t>3. Data and Descriptive Statistics</w:t>
      </w:r>
    </w:p>
    <w:p w14:paraId="26002241" w14:textId="77777777" w:rsidR="00EA67D0" w:rsidRDefault="00C53FBD">
      <w:pPr>
        <w:pStyle w:val="Heading2"/>
      </w:pPr>
      <w:r>
        <w:t>3.1 Data Description</w:t>
      </w:r>
    </w:p>
    <w:p w14:paraId="429C8E22" w14:textId="0DEBDC29" w:rsidR="00137AF3" w:rsidRDefault="00137AF3" w:rsidP="008457A2">
      <w:pPr>
        <w:spacing w:after="200" w:line="276" w:lineRule="auto"/>
        <w:jc w:val="both"/>
      </w:pPr>
      <w:r>
        <w:t xml:space="preserve">I’m working with S&amp;P 500 daily closing prices, covering January 3, </w:t>
      </w:r>
      <w:r w:rsidR="00A778A0">
        <w:t>2018,</w:t>
      </w:r>
      <w:r>
        <w:t xml:space="preserve"> through December 30, 2024—1,759 trading days in total, all pulled from Yahoo Finance. The S&amp;P 500 makes sense as a test case. It’s not just the go-to U.S. equity benchmark; regulatory guidance (SR 11-7, now SR 26-2) centers on it, and its run from 2018 to 2024 includes just about every market mood: low-volatility stretches, a global crisis, a raging rally, and a stubborn bear market. The mix makes for a tough but realistic proving ground for Value at Risk (VaR) models—much better than a smooth or shorter history.</w:t>
      </w:r>
    </w:p>
    <w:p w14:paraId="17EC5818" w14:textId="5150F74E" w:rsidR="00EA67D0" w:rsidRDefault="00137AF3" w:rsidP="008457A2">
      <w:pPr>
        <w:spacing w:after="200" w:line="276" w:lineRule="auto"/>
        <w:jc w:val="both"/>
      </w:pPr>
      <w:r>
        <w:t>For returns, I calculated daily log returns by taking the natural log of the ratio between consecutive closing prices. Table 1 sums up the stats for both the entire period and five natural “regimes”: pre-COVID, the COVID crash, the post-crisis bull run, rate-hike bear market, and the more recent recovery</w:t>
      </w:r>
      <w:r w:rsidR="00C53FBD">
        <w:t>.</w:t>
      </w:r>
    </w:p>
    <w:p w14:paraId="60FC50C8" w14:textId="77777777" w:rsidR="00EA67D0" w:rsidRDefault="00C53FBD">
      <w:pPr>
        <w:spacing w:before="240" w:after="80"/>
      </w:pPr>
      <w:r>
        <w:rPr>
          <w:b/>
          <w:bCs/>
        </w:rPr>
        <w:lastRenderedPageBreak/>
        <w:t>Table 1 — S&amp;P 500 Descriptive Statistics, 2018–2024</w:t>
      </w:r>
    </w:p>
    <w:tbl>
      <w:tblPr>
        <w:tblW w:w="93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260"/>
        <w:gridCol w:w="780"/>
        <w:gridCol w:w="960"/>
        <w:gridCol w:w="1130"/>
        <w:gridCol w:w="960"/>
        <w:gridCol w:w="960"/>
        <w:gridCol w:w="960"/>
        <w:gridCol w:w="1290"/>
      </w:tblGrid>
      <w:tr w:rsidR="00EA67D0" w14:paraId="048C8B42" w14:textId="77777777">
        <w:trPr>
          <w:tblHeader/>
        </w:trPr>
        <w:tc>
          <w:tcPr>
            <w:tcW w:w="2260" w:type="dxa"/>
            <w:shd w:val="clear" w:color="auto" w:fill="D9D9D9"/>
            <w:tcMar>
              <w:top w:w="60" w:type="dxa"/>
              <w:left w:w="100" w:type="dxa"/>
              <w:bottom w:w="60" w:type="dxa"/>
              <w:right w:w="100" w:type="dxa"/>
            </w:tcMar>
            <w:vAlign w:val="center"/>
          </w:tcPr>
          <w:p w14:paraId="4AB3EE1C" w14:textId="77777777" w:rsidR="00EA67D0" w:rsidRDefault="00C53FBD">
            <w:pPr>
              <w:jc w:val="center"/>
            </w:pPr>
            <w:r>
              <w:rPr>
                <w:b/>
                <w:bCs/>
                <w:sz w:val="18"/>
                <w:szCs w:val="18"/>
              </w:rPr>
              <w:t>Period</w:t>
            </w:r>
          </w:p>
        </w:tc>
        <w:tc>
          <w:tcPr>
            <w:tcW w:w="780" w:type="dxa"/>
            <w:shd w:val="clear" w:color="auto" w:fill="D9D9D9"/>
            <w:tcMar>
              <w:top w:w="60" w:type="dxa"/>
              <w:left w:w="100" w:type="dxa"/>
              <w:bottom w:w="60" w:type="dxa"/>
              <w:right w:w="100" w:type="dxa"/>
            </w:tcMar>
            <w:vAlign w:val="center"/>
          </w:tcPr>
          <w:p w14:paraId="73C27FC3" w14:textId="77777777" w:rsidR="00EA67D0" w:rsidRDefault="00C53FBD">
            <w:pPr>
              <w:jc w:val="center"/>
            </w:pPr>
            <w:r>
              <w:rPr>
                <w:b/>
                <w:bCs/>
                <w:sz w:val="18"/>
                <w:szCs w:val="18"/>
              </w:rPr>
              <w:t>Obs.</w:t>
            </w:r>
          </w:p>
        </w:tc>
        <w:tc>
          <w:tcPr>
            <w:tcW w:w="960" w:type="dxa"/>
            <w:shd w:val="clear" w:color="auto" w:fill="D9D9D9"/>
            <w:tcMar>
              <w:top w:w="60" w:type="dxa"/>
              <w:left w:w="100" w:type="dxa"/>
              <w:bottom w:w="60" w:type="dxa"/>
              <w:right w:w="100" w:type="dxa"/>
            </w:tcMar>
            <w:vAlign w:val="center"/>
          </w:tcPr>
          <w:p w14:paraId="07AC42A5" w14:textId="77777777" w:rsidR="00EA67D0" w:rsidRDefault="00C53FBD">
            <w:pPr>
              <w:jc w:val="center"/>
            </w:pPr>
            <w:r>
              <w:rPr>
                <w:b/>
                <w:bCs/>
                <w:sz w:val="18"/>
                <w:szCs w:val="18"/>
              </w:rPr>
              <w:t>Mean (%)</w:t>
            </w:r>
          </w:p>
        </w:tc>
        <w:tc>
          <w:tcPr>
            <w:tcW w:w="1130" w:type="dxa"/>
            <w:shd w:val="clear" w:color="auto" w:fill="D9D9D9"/>
            <w:tcMar>
              <w:top w:w="60" w:type="dxa"/>
              <w:left w:w="100" w:type="dxa"/>
              <w:bottom w:w="60" w:type="dxa"/>
              <w:right w:w="100" w:type="dxa"/>
            </w:tcMar>
            <w:vAlign w:val="center"/>
          </w:tcPr>
          <w:p w14:paraId="76856F82" w14:textId="77777777" w:rsidR="00EA67D0" w:rsidRDefault="00C53FBD">
            <w:pPr>
              <w:jc w:val="center"/>
            </w:pPr>
            <w:r>
              <w:rPr>
                <w:b/>
                <w:bCs/>
                <w:sz w:val="18"/>
                <w:szCs w:val="18"/>
              </w:rPr>
              <w:t>Std Dev (%)</w:t>
            </w:r>
          </w:p>
        </w:tc>
        <w:tc>
          <w:tcPr>
            <w:tcW w:w="960" w:type="dxa"/>
            <w:shd w:val="clear" w:color="auto" w:fill="D9D9D9"/>
            <w:tcMar>
              <w:top w:w="60" w:type="dxa"/>
              <w:left w:w="100" w:type="dxa"/>
              <w:bottom w:w="60" w:type="dxa"/>
              <w:right w:w="100" w:type="dxa"/>
            </w:tcMar>
            <w:vAlign w:val="center"/>
          </w:tcPr>
          <w:p w14:paraId="7813B793" w14:textId="77777777" w:rsidR="00EA67D0" w:rsidRDefault="00C53FBD">
            <w:pPr>
              <w:jc w:val="center"/>
            </w:pPr>
            <w:r>
              <w:rPr>
                <w:b/>
                <w:bCs/>
                <w:sz w:val="18"/>
                <w:szCs w:val="18"/>
              </w:rPr>
              <w:t>Min (%)</w:t>
            </w:r>
          </w:p>
        </w:tc>
        <w:tc>
          <w:tcPr>
            <w:tcW w:w="960" w:type="dxa"/>
            <w:shd w:val="clear" w:color="auto" w:fill="D9D9D9"/>
            <w:tcMar>
              <w:top w:w="60" w:type="dxa"/>
              <w:left w:w="100" w:type="dxa"/>
              <w:bottom w:w="60" w:type="dxa"/>
              <w:right w:w="100" w:type="dxa"/>
            </w:tcMar>
            <w:vAlign w:val="center"/>
          </w:tcPr>
          <w:p w14:paraId="27766B3B" w14:textId="77777777" w:rsidR="00EA67D0" w:rsidRDefault="00C53FBD">
            <w:pPr>
              <w:jc w:val="center"/>
            </w:pPr>
            <w:r>
              <w:rPr>
                <w:b/>
                <w:bCs/>
                <w:sz w:val="18"/>
                <w:szCs w:val="18"/>
              </w:rPr>
              <w:t>Max (%)</w:t>
            </w:r>
          </w:p>
        </w:tc>
        <w:tc>
          <w:tcPr>
            <w:tcW w:w="960" w:type="dxa"/>
            <w:shd w:val="clear" w:color="auto" w:fill="D9D9D9"/>
            <w:tcMar>
              <w:top w:w="60" w:type="dxa"/>
              <w:left w:w="100" w:type="dxa"/>
              <w:bottom w:w="60" w:type="dxa"/>
              <w:right w:w="100" w:type="dxa"/>
            </w:tcMar>
            <w:vAlign w:val="center"/>
          </w:tcPr>
          <w:p w14:paraId="04FC6E69" w14:textId="77777777" w:rsidR="00EA67D0" w:rsidRDefault="00C53FBD">
            <w:pPr>
              <w:jc w:val="center"/>
            </w:pPr>
            <w:r>
              <w:rPr>
                <w:b/>
                <w:bCs/>
                <w:sz w:val="18"/>
                <w:szCs w:val="18"/>
              </w:rPr>
              <w:t>Skewness</w:t>
            </w:r>
          </w:p>
        </w:tc>
        <w:tc>
          <w:tcPr>
            <w:tcW w:w="1290" w:type="dxa"/>
            <w:shd w:val="clear" w:color="auto" w:fill="D9D9D9"/>
            <w:tcMar>
              <w:top w:w="60" w:type="dxa"/>
              <w:left w:w="100" w:type="dxa"/>
              <w:bottom w:w="60" w:type="dxa"/>
              <w:right w:w="100" w:type="dxa"/>
            </w:tcMar>
            <w:vAlign w:val="center"/>
          </w:tcPr>
          <w:p w14:paraId="6324598E" w14:textId="77777777" w:rsidR="00EA67D0" w:rsidRDefault="00C53FBD">
            <w:pPr>
              <w:jc w:val="center"/>
            </w:pPr>
            <w:r>
              <w:rPr>
                <w:b/>
                <w:bCs/>
                <w:sz w:val="18"/>
                <w:szCs w:val="18"/>
              </w:rPr>
              <w:t>Excess Kurtosis</w:t>
            </w:r>
          </w:p>
        </w:tc>
      </w:tr>
      <w:tr w:rsidR="00EA67D0" w14:paraId="71C4C36E" w14:textId="77777777">
        <w:tc>
          <w:tcPr>
            <w:tcW w:w="2260" w:type="dxa"/>
            <w:tcMar>
              <w:top w:w="60" w:type="dxa"/>
              <w:left w:w="100" w:type="dxa"/>
              <w:bottom w:w="60" w:type="dxa"/>
              <w:right w:w="100" w:type="dxa"/>
            </w:tcMar>
            <w:vAlign w:val="center"/>
          </w:tcPr>
          <w:p w14:paraId="1EC72152" w14:textId="77777777" w:rsidR="00EA67D0" w:rsidRDefault="00C53FBD">
            <w:r>
              <w:rPr>
                <w:sz w:val="18"/>
                <w:szCs w:val="18"/>
              </w:rPr>
              <w:t>Full Sample (2018–2024)</w:t>
            </w:r>
          </w:p>
        </w:tc>
        <w:tc>
          <w:tcPr>
            <w:tcW w:w="780" w:type="dxa"/>
            <w:tcMar>
              <w:top w:w="60" w:type="dxa"/>
              <w:left w:w="100" w:type="dxa"/>
              <w:bottom w:w="60" w:type="dxa"/>
              <w:right w:w="100" w:type="dxa"/>
            </w:tcMar>
            <w:vAlign w:val="center"/>
          </w:tcPr>
          <w:p w14:paraId="5855FF0F" w14:textId="77777777" w:rsidR="00EA67D0" w:rsidRDefault="00C53FBD">
            <w:pPr>
              <w:jc w:val="center"/>
            </w:pPr>
            <w:r>
              <w:rPr>
                <w:sz w:val="18"/>
                <w:szCs w:val="18"/>
              </w:rPr>
              <w:t>1,759</w:t>
            </w:r>
          </w:p>
        </w:tc>
        <w:tc>
          <w:tcPr>
            <w:tcW w:w="960" w:type="dxa"/>
            <w:tcMar>
              <w:top w:w="60" w:type="dxa"/>
              <w:left w:w="100" w:type="dxa"/>
              <w:bottom w:w="60" w:type="dxa"/>
              <w:right w:w="100" w:type="dxa"/>
            </w:tcMar>
            <w:vAlign w:val="center"/>
          </w:tcPr>
          <w:p w14:paraId="7626CC18" w14:textId="77777777" w:rsidR="00EA67D0" w:rsidRDefault="00C53FBD">
            <w:pPr>
              <w:jc w:val="center"/>
            </w:pPr>
            <w:r>
              <w:rPr>
                <w:sz w:val="18"/>
                <w:szCs w:val="18"/>
              </w:rPr>
              <w:t>0.045</w:t>
            </w:r>
          </w:p>
        </w:tc>
        <w:tc>
          <w:tcPr>
            <w:tcW w:w="1130" w:type="dxa"/>
            <w:tcMar>
              <w:top w:w="60" w:type="dxa"/>
              <w:left w:w="100" w:type="dxa"/>
              <w:bottom w:w="60" w:type="dxa"/>
              <w:right w:w="100" w:type="dxa"/>
            </w:tcMar>
            <w:vAlign w:val="center"/>
          </w:tcPr>
          <w:p w14:paraId="4970B944" w14:textId="77777777" w:rsidR="00EA67D0" w:rsidRDefault="00C53FBD">
            <w:pPr>
              <w:jc w:val="center"/>
            </w:pPr>
            <w:r>
              <w:rPr>
                <w:sz w:val="18"/>
                <w:szCs w:val="18"/>
              </w:rPr>
              <w:t>1.248</w:t>
            </w:r>
          </w:p>
        </w:tc>
        <w:tc>
          <w:tcPr>
            <w:tcW w:w="960" w:type="dxa"/>
            <w:tcMar>
              <w:top w:w="60" w:type="dxa"/>
              <w:left w:w="100" w:type="dxa"/>
              <w:bottom w:w="60" w:type="dxa"/>
              <w:right w:w="100" w:type="dxa"/>
            </w:tcMar>
            <w:vAlign w:val="center"/>
          </w:tcPr>
          <w:p w14:paraId="04804BFC" w14:textId="77777777" w:rsidR="00EA67D0" w:rsidRDefault="00C53FBD">
            <w:pPr>
              <w:jc w:val="center"/>
            </w:pPr>
            <w:r>
              <w:rPr>
                <w:sz w:val="18"/>
                <w:szCs w:val="18"/>
              </w:rPr>
              <w:t>−12.765</w:t>
            </w:r>
          </w:p>
        </w:tc>
        <w:tc>
          <w:tcPr>
            <w:tcW w:w="960" w:type="dxa"/>
            <w:tcMar>
              <w:top w:w="60" w:type="dxa"/>
              <w:left w:w="100" w:type="dxa"/>
              <w:bottom w:w="60" w:type="dxa"/>
              <w:right w:w="100" w:type="dxa"/>
            </w:tcMar>
            <w:vAlign w:val="center"/>
          </w:tcPr>
          <w:p w14:paraId="48EFB3B3" w14:textId="77777777" w:rsidR="00EA67D0" w:rsidRDefault="00C53FBD">
            <w:pPr>
              <w:jc w:val="center"/>
            </w:pPr>
            <w:r>
              <w:rPr>
                <w:sz w:val="18"/>
                <w:szCs w:val="18"/>
              </w:rPr>
              <w:t>8.968</w:t>
            </w:r>
          </w:p>
        </w:tc>
        <w:tc>
          <w:tcPr>
            <w:tcW w:w="960" w:type="dxa"/>
            <w:tcMar>
              <w:top w:w="60" w:type="dxa"/>
              <w:left w:w="100" w:type="dxa"/>
              <w:bottom w:w="60" w:type="dxa"/>
              <w:right w:w="100" w:type="dxa"/>
            </w:tcMar>
            <w:vAlign w:val="center"/>
          </w:tcPr>
          <w:p w14:paraId="2ECDB9DD" w14:textId="77777777" w:rsidR="00EA67D0" w:rsidRDefault="00C53FBD">
            <w:pPr>
              <w:jc w:val="center"/>
            </w:pPr>
            <w:r>
              <w:rPr>
                <w:sz w:val="18"/>
                <w:szCs w:val="18"/>
              </w:rPr>
              <w:t>−0.816</w:t>
            </w:r>
          </w:p>
        </w:tc>
        <w:tc>
          <w:tcPr>
            <w:tcW w:w="1290" w:type="dxa"/>
            <w:tcMar>
              <w:top w:w="60" w:type="dxa"/>
              <w:left w:w="100" w:type="dxa"/>
              <w:bottom w:w="60" w:type="dxa"/>
              <w:right w:w="100" w:type="dxa"/>
            </w:tcMar>
            <w:vAlign w:val="center"/>
          </w:tcPr>
          <w:p w14:paraId="256012FA" w14:textId="77777777" w:rsidR="00EA67D0" w:rsidRDefault="00C53FBD">
            <w:pPr>
              <w:jc w:val="center"/>
            </w:pPr>
            <w:r>
              <w:rPr>
                <w:sz w:val="18"/>
                <w:szCs w:val="18"/>
              </w:rPr>
              <w:t>14.415</w:t>
            </w:r>
          </w:p>
        </w:tc>
      </w:tr>
      <w:tr w:rsidR="00EA67D0" w14:paraId="702E5CF3" w14:textId="77777777">
        <w:tc>
          <w:tcPr>
            <w:tcW w:w="2260" w:type="dxa"/>
            <w:shd w:val="clear" w:color="auto" w:fill="F5F5F5"/>
            <w:tcMar>
              <w:top w:w="60" w:type="dxa"/>
              <w:left w:w="100" w:type="dxa"/>
              <w:bottom w:w="60" w:type="dxa"/>
              <w:right w:w="100" w:type="dxa"/>
            </w:tcMar>
            <w:vAlign w:val="center"/>
          </w:tcPr>
          <w:p w14:paraId="248A3F29" w14:textId="77777777" w:rsidR="00EA67D0" w:rsidRDefault="00C53FBD">
            <w:r>
              <w:rPr>
                <w:sz w:val="18"/>
                <w:szCs w:val="18"/>
              </w:rPr>
              <w:t>Pre-COVID (2018–2019)</w:t>
            </w:r>
          </w:p>
        </w:tc>
        <w:tc>
          <w:tcPr>
            <w:tcW w:w="780" w:type="dxa"/>
            <w:shd w:val="clear" w:color="auto" w:fill="F5F5F5"/>
            <w:tcMar>
              <w:top w:w="60" w:type="dxa"/>
              <w:left w:w="100" w:type="dxa"/>
              <w:bottom w:w="60" w:type="dxa"/>
              <w:right w:w="100" w:type="dxa"/>
            </w:tcMar>
            <w:vAlign w:val="center"/>
          </w:tcPr>
          <w:p w14:paraId="66A5C675" w14:textId="77777777" w:rsidR="00EA67D0" w:rsidRDefault="00C53FBD">
            <w:pPr>
              <w:jc w:val="center"/>
            </w:pPr>
            <w:r>
              <w:rPr>
                <w:sz w:val="18"/>
                <w:szCs w:val="18"/>
              </w:rPr>
              <w:t>502</w:t>
            </w:r>
          </w:p>
        </w:tc>
        <w:tc>
          <w:tcPr>
            <w:tcW w:w="960" w:type="dxa"/>
            <w:shd w:val="clear" w:color="auto" w:fill="F5F5F5"/>
            <w:tcMar>
              <w:top w:w="60" w:type="dxa"/>
              <w:left w:w="100" w:type="dxa"/>
              <w:bottom w:w="60" w:type="dxa"/>
              <w:right w:w="100" w:type="dxa"/>
            </w:tcMar>
            <w:vAlign w:val="center"/>
          </w:tcPr>
          <w:p w14:paraId="00BB6A0C" w14:textId="77777777" w:rsidR="00EA67D0" w:rsidRDefault="00C53FBD">
            <w:pPr>
              <w:jc w:val="center"/>
            </w:pPr>
            <w:r>
              <w:rPr>
                <w:sz w:val="18"/>
                <w:szCs w:val="18"/>
              </w:rPr>
              <w:t>0.036</w:t>
            </w:r>
          </w:p>
        </w:tc>
        <w:tc>
          <w:tcPr>
            <w:tcW w:w="1130" w:type="dxa"/>
            <w:shd w:val="clear" w:color="auto" w:fill="F5F5F5"/>
            <w:tcMar>
              <w:top w:w="60" w:type="dxa"/>
              <w:left w:w="100" w:type="dxa"/>
              <w:bottom w:w="60" w:type="dxa"/>
              <w:right w:w="100" w:type="dxa"/>
            </w:tcMar>
            <w:vAlign w:val="center"/>
          </w:tcPr>
          <w:p w14:paraId="30E00548" w14:textId="77777777" w:rsidR="00EA67D0" w:rsidRDefault="00C53FBD">
            <w:pPr>
              <w:jc w:val="center"/>
            </w:pPr>
            <w:r>
              <w:rPr>
                <w:sz w:val="18"/>
                <w:szCs w:val="18"/>
              </w:rPr>
              <w:t>0.944</w:t>
            </w:r>
          </w:p>
        </w:tc>
        <w:tc>
          <w:tcPr>
            <w:tcW w:w="960" w:type="dxa"/>
            <w:shd w:val="clear" w:color="auto" w:fill="F5F5F5"/>
            <w:tcMar>
              <w:top w:w="60" w:type="dxa"/>
              <w:left w:w="100" w:type="dxa"/>
              <w:bottom w:w="60" w:type="dxa"/>
              <w:right w:w="100" w:type="dxa"/>
            </w:tcMar>
            <w:vAlign w:val="center"/>
          </w:tcPr>
          <w:p w14:paraId="1D377A78" w14:textId="77777777" w:rsidR="00EA67D0" w:rsidRDefault="00C53FBD">
            <w:pPr>
              <w:jc w:val="center"/>
            </w:pPr>
            <w:r>
              <w:rPr>
                <w:sz w:val="18"/>
                <w:szCs w:val="18"/>
              </w:rPr>
              <w:t>−4.184</w:t>
            </w:r>
          </w:p>
        </w:tc>
        <w:tc>
          <w:tcPr>
            <w:tcW w:w="960" w:type="dxa"/>
            <w:shd w:val="clear" w:color="auto" w:fill="F5F5F5"/>
            <w:tcMar>
              <w:top w:w="60" w:type="dxa"/>
              <w:left w:w="100" w:type="dxa"/>
              <w:bottom w:w="60" w:type="dxa"/>
              <w:right w:w="100" w:type="dxa"/>
            </w:tcMar>
            <w:vAlign w:val="center"/>
          </w:tcPr>
          <w:p w14:paraId="74620E5E" w14:textId="77777777" w:rsidR="00EA67D0" w:rsidRDefault="00C53FBD">
            <w:pPr>
              <w:jc w:val="center"/>
            </w:pPr>
            <w:r>
              <w:rPr>
                <w:sz w:val="18"/>
                <w:szCs w:val="18"/>
              </w:rPr>
              <w:t>4.840</w:t>
            </w:r>
          </w:p>
        </w:tc>
        <w:tc>
          <w:tcPr>
            <w:tcW w:w="960" w:type="dxa"/>
            <w:shd w:val="clear" w:color="auto" w:fill="F5F5F5"/>
            <w:tcMar>
              <w:top w:w="60" w:type="dxa"/>
              <w:left w:w="100" w:type="dxa"/>
              <w:bottom w:w="60" w:type="dxa"/>
              <w:right w:w="100" w:type="dxa"/>
            </w:tcMar>
            <w:vAlign w:val="center"/>
          </w:tcPr>
          <w:p w14:paraId="70CE1A41" w14:textId="77777777" w:rsidR="00EA67D0" w:rsidRDefault="00C53FBD">
            <w:pPr>
              <w:jc w:val="center"/>
            </w:pPr>
            <w:r>
              <w:rPr>
                <w:sz w:val="18"/>
                <w:szCs w:val="18"/>
              </w:rPr>
              <w:t>−0.612</w:t>
            </w:r>
          </w:p>
        </w:tc>
        <w:tc>
          <w:tcPr>
            <w:tcW w:w="1290" w:type="dxa"/>
            <w:shd w:val="clear" w:color="auto" w:fill="F5F5F5"/>
            <w:tcMar>
              <w:top w:w="60" w:type="dxa"/>
              <w:left w:w="100" w:type="dxa"/>
              <w:bottom w:w="60" w:type="dxa"/>
              <w:right w:w="100" w:type="dxa"/>
            </w:tcMar>
            <w:vAlign w:val="center"/>
          </w:tcPr>
          <w:p w14:paraId="2DD219A3" w14:textId="77777777" w:rsidR="00EA67D0" w:rsidRDefault="00C53FBD">
            <w:pPr>
              <w:jc w:val="center"/>
            </w:pPr>
            <w:r>
              <w:rPr>
                <w:sz w:val="18"/>
                <w:szCs w:val="18"/>
              </w:rPr>
              <w:t>3.641</w:t>
            </w:r>
          </w:p>
        </w:tc>
      </w:tr>
      <w:tr w:rsidR="00EA67D0" w14:paraId="63915E6E" w14:textId="77777777">
        <w:tc>
          <w:tcPr>
            <w:tcW w:w="2260" w:type="dxa"/>
            <w:tcMar>
              <w:top w:w="60" w:type="dxa"/>
              <w:left w:w="100" w:type="dxa"/>
              <w:bottom w:w="60" w:type="dxa"/>
              <w:right w:w="100" w:type="dxa"/>
            </w:tcMar>
            <w:vAlign w:val="center"/>
          </w:tcPr>
          <w:p w14:paraId="3DB0D535" w14:textId="77777777" w:rsidR="00EA67D0" w:rsidRDefault="00C53FBD">
            <w:r>
              <w:rPr>
                <w:sz w:val="18"/>
                <w:szCs w:val="18"/>
              </w:rPr>
              <w:t>COVID Crisis (2020)</w:t>
            </w:r>
          </w:p>
        </w:tc>
        <w:tc>
          <w:tcPr>
            <w:tcW w:w="780" w:type="dxa"/>
            <w:tcMar>
              <w:top w:w="60" w:type="dxa"/>
              <w:left w:w="100" w:type="dxa"/>
              <w:bottom w:w="60" w:type="dxa"/>
              <w:right w:w="100" w:type="dxa"/>
            </w:tcMar>
            <w:vAlign w:val="center"/>
          </w:tcPr>
          <w:p w14:paraId="43F020B4" w14:textId="77777777" w:rsidR="00EA67D0" w:rsidRDefault="00C53FBD">
            <w:pPr>
              <w:jc w:val="center"/>
            </w:pPr>
            <w:r>
              <w:rPr>
                <w:sz w:val="18"/>
                <w:szCs w:val="18"/>
              </w:rPr>
              <w:t>253</w:t>
            </w:r>
          </w:p>
        </w:tc>
        <w:tc>
          <w:tcPr>
            <w:tcW w:w="960" w:type="dxa"/>
            <w:tcMar>
              <w:top w:w="60" w:type="dxa"/>
              <w:left w:w="100" w:type="dxa"/>
              <w:bottom w:w="60" w:type="dxa"/>
              <w:right w:w="100" w:type="dxa"/>
            </w:tcMar>
            <w:vAlign w:val="center"/>
          </w:tcPr>
          <w:p w14:paraId="6E237A0C" w14:textId="77777777" w:rsidR="00EA67D0" w:rsidRDefault="00C53FBD">
            <w:pPr>
              <w:jc w:val="center"/>
            </w:pPr>
            <w:r>
              <w:rPr>
                <w:sz w:val="18"/>
                <w:szCs w:val="18"/>
              </w:rPr>
              <w:t>0.060</w:t>
            </w:r>
          </w:p>
        </w:tc>
        <w:tc>
          <w:tcPr>
            <w:tcW w:w="1130" w:type="dxa"/>
            <w:tcMar>
              <w:top w:w="60" w:type="dxa"/>
              <w:left w:w="100" w:type="dxa"/>
              <w:bottom w:w="60" w:type="dxa"/>
              <w:right w:w="100" w:type="dxa"/>
            </w:tcMar>
            <w:vAlign w:val="center"/>
          </w:tcPr>
          <w:p w14:paraId="620E0456" w14:textId="77777777" w:rsidR="00EA67D0" w:rsidRDefault="00C53FBD">
            <w:pPr>
              <w:jc w:val="center"/>
            </w:pPr>
            <w:r>
              <w:rPr>
                <w:sz w:val="18"/>
                <w:szCs w:val="18"/>
              </w:rPr>
              <w:t>2.185</w:t>
            </w:r>
          </w:p>
        </w:tc>
        <w:tc>
          <w:tcPr>
            <w:tcW w:w="960" w:type="dxa"/>
            <w:tcMar>
              <w:top w:w="60" w:type="dxa"/>
              <w:left w:w="100" w:type="dxa"/>
              <w:bottom w:w="60" w:type="dxa"/>
              <w:right w:w="100" w:type="dxa"/>
            </w:tcMar>
            <w:vAlign w:val="center"/>
          </w:tcPr>
          <w:p w14:paraId="4EC93953" w14:textId="77777777" w:rsidR="00EA67D0" w:rsidRDefault="00C53FBD">
            <w:pPr>
              <w:jc w:val="center"/>
            </w:pPr>
            <w:r>
              <w:rPr>
                <w:sz w:val="18"/>
                <w:szCs w:val="18"/>
              </w:rPr>
              <w:t>−12.765</w:t>
            </w:r>
          </w:p>
        </w:tc>
        <w:tc>
          <w:tcPr>
            <w:tcW w:w="960" w:type="dxa"/>
            <w:tcMar>
              <w:top w:w="60" w:type="dxa"/>
              <w:left w:w="100" w:type="dxa"/>
              <w:bottom w:w="60" w:type="dxa"/>
              <w:right w:w="100" w:type="dxa"/>
            </w:tcMar>
            <w:vAlign w:val="center"/>
          </w:tcPr>
          <w:p w14:paraId="18A8F614" w14:textId="77777777" w:rsidR="00EA67D0" w:rsidRDefault="00C53FBD">
            <w:pPr>
              <w:jc w:val="center"/>
            </w:pPr>
            <w:r>
              <w:rPr>
                <w:sz w:val="18"/>
                <w:szCs w:val="18"/>
              </w:rPr>
              <w:t>8.968</w:t>
            </w:r>
          </w:p>
        </w:tc>
        <w:tc>
          <w:tcPr>
            <w:tcW w:w="960" w:type="dxa"/>
            <w:tcMar>
              <w:top w:w="60" w:type="dxa"/>
              <w:left w:w="100" w:type="dxa"/>
              <w:bottom w:w="60" w:type="dxa"/>
              <w:right w:w="100" w:type="dxa"/>
            </w:tcMar>
            <w:vAlign w:val="center"/>
          </w:tcPr>
          <w:p w14:paraId="24F51756" w14:textId="77777777" w:rsidR="00EA67D0" w:rsidRDefault="00C53FBD">
            <w:pPr>
              <w:jc w:val="center"/>
            </w:pPr>
            <w:r>
              <w:rPr>
                <w:sz w:val="18"/>
                <w:szCs w:val="18"/>
              </w:rPr>
              <w:t>−0.866</w:t>
            </w:r>
          </w:p>
        </w:tc>
        <w:tc>
          <w:tcPr>
            <w:tcW w:w="1290" w:type="dxa"/>
            <w:tcMar>
              <w:top w:w="60" w:type="dxa"/>
              <w:left w:w="100" w:type="dxa"/>
              <w:bottom w:w="60" w:type="dxa"/>
              <w:right w:w="100" w:type="dxa"/>
            </w:tcMar>
            <w:vAlign w:val="center"/>
          </w:tcPr>
          <w:p w14:paraId="698D0F50" w14:textId="77777777" w:rsidR="00EA67D0" w:rsidRDefault="00C53FBD">
            <w:pPr>
              <w:jc w:val="center"/>
            </w:pPr>
            <w:r>
              <w:rPr>
                <w:sz w:val="18"/>
                <w:szCs w:val="18"/>
              </w:rPr>
              <w:t>8.507</w:t>
            </w:r>
          </w:p>
        </w:tc>
      </w:tr>
      <w:tr w:rsidR="00EA67D0" w14:paraId="0B2B098D" w14:textId="77777777">
        <w:tc>
          <w:tcPr>
            <w:tcW w:w="2260" w:type="dxa"/>
            <w:shd w:val="clear" w:color="auto" w:fill="F5F5F5"/>
            <w:tcMar>
              <w:top w:w="60" w:type="dxa"/>
              <w:left w:w="100" w:type="dxa"/>
              <w:bottom w:w="60" w:type="dxa"/>
              <w:right w:w="100" w:type="dxa"/>
            </w:tcMar>
            <w:vAlign w:val="center"/>
          </w:tcPr>
          <w:p w14:paraId="5AE09127" w14:textId="77777777" w:rsidR="00EA67D0" w:rsidRDefault="00C53FBD">
            <w:r>
              <w:rPr>
                <w:sz w:val="18"/>
                <w:szCs w:val="18"/>
              </w:rPr>
              <w:t>Post-COVID Bull (2021)</w:t>
            </w:r>
          </w:p>
        </w:tc>
        <w:tc>
          <w:tcPr>
            <w:tcW w:w="780" w:type="dxa"/>
            <w:shd w:val="clear" w:color="auto" w:fill="F5F5F5"/>
            <w:tcMar>
              <w:top w:w="60" w:type="dxa"/>
              <w:left w:w="100" w:type="dxa"/>
              <w:bottom w:w="60" w:type="dxa"/>
              <w:right w:w="100" w:type="dxa"/>
            </w:tcMar>
            <w:vAlign w:val="center"/>
          </w:tcPr>
          <w:p w14:paraId="742D7449" w14:textId="77777777" w:rsidR="00EA67D0" w:rsidRDefault="00C53FBD">
            <w:pPr>
              <w:jc w:val="center"/>
            </w:pPr>
            <w:r>
              <w:rPr>
                <w:sz w:val="18"/>
                <w:szCs w:val="18"/>
              </w:rPr>
              <w:t>252</w:t>
            </w:r>
          </w:p>
        </w:tc>
        <w:tc>
          <w:tcPr>
            <w:tcW w:w="960" w:type="dxa"/>
            <w:shd w:val="clear" w:color="auto" w:fill="F5F5F5"/>
            <w:tcMar>
              <w:top w:w="60" w:type="dxa"/>
              <w:left w:w="100" w:type="dxa"/>
              <w:bottom w:w="60" w:type="dxa"/>
              <w:right w:w="100" w:type="dxa"/>
            </w:tcMar>
            <w:vAlign w:val="center"/>
          </w:tcPr>
          <w:p w14:paraId="0ED2FCAC" w14:textId="77777777" w:rsidR="00EA67D0" w:rsidRDefault="00C53FBD">
            <w:pPr>
              <w:jc w:val="center"/>
            </w:pPr>
            <w:r>
              <w:rPr>
                <w:sz w:val="18"/>
                <w:szCs w:val="18"/>
              </w:rPr>
              <w:t>0.095</w:t>
            </w:r>
          </w:p>
        </w:tc>
        <w:tc>
          <w:tcPr>
            <w:tcW w:w="1130" w:type="dxa"/>
            <w:shd w:val="clear" w:color="auto" w:fill="F5F5F5"/>
            <w:tcMar>
              <w:top w:w="60" w:type="dxa"/>
              <w:left w:w="100" w:type="dxa"/>
              <w:bottom w:w="60" w:type="dxa"/>
              <w:right w:w="100" w:type="dxa"/>
            </w:tcMar>
            <w:vAlign w:val="center"/>
          </w:tcPr>
          <w:p w14:paraId="4F34188B" w14:textId="77777777" w:rsidR="00EA67D0" w:rsidRDefault="00C53FBD">
            <w:pPr>
              <w:jc w:val="center"/>
            </w:pPr>
            <w:r>
              <w:rPr>
                <w:sz w:val="18"/>
                <w:szCs w:val="18"/>
              </w:rPr>
              <w:t>0.826</w:t>
            </w:r>
          </w:p>
        </w:tc>
        <w:tc>
          <w:tcPr>
            <w:tcW w:w="960" w:type="dxa"/>
            <w:shd w:val="clear" w:color="auto" w:fill="F5F5F5"/>
            <w:tcMar>
              <w:top w:w="60" w:type="dxa"/>
              <w:left w:w="100" w:type="dxa"/>
              <w:bottom w:w="60" w:type="dxa"/>
              <w:right w:w="100" w:type="dxa"/>
            </w:tcMar>
            <w:vAlign w:val="center"/>
          </w:tcPr>
          <w:p w14:paraId="1C9E5FF8" w14:textId="77777777" w:rsidR="00EA67D0" w:rsidRDefault="00C53FBD">
            <w:pPr>
              <w:jc w:val="center"/>
            </w:pPr>
            <w:r>
              <w:rPr>
                <w:sz w:val="18"/>
                <w:szCs w:val="18"/>
              </w:rPr>
              <w:t>−2.601</w:t>
            </w:r>
          </w:p>
        </w:tc>
        <w:tc>
          <w:tcPr>
            <w:tcW w:w="960" w:type="dxa"/>
            <w:shd w:val="clear" w:color="auto" w:fill="F5F5F5"/>
            <w:tcMar>
              <w:top w:w="60" w:type="dxa"/>
              <w:left w:w="100" w:type="dxa"/>
              <w:bottom w:w="60" w:type="dxa"/>
              <w:right w:w="100" w:type="dxa"/>
            </w:tcMar>
            <w:vAlign w:val="center"/>
          </w:tcPr>
          <w:p w14:paraId="02D46DE9" w14:textId="77777777" w:rsidR="00EA67D0" w:rsidRDefault="00C53FBD">
            <w:pPr>
              <w:jc w:val="center"/>
            </w:pPr>
            <w:r>
              <w:rPr>
                <w:sz w:val="18"/>
                <w:szCs w:val="18"/>
              </w:rPr>
              <w:t>2.351</w:t>
            </w:r>
          </w:p>
        </w:tc>
        <w:tc>
          <w:tcPr>
            <w:tcW w:w="960" w:type="dxa"/>
            <w:shd w:val="clear" w:color="auto" w:fill="F5F5F5"/>
            <w:tcMar>
              <w:top w:w="60" w:type="dxa"/>
              <w:left w:w="100" w:type="dxa"/>
              <w:bottom w:w="60" w:type="dxa"/>
              <w:right w:w="100" w:type="dxa"/>
            </w:tcMar>
            <w:vAlign w:val="center"/>
          </w:tcPr>
          <w:p w14:paraId="2A893BB1" w14:textId="77777777" w:rsidR="00EA67D0" w:rsidRDefault="00C53FBD">
            <w:pPr>
              <w:jc w:val="center"/>
            </w:pPr>
            <w:r>
              <w:rPr>
                <w:sz w:val="18"/>
                <w:szCs w:val="18"/>
              </w:rPr>
              <w:t>−0.369</w:t>
            </w:r>
          </w:p>
        </w:tc>
        <w:tc>
          <w:tcPr>
            <w:tcW w:w="1290" w:type="dxa"/>
            <w:shd w:val="clear" w:color="auto" w:fill="F5F5F5"/>
            <w:tcMar>
              <w:top w:w="60" w:type="dxa"/>
              <w:left w:w="100" w:type="dxa"/>
              <w:bottom w:w="60" w:type="dxa"/>
              <w:right w:w="100" w:type="dxa"/>
            </w:tcMar>
            <w:vAlign w:val="center"/>
          </w:tcPr>
          <w:p w14:paraId="6DC3CA0B" w14:textId="77777777" w:rsidR="00EA67D0" w:rsidRDefault="00C53FBD">
            <w:pPr>
              <w:jc w:val="center"/>
            </w:pPr>
            <w:r>
              <w:rPr>
                <w:sz w:val="18"/>
                <w:szCs w:val="18"/>
              </w:rPr>
              <w:t>0.698</w:t>
            </w:r>
          </w:p>
        </w:tc>
      </w:tr>
      <w:tr w:rsidR="00EA67D0" w14:paraId="27164CEB" w14:textId="77777777">
        <w:tc>
          <w:tcPr>
            <w:tcW w:w="2260" w:type="dxa"/>
            <w:tcMar>
              <w:top w:w="60" w:type="dxa"/>
              <w:left w:w="100" w:type="dxa"/>
              <w:bottom w:w="60" w:type="dxa"/>
              <w:right w:w="100" w:type="dxa"/>
            </w:tcMar>
            <w:vAlign w:val="center"/>
          </w:tcPr>
          <w:p w14:paraId="0D1A1BF3" w14:textId="77777777" w:rsidR="00EA67D0" w:rsidRDefault="00C53FBD">
            <w:r>
              <w:rPr>
                <w:sz w:val="18"/>
                <w:szCs w:val="18"/>
              </w:rPr>
              <w:t>Rate Hike Bear (2022)</w:t>
            </w:r>
          </w:p>
        </w:tc>
        <w:tc>
          <w:tcPr>
            <w:tcW w:w="780" w:type="dxa"/>
            <w:tcMar>
              <w:top w:w="60" w:type="dxa"/>
              <w:left w:w="100" w:type="dxa"/>
              <w:bottom w:w="60" w:type="dxa"/>
              <w:right w:w="100" w:type="dxa"/>
            </w:tcMar>
            <w:vAlign w:val="center"/>
          </w:tcPr>
          <w:p w14:paraId="3DAEF5D2" w14:textId="77777777" w:rsidR="00EA67D0" w:rsidRDefault="00C53FBD">
            <w:pPr>
              <w:jc w:val="center"/>
            </w:pPr>
            <w:r>
              <w:rPr>
                <w:sz w:val="18"/>
                <w:szCs w:val="18"/>
              </w:rPr>
              <w:t>251</w:t>
            </w:r>
          </w:p>
        </w:tc>
        <w:tc>
          <w:tcPr>
            <w:tcW w:w="960" w:type="dxa"/>
            <w:tcMar>
              <w:top w:w="60" w:type="dxa"/>
              <w:left w:w="100" w:type="dxa"/>
              <w:bottom w:w="60" w:type="dxa"/>
              <w:right w:w="100" w:type="dxa"/>
            </w:tcMar>
            <w:vAlign w:val="center"/>
          </w:tcPr>
          <w:p w14:paraId="7C194A22" w14:textId="77777777" w:rsidR="00EA67D0" w:rsidRDefault="00C53FBD">
            <w:pPr>
              <w:jc w:val="center"/>
            </w:pPr>
            <w:r>
              <w:rPr>
                <w:sz w:val="18"/>
                <w:szCs w:val="18"/>
              </w:rPr>
              <w:t>−0.086</w:t>
            </w:r>
          </w:p>
        </w:tc>
        <w:tc>
          <w:tcPr>
            <w:tcW w:w="1130" w:type="dxa"/>
            <w:tcMar>
              <w:top w:w="60" w:type="dxa"/>
              <w:left w:w="100" w:type="dxa"/>
              <w:bottom w:w="60" w:type="dxa"/>
              <w:right w:w="100" w:type="dxa"/>
            </w:tcMar>
            <w:vAlign w:val="center"/>
          </w:tcPr>
          <w:p w14:paraId="713DFA2D" w14:textId="77777777" w:rsidR="00EA67D0" w:rsidRDefault="00C53FBD">
            <w:pPr>
              <w:jc w:val="center"/>
            </w:pPr>
            <w:r>
              <w:rPr>
                <w:sz w:val="18"/>
                <w:szCs w:val="18"/>
              </w:rPr>
              <w:t>1.524</w:t>
            </w:r>
          </w:p>
        </w:tc>
        <w:tc>
          <w:tcPr>
            <w:tcW w:w="960" w:type="dxa"/>
            <w:tcMar>
              <w:top w:w="60" w:type="dxa"/>
              <w:left w:w="100" w:type="dxa"/>
              <w:bottom w:w="60" w:type="dxa"/>
              <w:right w:w="100" w:type="dxa"/>
            </w:tcMar>
            <w:vAlign w:val="center"/>
          </w:tcPr>
          <w:p w14:paraId="71B38C0D" w14:textId="77777777" w:rsidR="00EA67D0" w:rsidRDefault="00C53FBD">
            <w:pPr>
              <w:jc w:val="center"/>
            </w:pPr>
            <w:r>
              <w:rPr>
                <w:sz w:val="18"/>
                <w:szCs w:val="18"/>
              </w:rPr>
              <w:t>−4.420</w:t>
            </w:r>
          </w:p>
        </w:tc>
        <w:tc>
          <w:tcPr>
            <w:tcW w:w="960" w:type="dxa"/>
            <w:tcMar>
              <w:top w:w="60" w:type="dxa"/>
              <w:left w:w="100" w:type="dxa"/>
              <w:bottom w:w="60" w:type="dxa"/>
              <w:right w:w="100" w:type="dxa"/>
            </w:tcMar>
            <w:vAlign w:val="center"/>
          </w:tcPr>
          <w:p w14:paraId="1010CABB" w14:textId="77777777" w:rsidR="00EA67D0" w:rsidRDefault="00C53FBD">
            <w:pPr>
              <w:jc w:val="center"/>
            </w:pPr>
            <w:r>
              <w:rPr>
                <w:sz w:val="18"/>
                <w:szCs w:val="18"/>
              </w:rPr>
              <w:t>5.395</w:t>
            </w:r>
          </w:p>
        </w:tc>
        <w:tc>
          <w:tcPr>
            <w:tcW w:w="960" w:type="dxa"/>
            <w:tcMar>
              <w:top w:w="60" w:type="dxa"/>
              <w:left w:w="100" w:type="dxa"/>
              <w:bottom w:w="60" w:type="dxa"/>
              <w:right w:w="100" w:type="dxa"/>
            </w:tcMar>
            <w:vAlign w:val="center"/>
          </w:tcPr>
          <w:p w14:paraId="6F3E3316" w14:textId="77777777" w:rsidR="00EA67D0" w:rsidRDefault="00C53FBD">
            <w:pPr>
              <w:jc w:val="center"/>
            </w:pPr>
            <w:r>
              <w:rPr>
                <w:sz w:val="18"/>
                <w:szCs w:val="18"/>
              </w:rPr>
              <w:t>−0.009</w:t>
            </w:r>
          </w:p>
        </w:tc>
        <w:tc>
          <w:tcPr>
            <w:tcW w:w="1290" w:type="dxa"/>
            <w:tcMar>
              <w:top w:w="60" w:type="dxa"/>
              <w:left w:w="100" w:type="dxa"/>
              <w:bottom w:w="60" w:type="dxa"/>
              <w:right w:w="100" w:type="dxa"/>
            </w:tcMar>
            <w:vAlign w:val="center"/>
          </w:tcPr>
          <w:p w14:paraId="403AB3F3" w14:textId="77777777" w:rsidR="00EA67D0" w:rsidRDefault="00C53FBD">
            <w:pPr>
              <w:jc w:val="center"/>
            </w:pPr>
            <w:r>
              <w:rPr>
                <w:sz w:val="18"/>
                <w:szCs w:val="18"/>
              </w:rPr>
              <w:t>0.336</w:t>
            </w:r>
          </w:p>
        </w:tc>
      </w:tr>
      <w:tr w:rsidR="00EA67D0" w14:paraId="1BFFFDBD" w14:textId="77777777">
        <w:tc>
          <w:tcPr>
            <w:tcW w:w="2260" w:type="dxa"/>
            <w:shd w:val="clear" w:color="auto" w:fill="F5F5F5"/>
            <w:tcMar>
              <w:top w:w="60" w:type="dxa"/>
              <w:left w:w="100" w:type="dxa"/>
              <w:bottom w:w="60" w:type="dxa"/>
              <w:right w:w="100" w:type="dxa"/>
            </w:tcMar>
            <w:vAlign w:val="center"/>
          </w:tcPr>
          <w:p w14:paraId="1D918C78" w14:textId="77777777" w:rsidR="00EA67D0" w:rsidRDefault="00C53FBD">
            <w:r>
              <w:rPr>
                <w:sz w:val="18"/>
                <w:szCs w:val="18"/>
              </w:rPr>
              <w:t>Recovery (2023–2024)</w:t>
            </w:r>
          </w:p>
        </w:tc>
        <w:tc>
          <w:tcPr>
            <w:tcW w:w="780" w:type="dxa"/>
            <w:shd w:val="clear" w:color="auto" w:fill="F5F5F5"/>
            <w:tcMar>
              <w:top w:w="60" w:type="dxa"/>
              <w:left w:w="100" w:type="dxa"/>
              <w:bottom w:w="60" w:type="dxa"/>
              <w:right w:w="100" w:type="dxa"/>
            </w:tcMar>
            <w:vAlign w:val="center"/>
          </w:tcPr>
          <w:p w14:paraId="73C69ACD" w14:textId="77777777" w:rsidR="00EA67D0" w:rsidRDefault="00C53FBD">
            <w:pPr>
              <w:jc w:val="center"/>
            </w:pPr>
            <w:r>
              <w:rPr>
                <w:sz w:val="18"/>
                <w:szCs w:val="18"/>
              </w:rPr>
              <w:t>501</w:t>
            </w:r>
          </w:p>
        </w:tc>
        <w:tc>
          <w:tcPr>
            <w:tcW w:w="960" w:type="dxa"/>
            <w:shd w:val="clear" w:color="auto" w:fill="F5F5F5"/>
            <w:tcMar>
              <w:top w:w="60" w:type="dxa"/>
              <w:left w:w="100" w:type="dxa"/>
              <w:bottom w:w="60" w:type="dxa"/>
              <w:right w:w="100" w:type="dxa"/>
            </w:tcMar>
            <w:vAlign w:val="center"/>
          </w:tcPr>
          <w:p w14:paraId="252DA80E" w14:textId="77777777" w:rsidR="00EA67D0" w:rsidRDefault="00C53FBD">
            <w:pPr>
              <w:jc w:val="center"/>
            </w:pPr>
            <w:r>
              <w:rPr>
                <w:sz w:val="18"/>
                <w:szCs w:val="18"/>
              </w:rPr>
              <w:t>0.086</w:t>
            </w:r>
          </w:p>
        </w:tc>
        <w:tc>
          <w:tcPr>
            <w:tcW w:w="1130" w:type="dxa"/>
            <w:shd w:val="clear" w:color="auto" w:fill="F5F5F5"/>
            <w:tcMar>
              <w:top w:w="60" w:type="dxa"/>
              <w:left w:w="100" w:type="dxa"/>
              <w:bottom w:w="60" w:type="dxa"/>
              <w:right w:w="100" w:type="dxa"/>
            </w:tcMar>
            <w:vAlign w:val="center"/>
          </w:tcPr>
          <w:p w14:paraId="6394E50B" w14:textId="77777777" w:rsidR="00EA67D0" w:rsidRDefault="00C53FBD">
            <w:pPr>
              <w:jc w:val="center"/>
            </w:pPr>
            <w:r>
              <w:rPr>
                <w:sz w:val="18"/>
                <w:szCs w:val="18"/>
              </w:rPr>
              <w:t>0.811</w:t>
            </w:r>
          </w:p>
        </w:tc>
        <w:tc>
          <w:tcPr>
            <w:tcW w:w="960" w:type="dxa"/>
            <w:shd w:val="clear" w:color="auto" w:fill="F5F5F5"/>
            <w:tcMar>
              <w:top w:w="60" w:type="dxa"/>
              <w:left w:w="100" w:type="dxa"/>
              <w:bottom w:w="60" w:type="dxa"/>
              <w:right w:w="100" w:type="dxa"/>
            </w:tcMar>
            <w:vAlign w:val="center"/>
          </w:tcPr>
          <w:p w14:paraId="6223CD88" w14:textId="77777777" w:rsidR="00EA67D0" w:rsidRDefault="00C53FBD">
            <w:pPr>
              <w:jc w:val="center"/>
            </w:pPr>
            <w:r>
              <w:rPr>
                <w:sz w:val="18"/>
                <w:szCs w:val="18"/>
              </w:rPr>
              <w:t>−3.043</w:t>
            </w:r>
          </w:p>
        </w:tc>
        <w:tc>
          <w:tcPr>
            <w:tcW w:w="960" w:type="dxa"/>
            <w:shd w:val="clear" w:color="auto" w:fill="F5F5F5"/>
            <w:tcMar>
              <w:top w:w="60" w:type="dxa"/>
              <w:left w:w="100" w:type="dxa"/>
              <w:bottom w:w="60" w:type="dxa"/>
              <w:right w:w="100" w:type="dxa"/>
            </w:tcMar>
            <w:vAlign w:val="center"/>
          </w:tcPr>
          <w:p w14:paraId="1290C1E3" w14:textId="77777777" w:rsidR="00EA67D0" w:rsidRDefault="00C53FBD">
            <w:pPr>
              <w:jc w:val="center"/>
            </w:pPr>
            <w:r>
              <w:rPr>
                <w:sz w:val="18"/>
                <w:szCs w:val="18"/>
              </w:rPr>
              <w:t>2.498</w:t>
            </w:r>
          </w:p>
        </w:tc>
        <w:tc>
          <w:tcPr>
            <w:tcW w:w="960" w:type="dxa"/>
            <w:shd w:val="clear" w:color="auto" w:fill="F5F5F5"/>
            <w:tcMar>
              <w:top w:w="60" w:type="dxa"/>
              <w:left w:w="100" w:type="dxa"/>
              <w:bottom w:w="60" w:type="dxa"/>
              <w:right w:w="100" w:type="dxa"/>
            </w:tcMar>
            <w:vAlign w:val="center"/>
          </w:tcPr>
          <w:p w14:paraId="566ACF05" w14:textId="77777777" w:rsidR="00EA67D0" w:rsidRDefault="00C53FBD">
            <w:pPr>
              <w:jc w:val="center"/>
            </w:pPr>
            <w:r>
              <w:rPr>
                <w:sz w:val="18"/>
                <w:szCs w:val="18"/>
              </w:rPr>
              <w:t>−0.285</w:t>
            </w:r>
          </w:p>
        </w:tc>
        <w:tc>
          <w:tcPr>
            <w:tcW w:w="1290" w:type="dxa"/>
            <w:shd w:val="clear" w:color="auto" w:fill="F5F5F5"/>
            <w:tcMar>
              <w:top w:w="60" w:type="dxa"/>
              <w:left w:w="100" w:type="dxa"/>
              <w:bottom w:w="60" w:type="dxa"/>
              <w:right w:w="100" w:type="dxa"/>
            </w:tcMar>
            <w:vAlign w:val="center"/>
          </w:tcPr>
          <w:p w14:paraId="5A94DD70" w14:textId="77777777" w:rsidR="00EA67D0" w:rsidRDefault="00C53FBD">
            <w:pPr>
              <w:jc w:val="center"/>
            </w:pPr>
            <w:r>
              <w:rPr>
                <w:sz w:val="18"/>
                <w:szCs w:val="18"/>
              </w:rPr>
              <w:t>0.734</w:t>
            </w:r>
          </w:p>
        </w:tc>
      </w:tr>
    </w:tbl>
    <w:p w14:paraId="46B5EC4A" w14:textId="77777777" w:rsidR="00EA67D0" w:rsidRDefault="00C53FBD">
      <w:pPr>
        <w:spacing w:before="80" w:after="240"/>
      </w:pPr>
      <w:r>
        <w:rPr>
          <w:i/>
          <w:iCs/>
          <w:sz w:val="20"/>
          <w:szCs w:val="20"/>
        </w:rPr>
        <w:t>Source: Author calculations from S&amp;P 500 daily closing levels (Yahoo Finance). Kurtosis figures are excess kurtosis (Normal = 0). Full-sample and subperiod figures use calendar-year boundaries; Section 3.2 and Table 1 describe the full estimation sample, which differs from the out-of-sample walk-forward test window used in Tables 3–7 and defined in Section 4.</w:t>
      </w:r>
    </w:p>
    <w:p w14:paraId="4C36A84D" w14:textId="77777777" w:rsidR="00EA67D0" w:rsidRDefault="00C53FBD">
      <w:pPr>
        <w:pStyle w:val="Heading2"/>
      </w:pPr>
      <w:r>
        <w:t>3.2 Distributional Properties</w:t>
      </w:r>
    </w:p>
    <w:p w14:paraId="6B25357A" w14:textId="71E57248" w:rsidR="00C67E5A" w:rsidRDefault="00C67E5A" w:rsidP="00B62CFF">
      <w:pPr>
        <w:spacing w:after="200" w:line="276" w:lineRule="auto"/>
        <w:jc w:val="both"/>
      </w:pPr>
      <w:r>
        <w:t xml:space="preserve">If you look at Table 1, three things jump out. First, the full sample’s excess kurtosis—14.41—is extremely high. That basically screams “fat tails.” McNeil et al. (2015) list 14 or so as about the </w:t>
      </w:r>
      <w:r w:rsidR="00A778A0">
        <w:t>wildest,</w:t>
      </w:r>
      <w:r>
        <w:t xml:space="preserve"> you’ll ever see in daily equity returns, which suggests the ordinary Gaussian VaR model is bound to underestimate tail risk here.</w:t>
      </w:r>
    </w:p>
    <w:p w14:paraId="41399F20" w14:textId="02819EDC" w:rsidR="007E4353" w:rsidRDefault="00C67E5A" w:rsidP="00B62CFF">
      <w:pPr>
        <w:spacing w:after="200" w:line="276" w:lineRule="auto"/>
        <w:jc w:val="both"/>
      </w:pPr>
      <w:r>
        <w:t>Second, the Jarque–Bera test gives a statistic of 15,424.4 (p &lt; 0.0001). There’s no arguing with that; this data isn’t close to normal. And third, the full-sample skewness is clearly negative at −0.816. That means the left tail—the side with the big losses—is a lot longer than the right. Despite a common belief that returns skew positive, equities usually sell off harder than they rally. This lopsidedness (often called the “leverage effect”) is well-documented and reflects those nasty crash days. Any model that bets on symmetric or positively skewed returns here is simply ignoring the risk we care about.</w:t>
      </w:r>
      <w:r w:rsidR="00B62CFF">
        <w:t xml:space="preserve"> </w:t>
      </w:r>
      <w:r>
        <w:t>Breaking things down by regime, you see these quirks aren’t always present. For example, during the worst of the COVID crash (2020), volatility peaks at 2.19% and skewness bottoms out at −0.87. That’s exactly what you expect from a stretch with steep down days and a rapid snapback. The 2022 “rate hike” bear market looks different—it’s choppier but not as extreme (volatility = 1.52%), practically no skewness (−0.01), and almost normal kurtosis (0.34). Instead of sudden plunges, markets just steadily bled lower. This divide—between quick, scary drops versus long, grinding slides—comes up again later. In Section 6.5, I explain why this matters a lot for fixed-window VaR models, sometimes more than volatility itself</w:t>
      </w:r>
      <w:r w:rsidR="00C53FBD">
        <w:t>.</w:t>
      </w:r>
    </w:p>
    <w:p w14:paraId="5013A740" w14:textId="77777777" w:rsidR="00EA67D0" w:rsidRDefault="00C53FBD">
      <w:pPr>
        <w:pStyle w:val="Heading1"/>
      </w:pPr>
      <w:r>
        <w:t>4. VaR Estimation Methodologies</w:t>
      </w:r>
    </w:p>
    <w:p w14:paraId="1D041DF7" w14:textId="0A9A1170" w:rsidR="00EA67D0" w:rsidRDefault="00EC5FFB" w:rsidP="00EC5FFB">
      <w:pPr>
        <w:spacing w:after="200" w:line="276" w:lineRule="auto"/>
        <w:jc w:val="both"/>
      </w:pPr>
      <w:r w:rsidRPr="00EC5FFB">
        <w:t>Each of the three VaR models is tested out-of-sample in a walk-forward fashion. Here’s the process: I start calculating VaR predictions once I have 250 past daily returns, which means real testing starts on January 2, 2019, and runs to December 30, 2024—1,509 trading days. Every day, each model trains on just the past 250 returns and spits out a VaR forecast for the next day—</w:t>
      </w:r>
      <w:r w:rsidRPr="00EC5FFB">
        <w:lastRenderedPageBreak/>
        <w:t>always staying “blind” to future data. This way, any differences between models reflect their design, not the amount or type of data they use</w:t>
      </w:r>
      <w:r w:rsidR="00C53FBD">
        <w:t>.</w:t>
      </w:r>
    </w:p>
    <w:p w14:paraId="41FE4CCB" w14:textId="77777777" w:rsidR="00EA67D0" w:rsidRDefault="00C53FBD">
      <w:pPr>
        <w:pStyle w:val="Heading2"/>
      </w:pPr>
      <w:r>
        <w:t>4.1 Historical Simulation</w:t>
      </w:r>
    </w:p>
    <w:p w14:paraId="53D4ED33" w14:textId="07F8031B" w:rsidR="00EA67D0" w:rsidRDefault="0041559D" w:rsidP="00EC5FFB">
      <w:pPr>
        <w:spacing w:after="200" w:line="276" w:lineRule="auto"/>
        <w:jc w:val="both"/>
      </w:pPr>
      <w:r w:rsidRPr="0041559D">
        <w:t>Historical Simulation (HS) is still king for banks and risk managers—mostly because it doesn’t assume anything about returns’ behavior and is easy to explain. At its core, the HS VaR for day t at confidence level α is just the empirical (1−α)-th percentile of the last 250 returns</w:t>
      </w:r>
      <w:r w:rsidR="00C53FBD">
        <w:t>:</w:t>
      </w:r>
    </w:p>
    <w:p w14:paraId="2A9C951F" w14:textId="2A3D2A09" w:rsidR="00EA67D0" w:rsidRDefault="00C53FBD">
      <w:pPr>
        <w:spacing w:before="100" w:after="200"/>
        <w:jc w:val="center"/>
      </w:pPr>
      <w:r>
        <w:t>VaR</w:t>
      </w:r>
      <w:r>
        <w:rPr>
          <w:vertAlign w:val="subscript"/>
        </w:rPr>
        <w:t>t</w:t>
      </w:r>
      <w:r>
        <w:t>(α) = −Q</w:t>
      </w:r>
      <w:r>
        <w:rPr>
          <w:vertAlign w:val="subscript"/>
        </w:rPr>
        <w:t>1−α</w:t>
      </w:r>
      <w:r>
        <w:t>(r</w:t>
      </w:r>
      <w:r>
        <w:rPr>
          <w:vertAlign w:val="subscript"/>
        </w:rPr>
        <w:t>t−250</w:t>
      </w:r>
      <w:r>
        <w:t>, …, r</w:t>
      </w:r>
      <w:r>
        <w:rPr>
          <w:vertAlign w:val="subscript"/>
        </w:rPr>
        <w:t>t−1</w:t>
      </w:r>
      <w:r>
        <w:t>)</w:t>
      </w:r>
    </w:p>
    <w:p w14:paraId="541186B3" w14:textId="0C61A73B" w:rsidR="00EA67D0" w:rsidRDefault="00281267" w:rsidP="00EC5FFB">
      <w:pPr>
        <w:spacing w:after="200" w:line="276" w:lineRule="auto"/>
        <w:jc w:val="both"/>
      </w:pPr>
      <w:r w:rsidRPr="00281267">
        <w:t>Here, Q is the empirical quantile function. With HS, whatever “weirdness” is in recent data—fat tails, skew, clustering—is captured automatically. That’s both its strength and its Achilles’ heel: if the market regime shifts but hasn’t fully filtered into the last 250 days, HS will almost always understate risk during that period</w:t>
      </w:r>
      <w:r w:rsidR="00C53FBD">
        <w:t>.</w:t>
      </w:r>
    </w:p>
    <w:p w14:paraId="3F6962F5" w14:textId="77777777" w:rsidR="00EA67D0" w:rsidRDefault="00C53FBD">
      <w:pPr>
        <w:pStyle w:val="Heading2"/>
      </w:pPr>
      <w:r>
        <w:t>4.2 Parametric (Normal) VaR</w:t>
      </w:r>
    </w:p>
    <w:p w14:paraId="49063A5A" w14:textId="6BCDB9AD" w:rsidR="00EA67D0" w:rsidRDefault="006636A6" w:rsidP="00EC5FFB">
      <w:pPr>
        <w:spacing w:after="200" w:line="276" w:lineRule="auto"/>
        <w:jc w:val="both"/>
      </w:pPr>
      <w:r w:rsidRPr="006636A6">
        <w:t>This is the textbook approach—sometimes called “Variance-Covariance VaR.” It treats the past 250 days as normally distributed, estimating the mean and standard deviation from just that window:</w:t>
      </w:r>
    </w:p>
    <w:p w14:paraId="0EF97760" w14:textId="77777777" w:rsidR="00EA67D0" w:rsidRDefault="00C53FBD">
      <w:pPr>
        <w:spacing w:before="100" w:after="200"/>
        <w:jc w:val="center"/>
      </w:pPr>
      <w:r>
        <w:t>VaR</w:t>
      </w:r>
      <w:r>
        <w:rPr>
          <w:vertAlign w:val="subscript"/>
        </w:rPr>
        <w:t>t</w:t>
      </w:r>
      <w:r>
        <w:t>(α) = −(μ</w:t>
      </w:r>
      <w:r>
        <w:rPr>
          <w:vertAlign w:val="subscript"/>
        </w:rPr>
        <w:t>t</w:t>
      </w:r>
      <w:r>
        <w:t xml:space="preserve"> + z</w:t>
      </w:r>
      <w:r>
        <w:rPr>
          <w:vertAlign w:val="subscript"/>
        </w:rPr>
        <w:t>1−α</w:t>
      </w:r>
      <w:r>
        <w:t xml:space="preserve"> · σ</w:t>
      </w:r>
      <w:r>
        <w:rPr>
          <w:vertAlign w:val="subscript"/>
        </w:rPr>
        <w:t>t</w:t>
      </w:r>
      <w:r>
        <w:t>)</w:t>
      </w:r>
    </w:p>
    <w:p w14:paraId="136547D7" w14:textId="58A0A796" w:rsidR="00EA67D0" w:rsidRDefault="00351485" w:rsidP="00EC5FFB">
      <w:pPr>
        <w:spacing w:after="200" w:line="276" w:lineRule="auto"/>
        <w:jc w:val="both"/>
      </w:pPr>
      <w:r w:rsidRPr="00351485">
        <w:t>z</w:t>
      </w:r>
      <w:r w:rsidRPr="00351485">
        <w:rPr>
          <w:vertAlign w:val="subscript"/>
        </w:rPr>
        <w:t>1−α</w:t>
      </w:r>
      <w:r w:rsidRPr="00351485">
        <w:t xml:space="preserve"> is the (1−α) quantile of a standard normal (z = −1.645 for 95%, −2.326 for 99%). I re-estimate μ and σ every day on the same rolling window as HS to keep things fair. Any differences in performance, then, trace back to the assumption of normality—not different datasets. The Normal VaR is fast and simple, but Section 3 makes it clear: normality is a pretty bad fit here</w:t>
      </w:r>
      <w:r w:rsidR="00C53FBD">
        <w:t>.</w:t>
      </w:r>
    </w:p>
    <w:p w14:paraId="2F81ABCB" w14:textId="77777777" w:rsidR="00EA67D0" w:rsidRDefault="00C53FBD">
      <w:pPr>
        <w:pStyle w:val="Heading2"/>
      </w:pPr>
      <w:r>
        <w:t>4.3 Student-t VaR</w:t>
      </w:r>
    </w:p>
    <w:p w14:paraId="1CA8566D" w14:textId="4E497EAD" w:rsidR="00EA67D0" w:rsidRDefault="00EA3470" w:rsidP="00EA3470">
      <w:pPr>
        <w:spacing w:after="200" w:line="276" w:lineRule="auto"/>
        <w:jc w:val="both"/>
      </w:pPr>
      <w:r w:rsidRPr="00EA3470">
        <w:t xml:space="preserve">The </w:t>
      </w:r>
      <w:r w:rsidR="00A778A0" w:rsidRPr="00EA3470">
        <w:t>student</w:t>
      </w:r>
      <w:r w:rsidRPr="00EA3470">
        <w:t>-t model tries to address “fat tails” directly. It adds a degrees-of-freedom parameter, ν, which tunes how thick the tails are</w:t>
      </w:r>
      <w:r w:rsidR="00C53FBD">
        <w:t>:</w:t>
      </w:r>
    </w:p>
    <w:p w14:paraId="0108589C" w14:textId="77777777" w:rsidR="00EA67D0" w:rsidRDefault="00C53FBD">
      <w:pPr>
        <w:spacing w:before="100" w:after="200"/>
        <w:jc w:val="center"/>
      </w:pPr>
      <w:r>
        <w:t>VaR</w:t>
      </w:r>
      <w:r>
        <w:rPr>
          <w:vertAlign w:val="subscript"/>
        </w:rPr>
        <w:t>t</w:t>
      </w:r>
      <w:r>
        <w:t>(α) = −(μ</w:t>
      </w:r>
      <w:r>
        <w:rPr>
          <w:vertAlign w:val="subscript"/>
        </w:rPr>
        <w:t>t</w:t>
      </w:r>
      <w:r>
        <w:t xml:space="preserve"> + t</w:t>
      </w:r>
      <w:r>
        <w:rPr>
          <w:vertAlign w:val="subscript"/>
        </w:rPr>
        <w:t>1−α,ν</w:t>
      </w:r>
      <w:r>
        <w:t xml:space="preserve"> · σ</w:t>
      </w:r>
      <w:r>
        <w:rPr>
          <w:vertAlign w:val="subscript"/>
        </w:rPr>
        <w:t>t</w:t>
      </w:r>
      <w:r>
        <w:t>)</w:t>
      </w:r>
    </w:p>
    <w:p w14:paraId="383C1750" w14:textId="0350EB6E" w:rsidR="00EA67D0" w:rsidRDefault="006B7DBB" w:rsidP="006B7DBB">
      <w:pPr>
        <w:spacing w:after="200" w:line="276" w:lineRule="auto"/>
        <w:jc w:val="both"/>
      </w:pPr>
      <w:r>
        <w:t>Here, t1−α, ν is the relevant quantile of the standard Student-t (which becomes normal as ν → ∞). I estimate μ, σ, and ν by maximum likelihood from the most recent 250 returns—refitting daily, like the other models. Because ν is estimated on just these 250 returns, its day-to-day value bounces around more than if I fit one value to the whole sample. But that’s the cost of keeping things truly out-of-sample. In Section 6.1, I show how this approach shifts estimated VaR over time</w:t>
      </w:r>
      <w:r w:rsidR="00C53FBD">
        <w:t>.</w:t>
      </w:r>
    </w:p>
    <w:p w14:paraId="74572C35" w14:textId="77777777" w:rsidR="00EA67D0" w:rsidRDefault="00C53FBD">
      <w:pPr>
        <w:pStyle w:val="Heading1"/>
      </w:pPr>
      <w:r>
        <w:t>5. Backtesting Framework</w:t>
      </w:r>
    </w:p>
    <w:p w14:paraId="4F47D1E2" w14:textId="77777777" w:rsidR="00EA67D0" w:rsidRDefault="00C53FBD">
      <w:pPr>
        <w:pStyle w:val="Heading2"/>
      </w:pPr>
      <w:r>
        <w:t>5.1 Kupiec Proportion of Failures Test</w:t>
      </w:r>
    </w:p>
    <w:p w14:paraId="77BB4746" w14:textId="77777777" w:rsidR="00056BE7" w:rsidRDefault="00056BE7" w:rsidP="003E2913">
      <w:pPr>
        <w:spacing w:after="200" w:line="276" w:lineRule="auto"/>
        <w:jc w:val="both"/>
      </w:pPr>
      <w:r>
        <w:lastRenderedPageBreak/>
        <w:t>Here’s how the Kupiec Proportion of Failures test works. For each day, you set an indicator I(t): it’s 1 if the return that day falls below the negative value-at-risk (VaR) forecast—a VaR “break”—and 0 if not. Over T days out of sample, you count up the total violations: N = Σ I(t). The sample violation rate is just p̂ = N/T.</w:t>
      </w:r>
    </w:p>
    <w:p w14:paraId="114BA2D9" w14:textId="54C66D4F" w:rsidR="00EA67D0" w:rsidRDefault="00056BE7" w:rsidP="00056BE7">
      <w:pPr>
        <w:spacing w:after="200" w:line="276" w:lineRule="auto"/>
        <w:jc w:val="both"/>
      </w:pPr>
      <w:r>
        <w:t xml:space="preserve">Kupiec (1995) tests whether this observed rate lines up with the model’s expected failure rate, under the null hypothesis H₀: p̂ = 1−α (so if your VaR is at 99%, you expect about 1% violations). The likelihood-ratio </w:t>
      </w:r>
      <w:r w:rsidR="00A778A0">
        <w:t>statistics are</w:t>
      </w:r>
      <w:r>
        <w:t>:</w:t>
      </w:r>
    </w:p>
    <w:p w14:paraId="1DB306D9" w14:textId="77777777" w:rsidR="00EA67D0" w:rsidRDefault="00C53FBD">
      <w:pPr>
        <w:spacing w:before="100" w:after="200"/>
        <w:jc w:val="center"/>
      </w:pPr>
      <w:r>
        <w:t>LR</w:t>
      </w:r>
      <w:r>
        <w:rPr>
          <w:vertAlign w:val="superscript"/>
        </w:rPr>
        <w:t>POF</w:t>
      </w:r>
      <w:r>
        <w:t xml:space="preserve"> = −2 ln[(1−p)</w:t>
      </w:r>
      <w:r>
        <w:rPr>
          <w:vertAlign w:val="superscript"/>
        </w:rPr>
        <w:t>T−N</w:t>
      </w:r>
      <w:r>
        <w:t xml:space="preserve"> · p</w:t>
      </w:r>
      <w:r>
        <w:rPr>
          <w:vertAlign w:val="superscript"/>
        </w:rPr>
        <w:t>N</w:t>
      </w:r>
      <w:r>
        <w:t>] + 2 ln[(1−p̂)</w:t>
      </w:r>
      <w:r>
        <w:rPr>
          <w:vertAlign w:val="superscript"/>
        </w:rPr>
        <w:t>T−N</w:t>
      </w:r>
      <w:r>
        <w:t xml:space="preserve"> · p̂</w:t>
      </w:r>
      <w:r>
        <w:rPr>
          <w:vertAlign w:val="superscript"/>
        </w:rPr>
        <w:t>N</w:t>
      </w:r>
      <w:r>
        <w:t>]</w:t>
      </w:r>
    </w:p>
    <w:p w14:paraId="781A6628" w14:textId="2B555E0D" w:rsidR="00EA67D0" w:rsidRDefault="00CA1A9F" w:rsidP="00CA1A9F">
      <w:pPr>
        <w:spacing w:after="200" w:line="276" w:lineRule="auto"/>
        <w:jc w:val="both"/>
      </w:pPr>
      <w:r w:rsidRPr="00CA1A9F">
        <w:t>This statistic follows a chi-squared distribution with one degree of freedom if H₀ holds. If the actual violation rate is too high or too low compared to what the model forecasts, that’s a problem—the test rejects the model. If you’re being overly cautious (too few breaks), you’re holding more capital than you need. If your model underestimates risk (too many breaks), you’re not holding enough capital—and that’s a serious issue. Regulators (under SR 11-7) expect banks to document these failures and lay out a plan to fix them if the model flunks the Kupiec test repeatedly at a validated confidence level</w:t>
      </w:r>
      <w:r w:rsidR="00C53FBD">
        <w:t>.</w:t>
      </w:r>
    </w:p>
    <w:p w14:paraId="27CDF6A2" w14:textId="77777777" w:rsidR="00EA67D0" w:rsidRDefault="00C53FBD">
      <w:pPr>
        <w:pStyle w:val="Heading2"/>
      </w:pPr>
      <w:r>
        <w:t>5.2 Christoffersen Conditional Coverage Test</w:t>
      </w:r>
    </w:p>
    <w:p w14:paraId="10B38360" w14:textId="77777777" w:rsidR="00C74847" w:rsidRDefault="00C74847" w:rsidP="00C74847">
      <w:pPr>
        <w:spacing w:after="200" w:line="276" w:lineRule="auto"/>
        <w:jc w:val="both"/>
      </w:pPr>
      <w:r>
        <w:t xml:space="preserve">Christoffersen (1998) takes the Kupiec test further. Now we don’t just ask, “Is the violation rate right on average?” We also check: “Do violations show up randomly, or in bursts?” </w:t>
      </w:r>
    </w:p>
    <w:p w14:paraId="5A570D72" w14:textId="77777777" w:rsidR="00C74847" w:rsidRDefault="00C74847" w:rsidP="00C74847">
      <w:pPr>
        <w:spacing w:after="200" w:line="276" w:lineRule="auto"/>
        <w:jc w:val="both"/>
      </w:pPr>
      <w:r>
        <w:t xml:space="preserve">To do this, you note how often you see a violation on day t+1, depending on what happened on day t. You define π(0,1) as the probability of a violation tomorrow when today saw none, and π(1,1) as the probability of a violation tomorrow, given today already had one. </w:t>
      </w:r>
    </w:p>
    <w:p w14:paraId="237B601F" w14:textId="4C9934D4" w:rsidR="00EA67D0" w:rsidRDefault="00C74847" w:rsidP="00C74847">
      <w:pPr>
        <w:spacing w:after="200" w:line="276" w:lineRule="auto"/>
        <w:jc w:val="both"/>
      </w:pPr>
      <w:r>
        <w:t>The likelihood-ratio test is:</w:t>
      </w:r>
    </w:p>
    <w:p w14:paraId="4F2352BD" w14:textId="77777777" w:rsidR="00EA67D0" w:rsidRDefault="00C53FBD">
      <w:pPr>
        <w:spacing w:before="100" w:after="200"/>
        <w:jc w:val="center"/>
      </w:pPr>
      <w:r>
        <w:t>LR</w:t>
      </w:r>
      <w:r>
        <w:rPr>
          <w:vertAlign w:val="superscript"/>
        </w:rPr>
        <w:t>ind</w:t>
      </w:r>
      <w:r>
        <w:t xml:space="preserve"> = −2 ln[L(π̂)] + 2 ln[L(π̂</w:t>
      </w:r>
      <w:r>
        <w:rPr>
          <w:vertAlign w:val="subscript"/>
        </w:rPr>
        <w:t>01</w:t>
      </w:r>
      <w:r>
        <w:t>, π̂</w:t>
      </w:r>
      <w:r>
        <w:rPr>
          <w:vertAlign w:val="subscript"/>
        </w:rPr>
        <w:t>11</w:t>
      </w:r>
      <w:r>
        <w:t>)]</w:t>
      </w:r>
    </w:p>
    <w:p w14:paraId="75099D3E" w14:textId="5EE653C2" w:rsidR="00744873" w:rsidRDefault="00744873" w:rsidP="00744873">
      <w:pPr>
        <w:spacing w:after="200" w:line="276" w:lineRule="auto"/>
        <w:jc w:val="both"/>
      </w:pPr>
      <w:r>
        <w:t xml:space="preserve">The first term is the </w:t>
      </w:r>
      <w:r w:rsidR="00A778A0">
        <w:t>likelihood of</w:t>
      </w:r>
      <w:r>
        <w:t xml:space="preserve"> assuming independence (violations don’t depend on yesterday), and the second is for the unrestricted Markov chain (violations can cluster). LRind also follows a chi-squared distribution with one degree of freedom. </w:t>
      </w:r>
    </w:p>
    <w:p w14:paraId="1929EF75" w14:textId="3225A64D" w:rsidR="00EA67D0" w:rsidRDefault="00744873" w:rsidP="00744873">
      <w:pPr>
        <w:spacing w:after="200" w:line="276" w:lineRule="auto"/>
        <w:jc w:val="both"/>
      </w:pPr>
      <w:r>
        <w:t xml:space="preserve">To check both coverage and independence together, you simply add up the Kupiec and independence statistics—now you’ve got a chi-squared test with two degrees of freedom. Sometimes, models can hit the right average rate but still fail the independence part—meaning violations arrive in clusters rather than being spread out. That’s not uncommon—Section 6.3 finds clustered breaks are </w:t>
      </w:r>
      <w:r w:rsidR="00A778A0">
        <w:t>the</w:t>
      </w:r>
      <w:r>
        <w:t xml:space="preserve"> rule, not the exception, in practice</w:t>
      </w:r>
      <w:r w:rsidR="00C53FBD">
        <w:t>.</w:t>
      </w:r>
    </w:p>
    <w:p w14:paraId="12D23889" w14:textId="77777777" w:rsidR="00A778A0" w:rsidRDefault="00A778A0" w:rsidP="00744873">
      <w:pPr>
        <w:spacing w:after="200" w:line="276" w:lineRule="auto"/>
        <w:jc w:val="both"/>
      </w:pPr>
    </w:p>
    <w:p w14:paraId="29E00C13" w14:textId="77777777" w:rsidR="00A778A0" w:rsidRDefault="00A778A0" w:rsidP="00744873">
      <w:pPr>
        <w:spacing w:after="200" w:line="276" w:lineRule="auto"/>
        <w:jc w:val="both"/>
      </w:pPr>
    </w:p>
    <w:p w14:paraId="78D42A53" w14:textId="77777777" w:rsidR="00EA67D0" w:rsidRDefault="00C53FBD">
      <w:pPr>
        <w:pStyle w:val="Heading2"/>
      </w:pPr>
      <w:r>
        <w:lastRenderedPageBreak/>
        <w:t>5.3 Basel Traffic Light Test</w:t>
      </w:r>
    </w:p>
    <w:p w14:paraId="7E68B5A6" w14:textId="580FEBC1" w:rsidR="00EA67D0" w:rsidRDefault="00905CA4" w:rsidP="005D7833">
      <w:pPr>
        <w:spacing w:after="200" w:line="276" w:lineRule="auto"/>
        <w:jc w:val="both"/>
      </w:pPr>
      <w:r w:rsidRPr="00905CA4">
        <w:t>Regulators also use the Basel Traffic Light test, which is a bit more straightforward. You look back over the past 250 trading days at the 99% VaR and count how many violations pop up. Based on this count, you fall into a green, yellow, or red zone, which triggers different capital multipliers and regulatory responses</w:t>
      </w:r>
      <w:r>
        <w:t>:</w:t>
      </w:r>
    </w:p>
    <w:p w14:paraId="120D991E" w14:textId="77777777" w:rsidR="00EA67D0" w:rsidRDefault="00C53FBD">
      <w:pPr>
        <w:spacing w:before="240" w:after="80"/>
      </w:pPr>
      <w:r>
        <w:rPr>
          <w:b/>
          <w:bCs/>
        </w:rPr>
        <w:t>Table 2 — Basel Traffic Light Test: Zone Classification</w:t>
      </w:r>
    </w:p>
    <w:tbl>
      <w:tblPr>
        <w:tblW w:w="929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400"/>
        <w:gridCol w:w="2100"/>
        <w:gridCol w:w="1930"/>
        <w:gridCol w:w="3860"/>
      </w:tblGrid>
      <w:tr w:rsidR="00EA67D0" w14:paraId="38D58434" w14:textId="77777777">
        <w:trPr>
          <w:tblHeader/>
        </w:trPr>
        <w:tc>
          <w:tcPr>
            <w:tcW w:w="1400" w:type="dxa"/>
            <w:shd w:val="clear" w:color="auto" w:fill="D9D9D9"/>
            <w:tcMar>
              <w:top w:w="60" w:type="dxa"/>
              <w:left w:w="100" w:type="dxa"/>
              <w:bottom w:w="60" w:type="dxa"/>
              <w:right w:w="100" w:type="dxa"/>
            </w:tcMar>
            <w:vAlign w:val="center"/>
          </w:tcPr>
          <w:p w14:paraId="2EB7D876" w14:textId="77777777" w:rsidR="00EA67D0" w:rsidRDefault="00C53FBD">
            <w:pPr>
              <w:jc w:val="center"/>
            </w:pPr>
            <w:r>
              <w:rPr>
                <w:b/>
                <w:bCs/>
                <w:sz w:val="18"/>
                <w:szCs w:val="18"/>
              </w:rPr>
              <w:t>Zone</w:t>
            </w:r>
          </w:p>
        </w:tc>
        <w:tc>
          <w:tcPr>
            <w:tcW w:w="2100" w:type="dxa"/>
            <w:shd w:val="clear" w:color="auto" w:fill="D9D9D9"/>
            <w:tcMar>
              <w:top w:w="60" w:type="dxa"/>
              <w:left w:w="100" w:type="dxa"/>
              <w:bottom w:w="60" w:type="dxa"/>
              <w:right w:w="100" w:type="dxa"/>
            </w:tcMar>
            <w:vAlign w:val="center"/>
          </w:tcPr>
          <w:p w14:paraId="5DF7E20F" w14:textId="77777777" w:rsidR="00EA67D0" w:rsidRDefault="00C53FBD">
            <w:pPr>
              <w:jc w:val="center"/>
            </w:pPr>
            <w:r>
              <w:rPr>
                <w:b/>
                <w:bCs/>
                <w:sz w:val="18"/>
                <w:szCs w:val="18"/>
              </w:rPr>
              <w:t>Violations (250-day)</w:t>
            </w:r>
          </w:p>
        </w:tc>
        <w:tc>
          <w:tcPr>
            <w:tcW w:w="1930" w:type="dxa"/>
            <w:shd w:val="clear" w:color="auto" w:fill="D9D9D9"/>
            <w:tcMar>
              <w:top w:w="60" w:type="dxa"/>
              <w:left w:w="100" w:type="dxa"/>
              <w:bottom w:w="60" w:type="dxa"/>
              <w:right w:w="100" w:type="dxa"/>
            </w:tcMar>
            <w:vAlign w:val="center"/>
          </w:tcPr>
          <w:p w14:paraId="09A84653" w14:textId="77777777" w:rsidR="00EA67D0" w:rsidRDefault="00C53FBD">
            <w:pPr>
              <w:jc w:val="center"/>
            </w:pPr>
            <w:r>
              <w:rPr>
                <w:b/>
                <w:bCs/>
                <w:sz w:val="18"/>
                <w:szCs w:val="18"/>
              </w:rPr>
              <w:t>Capital Multiplier</w:t>
            </w:r>
          </w:p>
        </w:tc>
        <w:tc>
          <w:tcPr>
            <w:tcW w:w="3860" w:type="dxa"/>
            <w:shd w:val="clear" w:color="auto" w:fill="D9D9D9"/>
            <w:tcMar>
              <w:top w:w="60" w:type="dxa"/>
              <w:left w:w="100" w:type="dxa"/>
              <w:bottom w:w="60" w:type="dxa"/>
              <w:right w:w="100" w:type="dxa"/>
            </w:tcMar>
            <w:vAlign w:val="center"/>
          </w:tcPr>
          <w:p w14:paraId="179E8EB5" w14:textId="77777777" w:rsidR="00EA67D0" w:rsidRDefault="00C53FBD">
            <w:pPr>
              <w:jc w:val="center"/>
            </w:pPr>
            <w:r>
              <w:rPr>
                <w:b/>
                <w:bCs/>
                <w:sz w:val="18"/>
                <w:szCs w:val="18"/>
              </w:rPr>
              <w:t>Regulatory Response</w:t>
            </w:r>
          </w:p>
        </w:tc>
      </w:tr>
      <w:tr w:rsidR="00EA67D0" w14:paraId="736434D5" w14:textId="77777777">
        <w:tc>
          <w:tcPr>
            <w:tcW w:w="1400" w:type="dxa"/>
            <w:tcMar>
              <w:top w:w="60" w:type="dxa"/>
              <w:left w:w="100" w:type="dxa"/>
              <w:bottom w:w="60" w:type="dxa"/>
              <w:right w:w="100" w:type="dxa"/>
            </w:tcMar>
            <w:vAlign w:val="center"/>
          </w:tcPr>
          <w:p w14:paraId="723D9F8C" w14:textId="77777777" w:rsidR="00EA67D0" w:rsidRDefault="00C53FBD">
            <w:r>
              <w:rPr>
                <w:sz w:val="18"/>
                <w:szCs w:val="18"/>
              </w:rPr>
              <w:t>Green</w:t>
            </w:r>
          </w:p>
        </w:tc>
        <w:tc>
          <w:tcPr>
            <w:tcW w:w="2100" w:type="dxa"/>
            <w:tcMar>
              <w:top w:w="60" w:type="dxa"/>
              <w:left w:w="100" w:type="dxa"/>
              <w:bottom w:w="60" w:type="dxa"/>
              <w:right w:w="100" w:type="dxa"/>
            </w:tcMar>
            <w:vAlign w:val="center"/>
          </w:tcPr>
          <w:p w14:paraId="411EA3D6" w14:textId="77777777" w:rsidR="00EA67D0" w:rsidRDefault="00C53FBD">
            <w:pPr>
              <w:jc w:val="center"/>
            </w:pPr>
            <w:r>
              <w:rPr>
                <w:sz w:val="18"/>
                <w:szCs w:val="18"/>
              </w:rPr>
              <w:t>0–4</w:t>
            </w:r>
          </w:p>
        </w:tc>
        <w:tc>
          <w:tcPr>
            <w:tcW w:w="1930" w:type="dxa"/>
            <w:tcMar>
              <w:top w:w="60" w:type="dxa"/>
              <w:left w:w="100" w:type="dxa"/>
              <w:bottom w:w="60" w:type="dxa"/>
              <w:right w:w="100" w:type="dxa"/>
            </w:tcMar>
            <w:vAlign w:val="center"/>
          </w:tcPr>
          <w:p w14:paraId="4F802AD3" w14:textId="77777777" w:rsidR="00EA67D0" w:rsidRDefault="00C53FBD">
            <w:pPr>
              <w:jc w:val="center"/>
            </w:pPr>
            <w:r>
              <w:rPr>
                <w:sz w:val="18"/>
                <w:szCs w:val="18"/>
              </w:rPr>
              <w:t>3.00×</w:t>
            </w:r>
          </w:p>
        </w:tc>
        <w:tc>
          <w:tcPr>
            <w:tcW w:w="3860" w:type="dxa"/>
            <w:tcMar>
              <w:top w:w="60" w:type="dxa"/>
              <w:left w:w="100" w:type="dxa"/>
              <w:bottom w:w="60" w:type="dxa"/>
              <w:right w:w="100" w:type="dxa"/>
            </w:tcMar>
            <w:vAlign w:val="center"/>
          </w:tcPr>
          <w:p w14:paraId="02F7B194" w14:textId="77777777" w:rsidR="00EA67D0" w:rsidRDefault="00C53FBD">
            <w:pPr>
              <w:jc w:val="center"/>
            </w:pPr>
            <w:r>
              <w:rPr>
                <w:sz w:val="18"/>
                <w:szCs w:val="18"/>
              </w:rPr>
              <w:t>No action required</w:t>
            </w:r>
          </w:p>
        </w:tc>
      </w:tr>
      <w:tr w:rsidR="00EA67D0" w14:paraId="4A2BCA9F" w14:textId="77777777">
        <w:tc>
          <w:tcPr>
            <w:tcW w:w="1400" w:type="dxa"/>
            <w:shd w:val="clear" w:color="auto" w:fill="F5F5F5"/>
            <w:tcMar>
              <w:top w:w="60" w:type="dxa"/>
              <w:left w:w="100" w:type="dxa"/>
              <w:bottom w:w="60" w:type="dxa"/>
              <w:right w:w="100" w:type="dxa"/>
            </w:tcMar>
            <w:vAlign w:val="center"/>
          </w:tcPr>
          <w:p w14:paraId="664BC6D1" w14:textId="77777777" w:rsidR="00EA67D0" w:rsidRDefault="00C53FBD">
            <w:r>
              <w:rPr>
                <w:sz w:val="18"/>
                <w:szCs w:val="18"/>
              </w:rPr>
              <w:t>Yellow</w:t>
            </w:r>
          </w:p>
        </w:tc>
        <w:tc>
          <w:tcPr>
            <w:tcW w:w="2100" w:type="dxa"/>
            <w:shd w:val="clear" w:color="auto" w:fill="F5F5F5"/>
            <w:tcMar>
              <w:top w:w="60" w:type="dxa"/>
              <w:left w:w="100" w:type="dxa"/>
              <w:bottom w:w="60" w:type="dxa"/>
              <w:right w:w="100" w:type="dxa"/>
            </w:tcMar>
            <w:vAlign w:val="center"/>
          </w:tcPr>
          <w:p w14:paraId="04171F04" w14:textId="77777777" w:rsidR="00EA67D0" w:rsidRDefault="00C53FBD">
            <w:pPr>
              <w:jc w:val="center"/>
            </w:pPr>
            <w:r>
              <w:rPr>
                <w:sz w:val="18"/>
                <w:szCs w:val="18"/>
              </w:rPr>
              <w:t>5</w:t>
            </w:r>
          </w:p>
        </w:tc>
        <w:tc>
          <w:tcPr>
            <w:tcW w:w="1930" w:type="dxa"/>
            <w:shd w:val="clear" w:color="auto" w:fill="F5F5F5"/>
            <w:tcMar>
              <w:top w:w="60" w:type="dxa"/>
              <w:left w:w="100" w:type="dxa"/>
              <w:bottom w:w="60" w:type="dxa"/>
              <w:right w:w="100" w:type="dxa"/>
            </w:tcMar>
            <w:vAlign w:val="center"/>
          </w:tcPr>
          <w:p w14:paraId="060D7CD3" w14:textId="77777777" w:rsidR="00EA67D0" w:rsidRDefault="00C53FBD">
            <w:pPr>
              <w:jc w:val="center"/>
            </w:pPr>
            <w:r>
              <w:rPr>
                <w:sz w:val="18"/>
                <w:szCs w:val="18"/>
              </w:rPr>
              <w:t>3.40×</w:t>
            </w:r>
          </w:p>
        </w:tc>
        <w:tc>
          <w:tcPr>
            <w:tcW w:w="3860" w:type="dxa"/>
            <w:shd w:val="clear" w:color="auto" w:fill="F5F5F5"/>
            <w:tcMar>
              <w:top w:w="60" w:type="dxa"/>
              <w:left w:w="100" w:type="dxa"/>
              <w:bottom w:w="60" w:type="dxa"/>
              <w:right w:w="100" w:type="dxa"/>
            </w:tcMar>
            <w:vAlign w:val="center"/>
          </w:tcPr>
          <w:p w14:paraId="4E7A701C" w14:textId="77777777" w:rsidR="00EA67D0" w:rsidRDefault="00C53FBD">
            <w:pPr>
              <w:jc w:val="center"/>
            </w:pPr>
            <w:r>
              <w:rPr>
                <w:sz w:val="18"/>
                <w:szCs w:val="18"/>
              </w:rPr>
              <w:t>Increased capital charge</w:t>
            </w:r>
          </w:p>
        </w:tc>
      </w:tr>
      <w:tr w:rsidR="00EA67D0" w14:paraId="58DA2E89" w14:textId="77777777">
        <w:tc>
          <w:tcPr>
            <w:tcW w:w="1400" w:type="dxa"/>
            <w:tcMar>
              <w:top w:w="60" w:type="dxa"/>
              <w:left w:w="100" w:type="dxa"/>
              <w:bottom w:w="60" w:type="dxa"/>
              <w:right w:w="100" w:type="dxa"/>
            </w:tcMar>
            <w:vAlign w:val="center"/>
          </w:tcPr>
          <w:p w14:paraId="0D09178C" w14:textId="77777777" w:rsidR="00EA67D0" w:rsidRDefault="00C53FBD">
            <w:r>
              <w:rPr>
                <w:sz w:val="18"/>
                <w:szCs w:val="18"/>
              </w:rPr>
              <w:t>Yellow</w:t>
            </w:r>
          </w:p>
        </w:tc>
        <w:tc>
          <w:tcPr>
            <w:tcW w:w="2100" w:type="dxa"/>
            <w:tcMar>
              <w:top w:w="60" w:type="dxa"/>
              <w:left w:w="100" w:type="dxa"/>
              <w:bottom w:w="60" w:type="dxa"/>
              <w:right w:w="100" w:type="dxa"/>
            </w:tcMar>
            <w:vAlign w:val="center"/>
          </w:tcPr>
          <w:p w14:paraId="30D90AE9" w14:textId="77777777" w:rsidR="00EA67D0" w:rsidRDefault="00C53FBD">
            <w:pPr>
              <w:jc w:val="center"/>
            </w:pPr>
            <w:r>
              <w:rPr>
                <w:sz w:val="18"/>
                <w:szCs w:val="18"/>
              </w:rPr>
              <w:t>6</w:t>
            </w:r>
          </w:p>
        </w:tc>
        <w:tc>
          <w:tcPr>
            <w:tcW w:w="1930" w:type="dxa"/>
            <w:tcMar>
              <w:top w:w="60" w:type="dxa"/>
              <w:left w:w="100" w:type="dxa"/>
              <w:bottom w:w="60" w:type="dxa"/>
              <w:right w:w="100" w:type="dxa"/>
            </w:tcMar>
            <w:vAlign w:val="center"/>
          </w:tcPr>
          <w:p w14:paraId="11845734" w14:textId="77777777" w:rsidR="00EA67D0" w:rsidRDefault="00C53FBD">
            <w:pPr>
              <w:jc w:val="center"/>
            </w:pPr>
            <w:r>
              <w:rPr>
                <w:sz w:val="18"/>
                <w:szCs w:val="18"/>
              </w:rPr>
              <w:t>3.50×</w:t>
            </w:r>
          </w:p>
        </w:tc>
        <w:tc>
          <w:tcPr>
            <w:tcW w:w="3860" w:type="dxa"/>
            <w:tcMar>
              <w:top w:w="60" w:type="dxa"/>
              <w:left w:w="100" w:type="dxa"/>
              <w:bottom w:w="60" w:type="dxa"/>
              <w:right w:w="100" w:type="dxa"/>
            </w:tcMar>
            <w:vAlign w:val="center"/>
          </w:tcPr>
          <w:p w14:paraId="1D120F1B" w14:textId="77777777" w:rsidR="00EA67D0" w:rsidRDefault="00C53FBD">
            <w:pPr>
              <w:jc w:val="center"/>
            </w:pPr>
            <w:r>
              <w:rPr>
                <w:sz w:val="18"/>
                <w:szCs w:val="18"/>
              </w:rPr>
              <w:t>Increased capital charge</w:t>
            </w:r>
          </w:p>
        </w:tc>
      </w:tr>
      <w:tr w:rsidR="00EA67D0" w14:paraId="6EEF0D43" w14:textId="77777777">
        <w:tc>
          <w:tcPr>
            <w:tcW w:w="1400" w:type="dxa"/>
            <w:shd w:val="clear" w:color="auto" w:fill="F5F5F5"/>
            <w:tcMar>
              <w:top w:w="60" w:type="dxa"/>
              <w:left w:w="100" w:type="dxa"/>
              <w:bottom w:w="60" w:type="dxa"/>
              <w:right w:w="100" w:type="dxa"/>
            </w:tcMar>
            <w:vAlign w:val="center"/>
          </w:tcPr>
          <w:p w14:paraId="453832A8" w14:textId="77777777" w:rsidR="00EA67D0" w:rsidRDefault="00C53FBD">
            <w:r>
              <w:rPr>
                <w:sz w:val="18"/>
                <w:szCs w:val="18"/>
              </w:rPr>
              <w:t>Yellow</w:t>
            </w:r>
          </w:p>
        </w:tc>
        <w:tc>
          <w:tcPr>
            <w:tcW w:w="2100" w:type="dxa"/>
            <w:shd w:val="clear" w:color="auto" w:fill="F5F5F5"/>
            <w:tcMar>
              <w:top w:w="60" w:type="dxa"/>
              <w:left w:w="100" w:type="dxa"/>
              <w:bottom w:w="60" w:type="dxa"/>
              <w:right w:w="100" w:type="dxa"/>
            </w:tcMar>
            <w:vAlign w:val="center"/>
          </w:tcPr>
          <w:p w14:paraId="17FC3EA9" w14:textId="77777777" w:rsidR="00EA67D0" w:rsidRDefault="00C53FBD">
            <w:pPr>
              <w:jc w:val="center"/>
            </w:pPr>
            <w:r>
              <w:rPr>
                <w:sz w:val="18"/>
                <w:szCs w:val="18"/>
              </w:rPr>
              <w:t>7</w:t>
            </w:r>
          </w:p>
        </w:tc>
        <w:tc>
          <w:tcPr>
            <w:tcW w:w="1930" w:type="dxa"/>
            <w:shd w:val="clear" w:color="auto" w:fill="F5F5F5"/>
            <w:tcMar>
              <w:top w:w="60" w:type="dxa"/>
              <w:left w:w="100" w:type="dxa"/>
              <w:bottom w:w="60" w:type="dxa"/>
              <w:right w:w="100" w:type="dxa"/>
            </w:tcMar>
            <w:vAlign w:val="center"/>
          </w:tcPr>
          <w:p w14:paraId="42FC94E3" w14:textId="77777777" w:rsidR="00EA67D0" w:rsidRDefault="00C53FBD">
            <w:pPr>
              <w:jc w:val="center"/>
            </w:pPr>
            <w:r>
              <w:rPr>
                <w:sz w:val="18"/>
                <w:szCs w:val="18"/>
              </w:rPr>
              <w:t>3.65×</w:t>
            </w:r>
          </w:p>
        </w:tc>
        <w:tc>
          <w:tcPr>
            <w:tcW w:w="3860" w:type="dxa"/>
            <w:shd w:val="clear" w:color="auto" w:fill="F5F5F5"/>
            <w:tcMar>
              <w:top w:w="60" w:type="dxa"/>
              <w:left w:w="100" w:type="dxa"/>
              <w:bottom w:w="60" w:type="dxa"/>
              <w:right w:w="100" w:type="dxa"/>
            </w:tcMar>
            <w:vAlign w:val="center"/>
          </w:tcPr>
          <w:p w14:paraId="6EE8AAD8" w14:textId="77777777" w:rsidR="00EA67D0" w:rsidRDefault="00C53FBD">
            <w:pPr>
              <w:jc w:val="center"/>
            </w:pPr>
            <w:r>
              <w:rPr>
                <w:sz w:val="18"/>
                <w:szCs w:val="18"/>
              </w:rPr>
              <w:t>Increased capital charge</w:t>
            </w:r>
          </w:p>
        </w:tc>
      </w:tr>
      <w:tr w:rsidR="00EA67D0" w14:paraId="517A23BF" w14:textId="77777777">
        <w:tc>
          <w:tcPr>
            <w:tcW w:w="1400" w:type="dxa"/>
            <w:tcMar>
              <w:top w:w="60" w:type="dxa"/>
              <w:left w:w="100" w:type="dxa"/>
              <w:bottom w:w="60" w:type="dxa"/>
              <w:right w:w="100" w:type="dxa"/>
            </w:tcMar>
            <w:vAlign w:val="center"/>
          </w:tcPr>
          <w:p w14:paraId="63DCB9A6" w14:textId="77777777" w:rsidR="00EA67D0" w:rsidRDefault="00C53FBD">
            <w:r>
              <w:rPr>
                <w:sz w:val="18"/>
                <w:szCs w:val="18"/>
              </w:rPr>
              <w:t>Yellow</w:t>
            </w:r>
          </w:p>
        </w:tc>
        <w:tc>
          <w:tcPr>
            <w:tcW w:w="2100" w:type="dxa"/>
            <w:tcMar>
              <w:top w:w="60" w:type="dxa"/>
              <w:left w:w="100" w:type="dxa"/>
              <w:bottom w:w="60" w:type="dxa"/>
              <w:right w:w="100" w:type="dxa"/>
            </w:tcMar>
            <w:vAlign w:val="center"/>
          </w:tcPr>
          <w:p w14:paraId="25CB0E51" w14:textId="77777777" w:rsidR="00EA67D0" w:rsidRDefault="00C53FBD">
            <w:pPr>
              <w:jc w:val="center"/>
            </w:pPr>
            <w:r>
              <w:rPr>
                <w:sz w:val="18"/>
                <w:szCs w:val="18"/>
              </w:rPr>
              <w:t>8</w:t>
            </w:r>
          </w:p>
        </w:tc>
        <w:tc>
          <w:tcPr>
            <w:tcW w:w="1930" w:type="dxa"/>
            <w:tcMar>
              <w:top w:w="60" w:type="dxa"/>
              <w:left w:w="100" w:type="dxa"/>
              <w:bottom w:w="60" w:type="dxa"/>
              <w:right w:w="100" w:type="dxa"/>
            </w:tcMar>
            <w:vAlign w:val="center"/>
          </w:tcPr>
          <w:p w14:paraId="79F0FA4F" w14:textId="77777777" w:rsidR="00EA67D0" w:rsidRDefault="00C53FBD">
            <w:pPr>
              <w:jc w:val="center"/>
            </w:pPr>
            <w:r>
              <w:rPr>
                <w:sz w:val="18"/>
                <w:szCs w:val="18"/>
              </w:rPr>
              <w:t>3.75×</w:t>
            </w:r>
          </w:p>
        </w:tc>
        <w:tc>
          <w:tcPr>
            <w:tcW w:w="3860" w:type="dxa"/>
            <w:tcMar>
              <w:top w:w="60" w:type="dxa"/>
              <w:left w:w="100" w:type="dxa"/>
              <w:bottom w:w="60" w:type="dxa"/>
              <w:right w:w="100" w:type="dxa"/>
            </w:tcMar>
            <w:vAlign w:val="center"/>
          </w:tcPr>
          <w:p w14:paraId="2CBFB471" w14:textId="77777777" w:rsidR="00EA67D0" w:rsidRDefault="00C53FBD">
            <w:pPr>
              <w:jc w:val="center"/>
            </w:pPr>
            <w:r>
              <w:rPr>
                <w:sz w:val="18"/>
                <w:szCs w:val="18"/>
              </w:rPr>
              <w:t>Increased capital charge</w:t>
            </w:r>
          </w:p>
        </w:tc>
      </w:tr>
      <w:tr w:rsidR="00EA67D0" w14:paraId="6AAB1192" w14:textId="77777777">
        <w:tc>
          <w:tcPr>
            <w:tcW w:w="1400" w:type="dxa"/>
            <w:shd w:val="clear" w:color="auto" w:fill="F5F5F5"/>
            <w:tcMar>
              <w:top w:w="60" w:type="dxa"/>
              <w:left w:w="100" w:type="dxa"/>
              <w:bottom w:w="60" w:type="dxa"/>
              <w:right w:w="100" w:type="dxa"/>
            </w:tcMar>
            <w:vAlign w:val="center"/>
          </w:tcPr>
          <w:p w14:paraId="55BA4847" w14:textId="77777777" w:rsidR="00EA67D0" w:rsidRDefault="00C53FBD">
            <w:r>
              <w:rPr>
                <w:sz w:val="18"/>
                <w:szCs w:val="18"/>
              </w:rPr>
              <w:t>Yellow</w:t>
            </w:r>
          </w:p>
        </w:tc>
        <w:tc>
          <w:tcPr>
            <w:tcW w:w="2100" w:type="dxa"/>
            <w:shd w:val="clear" w:color="auto" w:fill="F5F5F5"/>
            <w:tcMar>
              <w:top w:w="60" w:type="dxa"/>
              <w:left w:w="100" w:type="dxa"/>
              <w:bottom w:w="60" w:type="dxa"/>
              <w:right w:w="100" w:type="dxa"/>
            </w:tcMar>
            <w:vAlign w:val="center"/>
          </w:tcPr>
          <w:p w14:paraId="6673A93A" w14:textId="77777777" w:rsidR="00EA67D0" w:rsidRDefault="00C53FBD">
            <w:pPr>
              <w:jc w:val="center"/>
            </w:pPr>
            <w:r>
              <w:rPr>
                <w:sz w:val="18"/>
                <w:szCs w:val="18"/>
              </w:rPr>
              <w:t>9</w:t>
            </w:r>
          </w:p>
        </w:tc>
        <w:tc>
          <w:tcPr>
            <w:tcW w:w="1930" w:type="dxa"/>
            <w:shd w:val="clear" w:color="auto" w:fill="F5F5F5"/>
            <w:tcMar>
              <w:top w:w="60" w:type="dxa"/>
              <w:left w:w="100" w:type="dxa"/>
              <w:bottom w:w="60" w:type="dxa"/>
              <w:right w:w="100" w:type="dxa"/>
            </w:tcMar>
            <w:vAlign w:val="center"/>
          </w:tcPr>
          <w:p w14:paraId="7E300350" w14:textId="77777777" w:rsidR="00EA67D0" w:rsidRDefault="00C53FBD">
            <w:pPr>
              <w:jc w:val="center"/>
            </w:pPr>
            <w:r>
              <w:rPr>
                <w:sz w:val="18"/>
                <w:szCs w:val="18"/>
              </w:rPr>
              <w:t>3.85×</w:t>
            </w:r>
          </w:p>
        </w:tc>
        <w:tc>
          <w:tcPr>
            <w:tcW w:w="3860" w:type="dxa"/>
            <w:shd w:val="clear" w:color="auto" w:fill="F5F5F5"/>
            <w:tcMar>
              <w:top w:w="60" w:type="dxa"/>
              <w:left w:w="100" w:type="dxa"/>
              <w:bottom w:w="60" w:type="dxa"/>
              <w:right w:w="100" w:type="dxa"/>
            </w:tcMar>
            <w:vAlign w:val="center"/>
          </w:tcPr>
          <w:p w14:paraId="12FC0DD3" w14:textId="77777777" w:rsidR="00EA67D0" w:rsidRDefault="00C53FBD">
            <w:pPr>
              <w:jc w:val="center"/>
            </w:pPr>
            <w:r>
              <w:rPr>
                <w:sz w:val="18"/>
                <w:szCs w:val="18"/>
              </w:rPr>
              <w:t>Increased capital charge</w:t>
            </w:r>
          </w:p>
        </w:tc>
      </w:tr>
      <w:tr w:rsidR="00EA67D0" w14:paraId="7DA9F882" w14:textId="77777777">
        <w:tc>
          <w:tcPr>
            <w:tcW w:w="1400" w:type="dxa"/>
            <w:tcMar>
              <w:top w:w="60" w:type="dxa"/>
              <w:left w:w="100" w:type="dxa"/>
              <w:bottom w:w="60" w:type="dxa"/>
              <w:right w:w="100" w:type="dxa"/>
            </w:tcMar>
            <w:vAlign w:val="center"/>
          </w:tcPr>
          <w:p w14:paraId="3FCDF78A" w14:textId="77777777" w:rsidR="00EA67D0" w:rsidRDefault="00C53FBD">
            <w:r>
              <w:rPr>
                <w:sz w:val="18"/>
                <w:szCs w:val="18"/>
              </w:rPr>
              <w:t>Red</w:t>
            </w:r>
          </w:p>
        </w:tc>
        <w:tc>
          <w:tcPr>
            <w:tcW w:w="2100" w:type="dxa"/>
            <w:tcMar>
              <w:top w:w="60" w:type="dxa"/>
              <w:left w:w="100" w:type="dxa"/>
              <w:bottom w:w="60" w:type="dxa"/>
              <w:right w:w="100" w:type="dxa"/>
            </w:tcMar>
            <w:vAlign w:val="center"/>
          </w:tcPr>
          <w:p w14:paraId="5B9E3961" w14:textId="77777777" w:rsidR="00EA67D0" w:rsidRDefault="00C53FBD">
            <w:pPr>
              <w:jc w:val="center"/>
            </w:pPr>
            <w:r>
              <w:rPr>
                <w:sz w:val="18"/>
                <w:szCs w:val="18"/>
              </w:rPr>
              <w:t>10 or more</w:t>
            </w:r>
          </w:p>
        </w:tc>
        <w:tc>
          <w:tcPr>
            <w:tcW w:w="1930" w:type="dxa"/>
            <w:tcMar>
              <w:top w:w="60" w:type="dxa"/>
              <w:left w:w="100" w:type="dxa"/>
              <w:bottom w:w="60" w:type="dxa"/>
              <w:right w:w="100" w:type="dxa"/>
            </w:tcMar>
            <w:vAlign w:val="center"/>
          </w:tcPr>
          <w:p w14:paraId="600C2CAE" w14:textId="77777777" w:rsidR="00EA67D0" w:rsidRDefault="00C53FBD">
            <w:pPr>
              <w:jc w:val="center"/>
            </w:pPr>
            <w:r>
              <w:rPr>
                <w:sz w:val="18"/>
                <w:szCs w:val="18"/>
              </w:rPr>
              <w:t>4.00×</w:t>
            </w:r>
          </w:p>
        </w:tc>
        <w:tc>
          <w:tcPr>
            <w:tcW w:w="3860" w:type="dxa"/>
            <w:tcMar>
              <w:top w:w="60" w:type="dxa"/>
              <w:left w:w="100" w:type="dxa"/>
              <w:bottom w:w="60" w:type="dxa"/>
              <w:right w:w="100" w:type="dxa"/>
            </w:tcMar>
            <w:vAlign w:val="center"/>
          </w:tcPr>
          <w:p w14:paraId="4E1B055F" w14:textId="77777777" w:rsidR="00EA67D0" w:rsidRDefault="00C53FBD">
            <w:pPr>
              <w:jc w:val="center"/>
            </w:pPr>
            <w:r>
              <w:rPr>
                <w:sz w:val="18"/>
                <w:szCs w:val="18"/>
              </w:rPr>
              <w:t>Mandatory model review; regulatory scrutiny</w:t>
            </w:r>
          </w:p>
        </w:tc>
      </w:tr>
    </w:tbl>
    <w:p w14:paraId="65F9FA21" w14:textId="2EF57014" w:rsidR="00191B96" w:rsidRPr="00206846" w:rsidRDefault="00C53FBD">
      <w:pPr>
        <w:spacing w:before="80" w:after="240"/>
        <w:rPr>
          <w:i/>
          <w:iCs/>
          <w:sz w:val="20"/>
          <w:szCs w:val="20"/>
        </w:rPr>
      </w:pPr>
      <w:r>
        <w:rPr>
          <w:i/>
          <w:iCs/>
          <w:sz w:val="20"/>
          <w:szCs w:val="20"/>
        </w:rPr>
        <w:t xml:space="preserve">Source: </w:t>
      </w:r>
      <w:r w:rsidR="00191B96" w:rsidRPr="00191B96">
        <w:rPr>
          <w:i/>
          <w:iCs/>
          <w:sz w:val="20"/>
          <w:szCs w:val="20"/>
        </w:rPr>
        <w:t>Basel Committee on Banking Supervision (2019), "Supervisory Framework for the Use of Backtesting in Conjunction with the Internal Models Approach to Market Risk Capital Requirements</w:t>
      </w:r>
      <w:r>
        <w:rPr>
          <w:i/>
          <w:iCs/>
          <w:sz w:val="20"/>
          <w:szCs w:val="20"/>
        </w:rPr>
        <w:t>.</w:t>
      </w:r>
    </w:p>
    <w:p w14:paraId="732B5D92" w14:textId="77777777" w:rsidR="00EA67D0" w:rsidRDefault="00C53FBD">
      <w:pPr>
        <w:pStyle w:val="Heading1"/>
      </w:pPr>
      <w:r>
        <w:t>6. Empirical Results</w:t>
      </w:r>
    </w:p>
    <w:p w14:paraId="61B1AEBC" w14:textId="77777777" w:rsidR="00EA67D0" w:rsidRDefault="00C53FBD">
      <w:pPr>
        <w:pStyle w:val="Heading2"/>
      </w:pPr>
      <w:r>
        <w:t>6.1 VaR Estimates</w:t>
      </w:r>
    </w:p>
    <w:p w14:paraId="78895682" w14:textId="59A9AE43" w:rsidR="00EA67D0" w:rsidRDefault="00DE633A" w:rsidP="00DE633A">
      <w:pPr>
        <w:spacing w:after="200" w:line="276" w:lineRule="auto"/>
        <w:jc w:val="both"/>
      </w:pPr>
      <w:r w:rsidRPr="00DE633A">
        <w:t xml:space="preserve">Table 3 pulls together the daily VaR forecasts for each model over the 1,509-day out-of-sample walk-forward window. Since each day gets a fresh estimate, the models spit out a whole range of VaR numbers, not just a single value. That spread is informative all by </w:t>
      </w:r>
      <w:r w:rsidR="00A778A0" w:rsidRPr="00DE633A">
        <w:t xml:space="preserve">itself, </w:t>
      </w:r>
      <w:r w:rsidRPr="00DE633A">
        <w:t>it shows how quick each model is to react when the market shifts inside its trailing window</w:t>
      </w:r>
      <w:r w:rsidR="00C53FBD">
        <w:t>.</w:t>
      </w:r>
    </w:p>
    <w:p w14:paraId="47C8AEDD" w14:textId="77777777" w:rsidR="00EA67D0" w:rsidRDefault="00C53FBD">
      <w:pPr>
        <w:spacing w:before="240" w:after="80"/>
      </w:pPr>
      <w:r>
        <w:rPr>
          <w:b/>
          <w:bCs/>
        </w:rPr>
        <w:t>Table 3 — VaR Estimates, Walk-Forward Out-of-Sample Window (Jan. 2019–Dec. 2024)</w:t>
      </w:r>
    </w:p>
    <w:tbl>
      <w:tblPr>
        <w:tblW w:w="929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490"/>
        <w:gridCol w:w="1340"/>
        <w:gridCol w:w="1440"/>
        <w:gridCol w:w="1340"/>
        <w:gridCol w:w="1340"/>
        <w:gridCol w:w="1340"/>
      </w:tblGrid>
      <w:tr w:rsidR="00EA67D0" w14:paraId="2F694652" w14:textId="77777777">
        <w:trPr>
          <w:tblHeader/>
        </w:trPr>
        <w:tc>
          <w:tcPr>
            <w:tcW w:w="2490" w:type="dxa"/>
            <w:shd w:val="clear" w:color="auto" w:fill="D9D9D9"/>
            <w:tcMar>
              <w:top w:w="60" w:type="dxa"/>
              <w:left w:w="100" w:type="dxa"/>
              <w:bottom w:w="60" w:type="dxa"/>
              <w:right w:w="100" w:type="dxa"/>
            </w:tcMar>
            <w:vAlign w:val="center"/>
          </w:tcPr>
          <w:p w14:paraId="78E93504" w14:textId="77777777" w:rsidR="00EA67D0" w:rsidRDefault="00C53FBD">
            <w:pPr>
              <w:jc w:val="center"/>
            </w:pPr>
            <w:r>
              <w:rPr>
                <w:b/>
                <w:bCs/>
                <w:sz w:val="18"/>
                <w:szCs w:val="18"/>
              </w:rPr>
              <w:t>Method</w:t>
            </w:r>
          </w:p>
        </w:tc>
        <w:tc>
          <w:tcPr>
            <w:tcW w:w="1340" w:type="dxa"/>
            <w:shd w:val="clear" w:color="auto" w:fill="D9D9D9"/>
            <w:tcMar>
              <w:top w:w="60" w:type="dxa"/>
              <w:left w:w="100" w:type="dxa"/>
              <w:bottom w:w="60" w:type="dxa"/>
              <w:right w:w="100" w:type="dxa"/>
            </w:tcMar>
            <w:vAlign w:val="center"/>
          </w:tcPr>
          <w:p w14:paraId="25A3C767" w14:textId="77777777" w:rsidR="00EA67D0" w:rsidRDefault="00C53FBD">
            <w:pPr>
              <w:jc w:val="center"/>
            </w:pPr>
            <w:r>
              <w:rPr>
                <w:b/>
                <w:bCs/>
                <w:sz w:val="18"/>
                <w:szCs w:val="18"/>
              </w:rPr>
              <w:t>Confidence</w:t>
            </w:r>
          </w:p>
        </w:tc>
        <w:tc>
          <w:tcPr>
            <w:tcW w:w="1440" w:type="dxa"/>
            <w:shd w:val="clear" w:color="auto" w:fill="D9D9D9"/>
            <w:tcMar>
              <w:top w:w="60" w:type="dxa"/>
              <w:left w:w="100" w:type="dxa"/>
              <w:bottom w:w="60" w:type="dxa"/>
              <w:right w:w="100" w:type="dxa"/>
            </w:tcMar>
            <w:vAlign w:val="center"/>
          </w:tcPr>
          <w:p w14:paraId="17257218" w14:textId="77777777" w:rsidR="00EA67D0" w:rsidRDefault="00C53FBD">
            <w:pPr>
              <w:jc w:val="center"/>
            </w:pPr>
            <w:r>
              <w:rPr>
                <w:b/>
                <w:bCs/>
                <w:sz w:val="18"/>
                <w:szCs w:val="18"/>
              </w:rPr>
              <w:t>Mean VaR (%)</w:t>
            </w:r>
          </w:p>
        </w:tc>
        <w:tc>
          <w:tcPr>
            <w:tcW w:w="1340" w:type="dxa"/>
            <w:shd w:val="clear" w:color="auto" w:fill="D9D9D9"/>
            <w:tcMar>
              <w:top w:w="60" w:type="dxa"/>
              <w:left w:w="100" w:type="dxa"/>
              <w:bottom w:w="60" w:type="dxa"/>
              <w:right w:w="100" w:type="dxa"/>
            </w:tcMar>
            <w:vAlign w:val="center"/>
          </w:tcPr>
          <w:p w14:paraId="1296B4A0" w14:textId="77777777" w:rsidR="00EA67D0" w:rsidRDefault="00C53FBD">
            <w:pPr>
              <w:jc w:val="center"/>
            </w:pPr>
            <w:r>
              <w:rPr>
                <w:b/>
                <w:bCs/>
                <w:sz w:val="18"/>
                <w:szCs w:val="18"/>
              </w:rPr>
              <w:t>Min VaR (%)</w:t>
            </w:r>
          </w:p>
        </w:tc>
        <w:tc>
          <w:tcPr>
            <w:tcW w:w="1340" w:type="dxa"/>
            <w:shd w:val="clear" w:color="auto" w:fill="D9D9D9"/>
            <w:tcMar>
              <w:top w:w="60" w:type="dxa"/>
              <w:left w:w="100" w:type="dxa"/>
              <w:bottom w:w="60" w:type="dxa"/>
              <w:right w:w="100" w:type="dxa"/>
            </w:tcMar>
            <w:vAlign w:val="center"/>
          </w:tcPr>
          <w:p w14:paraId="3A9C108D" w14:textId="77777777" w:rsidR="00EA67D0" w:rsidRDefault="00C53FBD">
            <w:pPr>
              <w:jc w:val="center"/>
            </w:pPr>
            <w:r>
              <w:rPr>
                <w:b/>
                <w:bCs/>
                <w:sz w:val="18"/>
                <w:szCs w:val="18"/>
              </w:rPr>
              <w:t>Max VaR (%)</w:t>
            </w:r>
          </w:p>
        </w:tc>
        <w:tc>
          <w:tcPr>
            <w:tcW w:w="1340" w:type="dxa"/>
            <w:shd w:val="clear" w:color="auto" w:fill="D9D9D9"/>
            <w:tcMar>
              <w:top w:w="60" w:type="dxa"/>
              <w:left w:w="100" w:type="dxa"/>
              <w:bottom w:w="60" w:type="dxa"/>
              <w:right w:w="100" w:type="dxa"/>
            </w:tcMar>
            <w:vAlign w:val="center"/>
          </w:tcPr>
          <w:p w14:paraId="1033D46E" w14:textId="77777777" w:rsidR="00EA67D0" w:rsidRDefault="00C53FBD">
            <w:pPr>
              <w:jc w:val="center"/>
            </w:pPr>
            <w:r>
              <w:rPr>
                <w:b/>
                <w:bCs/>
                <w:sz w:val="18"/>
                <w:szCs w:val="18"/>
              </w:rPr>
              <w:t>Final VaR (%)</w:t>
            </w:r>
          </w:p>
        </w:tc>
      </w:tr>
      <w:tr w:rsidR="00EA67D0" w14:paraId="46800596" w14:textId="77777777">
        <w:tc>
          <w:tcPr>
            <w:tcW w:w="2490" w:type="dxa"/>
            <w:tcMar>
              <w:top w:w="60" w:type="dxa"/>
              <w:left w:w="100" w:type="dxa"/>
              <w:bottom w:w="60" w:type="dxa"/>
              <w:right w:w="100" w:type="dxa"/>
            </w:tcMar>
            <w:vAlign w:val="center"/>
          </w:tcPr>
          <w:p w14:paraId="74BB80C4" w14:textId="77777777" w:rsidR="00EA67D0" w:rsidRDefault="00C53FBD">
            <w:r>
              <w:rPr>
                <w:sz w:val="18"/>
                <w:szCs w:val="18"/>
              </w:rPr>
              <w:t>Historical Simulation</w:t>
            </w:r>
          </w:p>
        </w:tc>
        <w:tc>
          <w:tcPr>
            <w:tcW w:w="1340" w:type="dxa"/>
            <w:tcMar>
              <w:top w:w="60" w:type="dxa"/>
              <w:left w:w="100" w:type="dxa"/>
              <w:bottom w:w="60" w:type="dxa"/>
              <w:right w:w="100" w:type="dxa"/>
            </w:tcMar>
            <w:vAlign w:val="center"/>
          </w:tcPr>
          <w:p w14:paraId="5847DC42" w14:textId="77777777" w:rsidR="00EA67D0" w:rsidRDefault="00C53FBD">
            <w:pPr>
              <w:jc w:val="center"/>
            </w:pPr>
            <w:r>
              <w:rPr>
                <w:sz w:val="18"/>
                <w:szCs w:val="18"/>
              </w:rPr>
              <w:t>95%</w:t>
            </w:r>
          </w:p>
        </w:tc>
        <w:tc>
          <w:tcPr>
            <w:tcW w:w="1440" w:type="dxa"/>
            <w:tcMar>
              <w:top w:w="60" w:type="dxa"/>
              <w:left w:w="100" w:type="dxa"/>
              <w:bottom w:w="60" w:type="dxa"/>
              <w:right w:w="100" w:type="dxa"/>
            </w:tcMar>
            <w:vAlign w:val="center"/>
          </w:tcPr>
          <w:p w14:paraId="57D9AFF5" w14:textId="77777777" w:rsidR="00EA67D0" w:rsidRDefault="00C53FBD">
            <w:pPr>
              <w:jc w:val="center"/>
            </w:pPr>
            <w:r>
              <w:rPr>
                <w:sz w:val="18"/>
                <w:szCs w:val="18"/>
              </w:rPr>
              <w:t>1.996</w:t>
            </w:r>
          </w:p>
        </w:tc>
        <w:tc>
          <w:tcPr>
            <w:tcW w:w="1340" w:type="dxa"/>
            <w:tcMar>
              <w:top w:w="60" w:type="dxa"/>
              <w:left w:w="100" w:type="dxa"/>
              <w:bottom w:w="60" w:type="dxa"/>
              <w:right w:w="100" w:type="dxa"/>
            </w:tcMar>
            <w:vAlign w:val="center"/>
          </w:tcPr>
          <w:p w14:paraId="55403DFE" w14:textId="77777777" w:rsidR="00EA67D0" w:rsidRDefault="00C53FBD">
            <w:pPr>
              <w:jc w:val="center"/>
            </w:pPr>
            <w:r>
              <w:rPr>
                <w:sz w:val="18"/>
                <w:szCs w:val="18"/>
              </w:rPr>
              <w:t>1.031</w:t>
            </w:r>
          </w:p>
        </w:tc>
        <w:tc>
          <w:tcPr>
            <w:tcW w:w="1340" w:type="dxa"/>
            <w:tcMar>
              <w:top w:w="60" w:type="dxa"/>
              <w:left w:w="100" w:type="dxa"/>
              <w:bottom w:w="60" w:type="dxa"/>
              <w:right w:w="100" w:type="dxa"/>
            </w:tcMar>
            <w:vAlign w:val="center"/>
          </w:tcPr>
          <w:p w14:paraId="1C971A02" w14:textId="77777777" w:rsidR="00EA67D0" w:rsidRDefault="00C53FBD">
            <w:pPr>
              <w:jc w:val="center"/>
            </w:pPr>
            <w:r>
              <w:rPr>
                <w:sz w:val="18"/>
                <w:szCs w:val="18"/>
              </w:rPr>
              <w:t>3.419</w:t>
            </w:r>
          </w:p>
        </w:tc>
        <w:tc>
          <w:tcPr>
            <w:tcW w:w="1340" w:type="dxa"/>
            <w:tcMar>
              <w:top w:w="60" w:type="dxa"/>
              <w:left w:w="100" w:type="dxa"/>
              <w:bottom w:w="60" w:type="dxa"/>
              <w:right w:w="100" w:type="dxa"/>
            </w:tcMar>
            <w:vAlign w:val="center"/>
          </w:tcPr>
          <w:p w14:paraId="6BCD854F" w14:textId="77777777" w:rsidR="00EA67D0" w:rsidRDefault="00C53FBD">
            <w:pPr>
              <w:jc w:val="center"/>
            </w:pPr>
            <w:r>
              <w:rPr>
                <w:sz w:val="18"/>
                <w:szCs w:val="18"/>
              </w:rPr>
              <w:t>1.355</w:t>
            </w:r>
          </w:p>
        </w:tc>
      </w:tr>
      <w:tr w:rsidR="00EA67D0" w14:paraId="524FFD99" w14:textId="77777777">
        <w:tc>
          <w:tcPr>
            <w:tcW w:w="2490" w:type="dxa"/>
            <w:shd w:val="clear" w:color="auto" w:fill="F5F5F5"/>
            <w:tcMar>
              <w:top w:w="60" w:type="dxa"/>
              <w:left w:w="100" w:type="dxa"/>
              <w:bottom w:w="60" w:type="dxa"/>
              <w:right w:w="100" w:type="dxa"/>
            </w:tcMar>
            <w:vAlign w:val="center"/>
          </w:tcPr>
          <w:p w14:paraId="386315E6" w14:textId="77777777" w:rsidR="00EA67D0" w:rsidRDefault="00C53FBD">
            <w:r>
              <w:rPr>
                <w:sz w:val="18"/>
                <w:szCs w:val="18"/>
              </w:rPr>
              <w:t>Parametric (Normal)</w:t>
            </w:r>
          </w:p>
        </w:tc>
        <w:tc>
          <w:tcPr>
            <w:tcW w:w="1340" w:type="dxa"/>
            <w:shd w:val="clear" w:color="auto" w:fill="F5F5F5"/>
            <w:tcMar>
              <w:top w:w="60" w:type="dxa"/>
              <w:left w:w="100" w:type="dxa"/>
              <w:bottom w:w="60" w:type="dxa"/>
              <w:right w:w="100" w:type="dxa"/>
            </w:tcMar>
            <w:vAlign w:val="center"/>
          </w:tcPr>
          <w:p w14:paraId="4C4BDA31" w14:textId="77777777" w:rsidR="00EA67D0" w:rsidRDefault="00C53FBD">
            <w:pPr>
              <w:jc w:val="center"/>
            </w:pPr>
            <w:r>
              <w:rPr>
                <w:sz w:val="18"/>
                <w:szCs w:val="18"/>
              </w:rPr>
              <w:t>95%</w:t>
            </w:r>
          </w:p>
        </w:tc>
        <w:tc>
          <w:tcPr>
            <w:tcW w:w="1440" w:type="dxa"/>
            <w:shd w:val="clear" w:color="auto" w:fill="F5F5F5"/>
            <w:tcMar>
              <w:top w:w="60" w:type="dxa"/>
              <w:left w:w="100" w:type="dxa"/>
              <w:bottom w:w="60" w:type="dxa"/>
              <w:right w:w="100" w:type="dxa"/>
            </w:tcMar>
            <w:vAlign w:val="center"/>
          </w:tcPr>
          <w:p w14:paraId="14FE6823" w14:textId="77777777" w:rsidR="00EA67D0" w:rsidRDefault="00C53FBD">
            <w:pPr>
              <w:jc w:val="center"/>
            </w:pPr>
            <w:r>
              <w:rPr>
                <w:sz w:val="18"/>
                <w:szCs w:val="18"/>
              </w:rPr>
              <w:t>1.941</w:t>
            </w:r>
          </w:p>
        </w:tc>
        <w:tc>
          <w:tcPr>
            <w:tcW w:w="1340" w:type="dxa"/>
            <w:shd w:val="clear" w:color="auto" w:fill="F5F5F5"/>
            <w:tcMar>
              <w:top w:w="60" w:type="dxa"/>
              <w:left w:w="100" w:type="dxa"/>
              <w:bottom w:w="60" w:type="dxa"/>
              <w:right w:w="100" w:type="dxa"/>
            </w:tcMar>
            <w:vAlign w:val="center"/>
          </w:tcPr>
          <w:p w14:paraId="7EEDD47D" w14:textId="77777777" w:rsidR="00EA67D0" w:rsidRDefault="00C53FBD">
            <w:pPr>
              <w:jc w:val="center"/>
            </w:pPr>
            <w:r>
              <w:rPr>
                <w:sz w:val="18"/>
                <w:szCs w:val="18"/>
              </w:rPr>
              <w:t>1.060</w:t>
            </w:r>
          </w:p>
        </w:tc>
        <w:tc>
          <w:tcPr>
            <w:tcW w:w="1340" w:type="dxa"/>
            <w:shd w:val="clear" w:color="auto" w:fill="F5F5F5"/>
            <w:tcMar>
              <w:top w:w="60" w:type="dxa"/>
              <w:left w:w="100" w:type="dxa"/>
              <w:bottom w:w="60" w:type="dxa"/>
              <w:right w:w="100" w:type="dxa"/>
            </w:tcMar>
            <w:vAlign w:val="center"/>
          </w:tcPr>
          <w:p w14:paraId="04FDAE15" w14:textId="77777777" w:rsidR="00EA67D0" w:rsidRDefault="00C53FBD">
            <w:pPr>
              <w:jc w:val="center"/>
            </w:pPr>
            <w:r>
              <w:rPr>
                <w:sz w:val="18"/>
                <w:szCs w:val="18"/>
              </w:rPr>
              <w:t>3.577</w:t>
            </w:r>
          </w:p>
        </w:tc>
        <w:tc>
          <w:tcPr>
            <w:tcW w:w="1340" w:type="dxa"/>
            <w:shd w:val="clear" w:color="auto" w:fill="F5F5F5"/>
            <w:tcMar>
              <w:top w:w="60" w:type="dxa"/>
              <w:left w:w="100" w:type="dxa"/>
              <w:bottom w:w="60" w:type="dxa"/>
              <w:right w:w="100" w:type="dxa"/>
            </w:tcMar>
            <w:vAlign w:val="center"/>
          </w:tcPr>
          <w:p w14:paraId="130C1A0C" w14:textId="77777777" w:rsidR="00EA67D0" w:rsidRDefault="00C53FBD">
            <w:pPr>
              <w:jc w:val="center"/>
            </w:pPr>
            <w:r>
              <w:rPr>
                <w:sz w:val="18"/>
                <w:szCs w:val="18"/>
              </w:rPr>
              <w:t>1.221</w:t>
            </w:r>
          </w:p>
        </w:tc>
      </w:tr>
      <w:tr w:rsidR="00EA67D0" w14:paraId="7FBD1AE2" w14:textId="77777777">
        <w:tc>
          <w:tcPr>
            <w:tcW w:w="2490" w:type="dxa"/>
            <w:tcMar>
              <w:top w:w="60" w:type="dxa"/>
              <w:left w:w="100" w:type="dxa"/>
              <w:bottom w:w="60" w:type="dxa"/>
              <w:right w:w="100" w:type="dxa"/>
            </w:tcMar>
            <w:vAlign w:val="center"/>
          </w:tcPr>
          <w:p w14:paraId="61C0BC1C" w14:textId="77777777" w:rsidR="00EA67D0" w:rsidRDefault="00C53FBD">
            <w:r>
              <w:rPr>
                <w:sz w:val="18"/>
                <w:szCs w:val="18"/>
              </w:rPr>
              <w:t>Student-t</w:t>
            </w:r>
          </w:p>
        </w:tc>
        <w:tc>
          <w:tcPr>
            <w:tcW w:w="1340" w:type="dxa"/>
            <w:tcMar>
              <w:top w:w="60" w:type="dxa"/>
              <w:left w:w="100" w:type="dxa"/>
              <w:bottom w:w="60" w:type="dxa"/>
              <w:right w:w="100" w:type="dxa"/>
            </w:tcMar>
            <w:vAlign w:val="center"/>
          </w:tcPr>
          <w:p w14:paraId="39FD5CBB" w14:textId="77777777" w:rsidR="00EA67D0" w:rsidRDefault="00C53FBD">
            <w:pPr>
              <w:jc w:val="center"/>
            </w:pPr>
            <w:r>
              <w:rPr>
                <w:sz w:val="18"/>
                <w:szCs w:val="18"/>
              </w:rPr>
              <w:t>95%</w:t>
            </w:r>
          </w:p>
        </w:tc>
        <w:tc>
          <w:tcPr>
            <w:tcW w:w="1440" w:type="dxa"/>
            <w:tcMar>
              <w:top w:w="60" w:type="dxa"/>
              <w:left w:w="100" w:type="dxa"/>
              <w:bottom w:w="60" w:type="dxa"/>
              <w:right w:w="100" w:type="dxa"/>
            </w:tcMar>
            <w:vAlign w:val="center"/>
          </w:tcPr>
          <w:p w14:paraId="47DB549D" w14:textId="77777777" w:rsidR="00EA67D0" w:rsidRDefault="00C53FBD">
            <w:pPr>
              <w:jc w:val="center"/>
            </w:pPr>
            <w:r>
              <w:rPr>
                <w:sz w:val="18"/>
                <w:szCs w:val="18"/>
              </w:rPr>
              <w:t>1.718</w:t>
            </w:r>
          </w:p>
        </w:tc>
        <w:tc>
          <w:tcPr>
            <w:tcW w:w="1340" w:type="dxa"/>
            <w:tcMar>
              <w:top w:w="60" w:type="dxa"/>
              <w:left w:w="100" w:type="dxa"/>
              <w:bottom w:w="60" w:type="dxa"/>
              <w:right w:w="100" w:type="dxa"/>
            </w:tcMar>
            <w:vAlign w:val="center"/>
          </w:tcPr>
          <w:p w14:paraId="4449ED57" w14:textId="77777777" w:rsidR="00EA67D0" w:rsidRDefault="00C53FBD">
            <w:pPr>
              <w:jc w:val="center"/>
            </w:pPr>
            <w:r>
              <w:rPr>
                <w:sz w:val="18"/>
                <w:szCs w:val="18"/>
              </w:rPr>
              <w:t>0.996</w:t>
            </w:r>
          </w:p>
        </w:tc>
        <w:tc>
          <w:tcPr>
            <w:tcW w:w="1340" w:type="dxa"/>
            <w:tcMar>
              <w:top w:w="60" w:type="dxa"/>
              <w:left w:w="100" w:type="dxa"/>
              <w:bottom w:w="60" w:type="dxa"/>
              <w:right w:w="100" w:type="dxa"/>
            </w:tcMar>
            <w:vAlign w:val="center"/>
          </w:tcPr>
          <w:p w14:paraId="6323086E" w14:textId="77777777" w:rsidR="00EA67D0" w:rsidRDefault="00C53FBD">
            <w:pPr>
              <w:jc w:val="center"/>
            </w:pPr>
            <w:r>
              <w:rPr>
                <w:sz w:val="18"/>
                <w:szCs w:val="18"/>
              </w:rPr>
              <w:t>3.051</w:t>
            </w:r>
          </w:p>
        </w:tc>
        <w:tc>
          <w:tcPr>
            <w:tcW w:w="1340" w:type="dxa"/>
            <w:tcMar>
              <w:top w:w="60" w:type="dxa"/>
              <w:left w:w="100" w:type="dxa"/>
              <w:bottom w:w="60" w:type="dxa"/>
              <w:right w:w="100" w:type="dxa"/>
            </w:tcMar>
            <w:vAlign w:val="center"/>
          </w:tcPr>
          <w:p w14:paraId="52075E65" w14:textId="77777777" w:rsidR="00EA67D0" w:rsidRDefault="00C53FBD">
            <w:pPr>
              <w:jc w:val="center"/>
            </w:pPr>
            <w:r>
              <w:rPr>
                <w:sz w:val="18"/>
                <w:szCs w:val="18"/>
              </w:rPr>
              <w:t>1.131</w:t>
            </w:r>
          </w:p>
        </w:tc>
      </w:tr>
      <w:tr w:rsidR="00EA67D0" w14:paraId="55DD1468" w14:textId="77777777">
        <w:tc>
          <w:tcPr>
            <w:tcW w:w="2490" w:type="dxa"/>
            <w:shd w:val="clear" w:color="auto" w:fill="F5F5F5"/>
            <w:tcMar>
              <w:top w:w="60" w:type="dxa"/>
              <w:left w:w="100" w:type="dxa"/>
              <w:bottom w:w="60" w:type="dxa"/>
              <w:right w:w="100" w:type="dxa"/>
            </w:tcMar>
            <w:vAlign w:val="center"/>
          </w:tcPr>
          <w:p w14:paraId="14BD5A46" w14:textId="77777777" w:rsidR="00EA67D0" w:rsidRDefault="00C53FBD">
            <w:r>
              <w:rPr>
                <w:sz w:val="18"/>
                <w:szCs w:val="18"/>
              </w:rPr>
              <w:t>Historical Simulation</w:t>
            </w:r>
          </w:p>
        </w:tc>
        <w:tc>
          <w:tcPr>
            <w:tcW w:w="1340" w:type="dxa"/>
            <w:shd w:val="clear" w:color="auto" w:fill="F5F5F5"/>
            <w:tcMar>
              <w:top w:w="60" w:type="dxa"/>
              <w:left w:w="100" w:type="dxa"/>
              <w:bottom w:w="60" w:type="dxa"/>
              <w:right w:w="100" w:type="dxa"/>
            </w:tcMar>
            <w:vAlign w:val="center"/>
          </w:tcPr>
          <w:p w14:paraId="3F3CE0CF" w14:textId="77777777" w:rsidR="00EA67D0" w:rsidRDefault="00C53FBD">
            <w:pPr>
              <w:jc w:val="center"/>
            </w:pPr>
            <w:r>
              <w:rPr>
                <w:sz w:val="18"/>
                <w:szCs w:val="18"/>
              </w:rPr>
              <w:t>99%</w:t>
            </w:r>
          </w:p>
        </w:tc>
        <w:tc>
          <w:tcPr>
            <w:tcW w:w="1440" w:type="dxa"/>
            <w:shd w:val="clear" w:color="auto" w:fill="F5F5F5"/>
            <w:tcMar>
              <w:top w:w="60" w:type="dxa"/>
              <w:left w:w="100" w:type="dxa"/>
              <w:bottom w:w="60" w:type="dxa"/>
              <w:right w:w="100" w:type="dxa"/>
            </w:tcMar>
            <w:vAlign w:val="center"/>
          </w:tcPr>
          <w:p w14:paraId="1D893394" w14:textId="77777777" w:rsidR="00EA67D0" w:rsidRDefault="00C53FBD">
            <w:pPr>
              <w:jc w:val="center"/>
            </w:pPr>
            <w:r>
              <w:rPr>
                <w:sz w:val="18"/>
                <w:szCs w:val="18"/>
              </w:rPr>
              <w:t>3.410</w:t>
            </w:r>
          </w:p>
        </w:tc>
        <w:tc>
          <w:tcPr>
            <w:tcW w:w="1340" w:type="dxa"/>
            <w:shd w:val="clear" w:color="auto" w:fill="F5F5F5"/>
            <w:tcMar>
              <w:top w:w="60" w:type="dxa"/>
              <w:left w:w="100" w:type="dxa"/>
              <w:bottom w:w="60" w:type="dxa"/>
              <w:right w:w="100" w:type="dxa"/>
            </w:tcMar>
            <w:vAlign w:val="center"/>
          </w:tcPr>
          <w:p w14:paraId="338C6818" w14:textId="77777777" w:rsidR="00EA67D0" w:rsidRDefault="00C53FBD">
            <w:pPr>
              <w:jc w:val="center"/>
            </w:pPr>
            <w:r>
              <w:rPr>
                <w:sz w:val="18"/>
                <w:szCs w:val="18"/>
              </w:rPr>
              <w:t>1.482</w:t>
            </w:r>
          </w:p>
        </w:tc>
        <w:tc>
          <w:tcPr>
            <w:tcW w:w="1340" w:type="dxa"/>
            <w:shd w:val="clear" w:color="auto" w:fill="F5F5F5"/>
            <w:tcMar>
              <w:top w:w="60" w:type="dxa"/>
              <w:left w:w="100" w:type="dxa"/>
              <w:bottom w:w="60" w:type="dxa"/>
              <w:right w:w="100" w:type="dxa"/>
            </w:tcMar>
            <w:vAlign w:val="center"/>
          </w:tcPr>
          <w:p w14:paraId="2C822475" w14:textId="77777777" w:rsidR="00EA67D0" w:rsidRDefault="00C53FBD">
            <w:pPr>
              <w:jc w:val="center"/>
            </w:pPr>
            <w:r>
              <w:rPr>
                <w:sz w:val="18"/>
                <w:szCs w:val="18"/>
              </w:rPr>
              <w:t>7.006</w:t>
            </w:r>
          </w:p>
        </w:tc>
        <w:tc>
          <w:tcPr>
            <w:tcW w:w="1340" w:type="dxa"/>
            <w:shd w:val="clear" w:color="auto" w:fill="F5F5F5"/>
            <w:tcMar>
              <w:top w:w="60" w:type="dxa"/>
              <w:left w:w="100" w:type="dxa"/>
              <w:bottom w:w="60" w:type="dxa"/>
              <w:right w:w="100" w:type="dxa"/>
            </w:tcMar>
            <w:vAlign w:val="center"/>
          </w:tcPr>
          <w:p w14:paraId="17BD57C6" w14:textId="77777777" w:rsidR="00EA67D0" w:rsidRDefault="00C53FBD">
            <w:pPr>
              <w:jc w:val="center"/>
            </w:pPr>
            <w:r>
              <w:rPr>
                <w:sz w:val="18"/>
                <w:szCs w:val="18"/>
              </w:rPr>
              <w:t>2.242</w:t>
            </w:r>
          </w:p>
        </w:tc>
      </w:tr>
      <w:tr w:rsidR="00EA67D0" w14:paraId="30963441" w14:textId="77777777">
        <w:tc>
          <w:tcPr>
            <w:tcW w:w="2490" w:type="dxa"/>
            <w:tcMar>
              <w:top w:w="60" w:type="dxa"/>
              <w:left w:w="100" w:type="dxa"/>
              <w:bottom w:w="60" w:type="dxa"/>
              <w:right w:w="100" w:type="dxa"/>
            </w:tcMar>
            <w:vAlign w:val="center"/>
          </w:tcPr>
          <w:p w14:paraId="1D64AC94" w14:textId="77777777" w:rsidR="00EA67D0" w:rsidRDefault="00C53FBD">
            <w:r>
              <w:rPr>
                <w:sz w:val="18"/>
                <w:szCs w:val="18"/>
              </w:rPr>
              <w:t>Parametric (Normal)</w:t>
            </w:r>
          </w:p>
        </w:tc>
        <w:tc>
          <w:tcPr>
            <w:tcW w:w="1340" w:type="dxa"/>
            <w:tcMar>
              <w:top w:w="60" w:type="dxa"/>
              <w:left w:w="100" w:type="dxa"/>
              <w:bottom w:w="60" w:type="dxa"/>
              <w:right w:w="100" w:type="dxa"/>
            </w:tcMar>
            <w:vAlign w:val="center"/>
          </w:tcPr>
          <w:p w14:paraId="3A3D7897" w14:textId="77777777" w:rsidR="00EA67D0" w:rsidRDefault="00C53FBD">
            <w:pPr>
              <w:jc w:val="center"/>
            </w:pPr>
            <w:r>
              <w:rPr>
                <w:sz w:val="18"/>
                <w:szCs w:val="18"/>
              </w:rPr>
              <w:t>99%</w:t>
            </w:r>
          </w:p>
        </w:tc>
        <w:tc>
          <w:tcPr>
            <w:tcW w:w="1440" w:type="dxa"/>
            <w:tcMar>
              <w:top w:w="60" w:type="dxa"/>
              <w:left w:w="100" w:type="dxa"/>
              <w:bottom w:w="60" w:type="dxa"/>
              <w:right w:w="100" w:type="dxa"/>
            </w:tcMar>
            <w:vAlign w:val="center"/>
          </w:tcPr>
          <w:p w14:paraId="634815FD" w14:textId="77777777" w:rsidR="00EA67D0" w:rsidRDefault="00C53FBD">
            <w:pPr>
              <w:jc w:val="center"/>
            </w:pPr>
            <w:r>
              <w:rPr>
                <w:sz w:val="18"/>
                <w:szCs w:val="18"/>
              </w:rPr>
              <w:t>2.764</w:t>
            </w:r>
          </w:p>
        </w:tc>
        <w:tc>
          <w:tcPr>
            <w:tcW w:w="1340" w:type="dxa"/>
            <w:tcMar>
              <w:top w:w="60" w:type="dxa"/>
              <w:left w:w="100" w:type="dxa"/>
              <w:bottom w:w="60" w:type="dxa"/>
              <w:right w:w="100" w:type="dxa"/>
            </w:tcMar>
            <w:vAlign w:val="center"/>
          </w:tcPr>
          <w:p w14:paraId="5F8082A5" w14:textId="77777777" w:rsidR="00EA67D0" w:rsidRDefault="00C53FBD">
            <w:pPr>
              <w:jc w:val="center"/>
            </w:pPr>
            <w:r>
              <w:rPr>
                <w:sz w:val="18"/>
                <w:szCs w:val="18"/>
              </w:rPr>
              <w:t>1.538</w:t>
            </w:r>
          </w:p>
        </w:tc>
        <w:tc>
          <w:tcPr>
            <w:tcW w:w="1340" w:type="dxa"/>
            <w:tcMar>
              <w:top w:w="60" w:type="dxa"/>
              <w:left w:w="100" w:type="dxa"/>
              <w:bottom w:w="60" w:type="dxa"/>
              <w:right w:w="100" w:type="dxa"/>
            </w:tcMar>
            <w:vAlign w:val="center"/>
          </w:tcPr>
          <w:p w14:paraId="6020D7D2" w14:textId="77777777" w:rsidR="00EA67D0" w:rsidRDefault="00C53FBD">
            <w:pPr>
              <w:jc w:val="center"/>
            </w:pPr>
            <w:r>
              <w:rPr>
                <w:sz w:val="18"/>
                <w:szCs w:val="18"/>
              </w:rPr>
              <w:t>5.081</w:t>
            </w:r>
          </w:p>
        </w:tc>
        <w:tc>
          <w:tcPr>
            <w:tcW w:w="1340" w:type="dxa"/>
            <w:tcMar>
              <w:top w:w="60" w:type="dxa"/>
              <w:left w:w="100" w:type="dxa"/>
              <w:bottom w:w="60" w:type="dxa"/>
              <w:right w:w="100" w:type="dxa"/>
            </w:tcMar>
            <w:vAlign w:val="center"/>
          </w:tcPr>
          <w:p w14:paraId="670471FF" w14:textId="77777777" w:rsidR="00EA67D0" w:rsidRDefault="00C53FBD">
            <w:pPr>
              <w:jc w:val="center"/>
            </w:pPr>
            <w:r>
              <w:rPr>
                <w:sz w:val="18"/>
                <w:szCs w:val="18"/>
              </w:rPr>
              <w:t>1.764</w:t>
            </w:r>
          </w:p>
        </w:tc>
      </w:tr>
      <w:tr w:rsidR="00EA67D0" w14:paraId="013FE0CD" w14:textId="77777777">
        <w:tc>
          <w:tcPr>
            <w:tcW w:w="2490" w:type="dxa"/>
            <w:shd w:val="clear" w:color="auto" w:fill="F5F5F5"/>
            <w:tcMar>
              <w:top w:w="60" w:type="dxa"/>
              <w:left w:w="100" w:type="dxa"/>
              <w:bottom w:w="60" w:type="dxa"/>
              <w:right w:w="100" w:type="dxa"/>
            </w:tcMar>
            <w:vAlign w:val="center"/>
          </w:tcPr>
          <w:p w14:paraId="0D5F7BAE" w14:textId="77777777" w:rsidR="00EA67D0" w:rsidRDefault="00C53FBD">
            <w:r>
              <w:rPr>
                <w:sz w:val="18"/>
                <w:szCs w:val="18"/>
              </w:rPr>
              <w:t>Student-t</w:t>
            </w:r>
          </w:p>
        </w:tc>
        <w:tc>
          <w:tcPr>
            <w:tcW w:w="1340" w:type="dxa"/>
            <w:shd w:val="clear" w:color="auto" w:fill="F5F5F5"/>
            <w:tcMar>
              <w:top w:w="60" w:type="dxa"/>
              <w:left w:w="100" w:type="dxa"/>
              <w:bottom w:w="60" w:type="dxa"/>
              <w:right w:w="100" w:type="dxa"/>
            </w:tcMar>
            <w:vAlign w:val="center"/>
          </w:tcPr>
          <w:p w14:paraId="2318826D" w14:textId="77777777" w:rsidR="00EA67D0" w:rsidRDefault="00C53FBD">
            <w:pPr>
              <w:jc w:val="center"/>
            </w:pPr>
            <w:r>
              <w:rPr>
                <w:sz w:val="18"/>
                <w:szCs w:val="18"/>
              </w:rPr>
              <w:t>99%</w:t>
            </w:r>
          </w:p>
        </w:tc>
        <w:tc>
          <w:tcPr>
            <w:tcW w:w="1440" w:type="dxa"/>
            <w:shd w:val="clear" w:color="auto" w:fill="F5F5F5"/>
            <w:tcMar>
              <w:top w:w="60" w:type="dxa"/>
              <w:left w:w="100" w:type="dxa"/>
              <w:bottom w:w="60" w:type="dxa"/>
              <w:right w:w="100" w:type="dxa"/>
            </w:tcMar>
            <w:vAlign w:val="center"/>
          </w:tcPr>
          <w:p w14:paraId="7E505C9F" w14:textId="77777777" w:rsidR="00EA67D0" w:rsidRDefault="00C53FBD">
            <w:pPr>
              <w:jc w:val="center"/>
            </w:pPr>
            <w:r>
              <w:rPr>
                <w:sz w:val="18"/>
                <w:szCs w:val="18"/>
              </w:rPr>
              <w:t>3.466</w:t>
            </w:r>
          </w:p>
        </w:tc>
        <w:tc>
          <w:tcPr>
            <w:tcW w:w="1340" w:type="dxa"/>
            <w:shd w:val="clear" w:color="auto" w:fill="F5F5F5"/>
            <w:tcMar>
              <w:top w:w="60" w:type="dxa"/>
              <w:left w:w="100" w:type="dxa"/>
              <w:bottom w:w="60" w:type="dxa"/>
              <w:right w:w="100" w:type="dxa"/>
            </w:tcMar>
            <w:vAlign w:val="center"/>
          </w:tcPr>
          <w:p w14:paraId="6BFE3579" w14:textId="77777777" w:rsidR="00EA67D0" w:rsidRDefault="00C53FBD">
            <w:pPr>
              <w:jc w:val="center"/>
            </w:pPr>
            <w:r>
              <w:rPr>
                <w:sz w:val="18"/>
                <w:szCs w:val="18"/>
              </w:rPr>
              <w:t>1.554</w:t>
            </w:r>
          </w:p>
        </w:tc>
        <w:tc>
          <w:tcPr>
            <w:tcW w:w="1340" w:type="dxa"/>
            <w:shd w:val="clear" w:color="auto" w:fill="F5F5F5"/>
            <w:tcMar>
              <w:top w:w="60" w:type="dxa"/>
              <w:left w:w="100" w:type="dxa"/>
              <w:bottom w:w="60" w:type="dxa"/>
              <w:right w:w="100" w:type="dxa"/>
            </w:tcMar>
            <w:vAlign w:val="center"/>
          </w:tcPr>
          <w:p w14:paraId="12564A96" w14:textId="77777777" w:rsidR="00EA67D0" w:rsidRDefault="00C53FBD">
            <w:pPr>
              <w:jc w:val="center"/>
            </w:pPr>
            <w:r>
              <w:rPr>
                <w:sz w:val="18"/>
                <w:szCs w:val="18"/>
              </w:rPr>
              <w:t>9.159</w:t>
            </w:r>
          </w:p>
        </w:tc>
        <w:tc>
          <w:tcPr>
            <w:tcW w:w="1340" w:type="dxa"/>
            <w:shd w:val="clear" w:color="auto" w:fill="F5F5F5"/>
            <w:tcMar>
              <w:top w:w="60" w:type="dxa"/>
              <w:left w:w="100" w:type="dxa"/>
              <w:bottom w:w="60" w:type="dxa"/>
              <w:right w:w="100" w:type="dxa"/>
            </w:tcMar>
            <w:vAlign w:val="center"/>
          </w:tcPr>
          <w:p w14:paraId="13781810" w14:textId="77777777" w:rsidR="00EA67D0" w:rsidRDefault="00C53FBD">
            <w:pPr>
              <w:jc w:val="center"/>
            </w:pPr>
            <w:r>
              <w:rPr>
                <w:sz w:val="18"/>
                <w:szCs w:val="18"/>
              </w:rPr>
              <w:t>1.999</w:t>
            </w:r>
          </w:p>
        </w:tc>
      </w:tr>
    </w:tbl>
    <w:p w14:paraId="0A9FDACA" w14:textId="77777777" w:rsidR="00EA67D0" w:rsidRDefault="00C53FBD">
      <w:pPr>
        <w:spacing w:before="80" w:after="240"/>
      </w:pPr>
      <w:r>
        <w:rPr>
          <w:i/>
          <w:iCs/>
          <w:sz w:val="20"/>
          <w:szCs w:val="20"/>
        </w:rPr>
        <w:t>Note: "Final VaR" is the forecast produced for December 30, 2024, the last day of the sample. Mean ratio of 99%/95% VaR: Historical Simulation 1.71×, Parametric 1.42×, Student-t 2.02×, against a Normal-distribution benchmark ratio of z₀.₉₉/z₀.₉₅ ≈ 1.414. Deviations above the benchmark indicate fatter-than-Normal tails.</w:t>
      </w:r>
    </w:p>
    <w:p w14:paraId="31992158" w14:textId="63E3A900" w:rsidR="00EA67D0" w:rsidRDefault="00981467" w:rsidP="00981467">
      <w:pPr>
        <w:spacing w:after="200" w:line="276" w:lineRule="auto"/>
        <w:jc w:val="both"/>
      </w:pPr>
      <w:r w:rsidRPr="00981467">
        <w:t xml:space="preserve">Now, the ratio of mean 99% to mean 95% VaR gives a quick sense-check. If your returns are truly Normal, that ratio should be about 1.414, matching the z-scores. The Parametric Normal does this </w:t>
      </w:r>
      <w:r w:rsidRPr="00981467">
        <w:lastRenderedPageBreak/>
        <w:t>nearly perfectly (1.42×), because it’s baked right into the model. But Historical Simulation (1.71×) and especially Student-t (2.02×) both overshoot that mark. And that’s exactly what you’d expect with fat tails—these models see more risk in the extremes, which lines up with the non-Normality seen back in Table 1</w:t>
      </w:r>
      <w:r w:rsidR="00C53FBD">
        <w:t>.</w:t>
      </w:r>
    </w:p>
    <w:p w14:paraId="5AA10785" w14:textId="77777777" w:rsidR="00EA67D0" w:rsidRDefault="00C53FBD">
      <w:pPr>
        <w:pStyle w:val="Heading2"/>
      </w:pPr>
      <w:r>
        <w:t>6.2 Kupiec Test Results</w:t>
      </w:r>
    </w:p>
    <w:p w14:paraId="6EAA53A4" w14:textId="2FA5B73B" w:rsidR="00EA67D0" w:rsidRDefault="002058B8" w:rsidP="002058B8">
      <w:pPr>
        <w:spacing w:after="200" w:line="276" w:lineRule="auto"/>
        <w:jc w:val="both"/>
      </w:pPr>
      <w:r>
        <w:t>Table 4 lays out the Kupiec POF test results for all six model-confidence combos over that same 1,509-day window</w:t>
      </w:r>
      <w:r w:rsidR="00C53FBD">
        <w:t>.</w:t>
      </w:r>
    </w:p>
    <w:p w14:paraId="1757A654" w14:textId="77777777" w:rsidR="00EA67D0" w:rsidRDefault="00C53FBD">
      <w:pPr>
        <w:spacing w:before="240" w:after="80"/>
      </w:pPr>
      <w:r>
        <w:rPr>
          <w:b/>
          <w:bCs/>
        </w:rPr>
        <w:t>Table 4 — Kupiec Proportion of Failures Test Results (Out-of-Sample, T = 1,509)</w:t>
      </w:r>
    </w:p>
    <w:tbl>
      <w:tblPr>
        <w:tblW w:w="929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170"/>
        <w:gridCol w:w="780"/>
        <w:gridCol w:w="1300"/>
        <w:gridCol w:w="1040"/>
        <w:gridCol w:w="780"/>
        <w:gridCol w:w="1130"/>
        <w:gridCol w:w="960"/>
        <w:gridCol w:w="1130"/>
      </w:tblGrid>
      <w:tr w:rsidR="00EA67D0" w14:paraId="345DA01B" w14:textId="77777777">
        <w:trPr>
          <w:tblHeader/>
        </w:trPr>
        <w:tc>
          <w:tcPr>
            <w:tcW w:w="2170" w:type="dxa"/>
            <w:shd w:val="clear" w:color="auto" w:fill="D9D9D9"/>
            <w:tcMar>
              <w:top w:w="60" w:type="dxa"/>
              <w:left w:w="100" w:type="dxa"/>
              <w:bottom w:w="60" w:type="dxa"/>
              <w:right w:w="100" w:type="dxa"/>
            </w:tcMar>
            <w:vAlign w:val="center"/>
          </w:tcPr>
          <w:p w14:paraId="18949FC9" w14:textId="77777777" w:rsidR="00EA67D0" w:rsidRDefault="00C53FBD">
            <w:pPr>
              <w:jc w:val="center"/>
            </w:pPr>
            <w:r>
              <w:rPr>
                <w:b/>
                <w:bCs/>
                <w:sz w:val="18"/>
                <w:szCs w:val="18"/>
              </w:rPr>
              <w:t>Model</w:t>
            </w:r>
          </w:p>
        </w:tc>
        <w:tc>
          <w:tcPr>
            <w:tcW w:w="780" w:type="dxa"/>
            <w:shd w:val="clear" w:color="auto" w:fill="D9D9D9"/>
            <w:tcMar>
              <w:top w:w="60" w:type="dxa"/>
              <w:left w:w="100" w:type="dxa"/>
              <w:bottom w:w="60" w:type="dxa"/>
              <w:right w:w="100" w:type="dxa"/>
            </w:tcMar>
            <w:vAlign w:val="center"/>
          </w:tcPr>
          <w:p w14:paraId="18C2AF80" w14:textId="77777777" w:rsidR="00EA67D0" w:rsidRDefault="00C53FBD">
            <w:pPr>
              <w:jc w:val="center"/>
            </w:pPr>
            <w:r>
              <w:rPr>
                <w:b/>
                <w:bCs/>
                <w:sz w:val="18"/>
                <w:szCs w:val="18"/>
              </w:rPr>
              <w:t>Conf.</w:t>
            </w:r>
          </w:p>
        </w:tc>
        <w:tc>
          <w:tcPr>
            <w:tcW w:w="1300" w:type="dxa"/>
            <w:shd w:val="clear" w:color="auto" w:fill="D9D9D9"/>
            <w:tcMar>
              <w:top w:w="60" w:type="dxa"/>
              <w:left w:w="100" w:type="dxa"/>
              <w:bottom w:w="60" w:type="dxa"/>
              <w:right w:w="100" w:type="dxa"/>
            </w:tcMar>
            <w:vAlign w:val="center"/>
          </w:tcPr>
          <w:p w14:paraId="7FD36DEE" w14:textId="77777777" w:rsidR="00EA67D0" w:rsidRDefault="00C53FBD">
            <w:pPr>
              <w:jc w:val="center"/>
            </w:pPr>
            <w:r>
              <w:rPr>
                <w:b/>
                <w:bCs/>
                <w:sz w:val="18"/>
                <w:szCs w:val="18"/>
              </w:rPr>
              <w:t>Violations (N)</w:t>
            </w:r>
          </w:p>
        </w:tc>
        <w:tc>
          <w:tcPr>
            <w:tcW w:w="1040" w:type="dxa"/>
            <w:shd w:val="clear" w:color="auto" w:fill="D9D9D9"/>
            <w:tcMar>
              <w:top w:w="60" w:type="dxa"/>
              <w:left w:w="100" w:type="dxa"/>
              <w:bottom w:w="60" w:type="dxa"/>
              <w:right w:w="100" w:type="dxa"/>
            </w:tcMar>
            <w:vAlign w:val="center"/>
          </w:tcPr>
          <w:p w14:paraId="6D2D38A5" w14:textId="77777777" w:rsidR="00EA67D0" w:rsidRDefault="00C53FBD">
            <w:pPr>
              <w:jc w:val="center"/>
            </w:pPr>
            <w:r>
              <w:rPr>
                <w:b/>
                <w:bCs/>
                <w:sz w:val="18"/>
                <w:szCs w:val="18"/>
              </w:rPr>
              <w:t>Expected</w:t>
            </w:r>
          </w:p>
        </w:tc>
        <w:tc>
          <w:tcPr>
            <w:tcW w:w="780" w:type="dxa"/>
            <w:shd w:val="clear" w:color="auto" w:fill="D9D9D9"/>
            <w:tcMar>
              <w:top w:w="60" w:type="dxa"/>
              <w:left w:w="100" w:type="dxa"/>
              <w:bottom w:w="60" w:type="dxa"/>
              <w:right w:w="100" w:type="dxa"/>
            </w:tcMar>
            <w:vAlign w:val="center"/>
          </w:tcPr>
          <w:p w14:paraId="7AE31570" w14:textId="77777777" w:rsidR="00EA67D0" w:rsidRDefault="00C53FBD">
            <w:pPr>
              <w:jc w:val="center"/>
            </w:pPr>
            <w:r>
              <w:rPr>
                <w:b/>
                <w:bCs/>
                <w:sz w:val="18"/>
                <w:szCs w:val="18"/>
              </w:rPr>
              <w:t>p̂ (%)</w:t>
            </w:r>
          </w:p>
        </w:tc>
        <w:tc>
          <w:tcPr>
            <w:tcW w:w="1130" w:type="dxa"/>
            <w:shd w:val="clear" w:color="auto" w:fill="D9D9D9"/>
            <w:tcMar>
              <w:top w:w="60" w:type="dxa"/>
              <w:left w:w="100" w:type="dxa"/>
              <w:bottom w:w="60" w:type="dxa"/>
              <w:right w:w="100" w:type="dxa"/>
            </w:tcMar>
            <w:vAlign w:val="center"/>
          </w:tcPr>
          <w:p w14:paraId="74BA617F" w14:textId="77777777" w:rsidR="00EA67D0" w:rsidRDefault="00C53FBD">
            <w:pPr>
              <w:jc w:val="center"/>
            </w:pPr>
            <w:r>
              <w:rPr>
                <w:b/>
                <w:bCs/>
                <w:sz w:val="18"/>
                <w:szCs w:val="18"/>
              </w:rPr>
              <w:t>LR Statistic</w:t>
            </w:r>
          </w:p>
        </w:tc>
        <w:tc>
          <w:tcPr>
            <w:tcW w:w="960" w:type="dxa"/>
            <w:shd w:val="clear" w:color="auto" w:fill="D9D9D9"/>
            <w:tcMar>
              <w:top w:w="60" w:type="dxa"/>
              <w:left w:w="100" w:type="dxa"/>
              <w:bottom w:w="60" w:type="dxa"/>
              <w:right w:w="100" w:type="dxa"/>
            </w:tcMar>
            <w:vAlign w:val="center"/>
          </w:tcPr>
          <w:p w14:paraId="2D3B3010" w14:textId="77777777" w:rsidR="00EA67D0" w:rsidRDefault="00C53FBD">
            <w:pPr>
              <w:jc w:val="center"/>
            </w:pPr>
            <w:r>
              <w:rPr>
                <w:b/>
                <w:bCs/>
                <w:sz w:val="18"/>
                <w:szCs w:val="18"/>
              </w:rPr>
              <w:t>p-value</w:t>
            </w:r>
          </w:p>
        </w:tc>
        <w:tc>
          <w:tcPr>
            <w:tcW w:w="1130" w:type="dxa"/>
            <w:shd w:val="clear" w:color="auto" w:fill="D9D9D9"/>
            <w:tcMar>
              <w:top w:w="60" w:type="dxa"/>
              <w:left w:w="100" w:type="dxa"/>
              <w:bottom w:w="60" w:type="dxa"/>
              <w:right w:w="100" w:type="dxa"/>
            </w:tcMar>
            <w:vAlign w:val="center"/>
          </w:tcPr>
          <w:p w14:paraId="52AF9114" w14:textId="77777777" w:rsidR="00EA67D0" w:rsidRDefault="00C53FBD">
            <w:pPr>
              <w:jc w:val="center"/>
            </w:pPr>
            <w:r>
              <w:rPr>
                <w:b/>
                <w:bCs/>
                <w:sz w:val="18"/>
                <w:szCs w:val="18"/>
              </w:rPr>
              <w:t>Decision</w:t>
            </w:r>
          </w:p>
        </w:tc>
      </w:tr>
      <w:tr w:rsidR="00EA67D0" w14:paraId="3CC000D4" w14:textId="77777777">
        <w:tc>
          <w:tcPr>
            <w:tcW w:w="2170" w:type="dxa"/>
            <w:tcMar>
              <w:top w:w="60" w:type="dxa"/>
              <w:left w:w="100" w:type="dxa"/>
              <w:bottom w:w="60" w:type="dxa"/>
              <w:right w:w="100" w:type="dxa"/>
            </w:tcMar>
            <w:vAlign w:val="center"/>
          </w:tcPr>
          <w:p w14:paraId="06D3FE9C" w14:textId="77777777" w:rsidR="00EA67D0" w:rsidRDefault="00C53FBD">
            <w:r>
              <w:rPr>
                <w:sz w:val="18"/>
                <w:szCs w:val="18"/>
              </w:rPr>
              <w:t>Historical Simulation</w:t>
            </w:r>
          </w:p>
        </w:tc>
        <w:tc>
          <w:tcPr>
            <w:tcW w:w="780" w:type="dxa"/>
            <w:tcMar>
              <w:top w:w="60" w:type="dxa"/>
              <w:left w:w="100" w:type="dxa"/>
              <w:bottom w:w="60" w:type="dxa"/>
              <w:right w:w="100" w:type="dxa"/>
            </w:tcMar>
            <w:vAlign w:val="center"/>
          </w:tcPr>
          <w:p w14:paraId="0DDB4F23" w14:textId="77777777" w:rsidR="00EA67D0" w:rsidRDefault="00C53FBD">
            <w:pPr>
              <w:jc w:val="center"/>
            </w:pPr>
            <w:r>
              <w:rPr>
                <w:sz w:val="18"/>
                <w:szCs w:val="18"/>
              </w:rPr>
              <w:t>95%</w:t>
            </w:r>
          </w:p>
        </w:tc>
        <w:tc>
          <w:tcPr>
            <w:tcW w:w="1300" w:type="dxa"/>
            <w:tcMar>
              <w:top w:w="60" w:type="dxa"/>
              <w:left w:w="100" w:type="dxa"/>
              <w:bottom w:w="60" w:type="dxa"/>
              <w:right w:w="100" w:type="dxa"/>
            </w:tcMar>
            <w:vAlign w:val="center"/>
          </w:tcPr>
          <w:p w14:paraId="3177A87D" w14:textId="77777777" w:rsidR="00EA67D0" w:rsidRDefault="00C53FBD">
            <w:pPr>
              <w:jc w:val="center"/>
            </w:pPr>
            <w:r>
              <w:rPr>
                <w:sz w:val="18"/>
                <w:szCs w:val="18"/>
              </w:rPr>
              <w:t>71</w:t>
            </w:r>
          </w:p>
        </w:tc>
        <w:tc>
          <w:tcPr>
            <w:tcW w:w="1040" w:type="dxa"/>
            <w:tcMar>
              <w:top w:w="60" w:type="dxa"/>
              <w:left w:w="100" w:type="dxa"/>
              <w:bottom w:w="60" w:type="dxa"/>
              <w:right w:w="100" w:type="dxa"/>
            </w:tcMar>
            <w:vAlign w:val="center"/>
          </w:tcPr>
          <w:p w14:paraId="568794C8" w14:textId="77777777" w:rsidR="00EA67D0" w:rsidRDefault="00C53FBD">
            <w:pPr>
              <w:jc w:val="center"/>
            </w:pPr>
            <w:r>
              <w:rPr>
                <w:sz w:val="18"/>
                <w:szCs w:val="18"/>
              </w:rPr>
              <w:t>75.5</w:t>
            </w:r>
          </w:p>
        </w:tc>
        <w:tc>
          <w:tcPr>
            <w:tcW w:w="780" w:type="dxa"/>
            <w:tcMar>
              <w:top w:w="60" w:type="dxa"/>
              <w:left w:w="100" w:type="dxa"/>
              <w:bottom w:w="60" w:type="dxa"/>
              <w:right w:w="100" w:type="dxa"/>
            </w:tcMar>
            <w:vAlign w:val="center"/>
          </w:tcPr>
          <w:p w14:paraId="2A63A08A" w14:textId="77777777" w:rsidR="00EA67D0" w:rsidRDefault="00C53FBD">
            <w:pPr>
              <w:jc w:val="center"/>
            </w:pPr>
            <w:r>
              <w:rPr>
                <w:sz w:val="18"/>
                <w:szCs w:val="18"/>
              </w:rPr>
              <w:t>4.71</w:t>
            </w:r>
          </w:p>
        </w:tc>
        <w:tc>
          <w:tcPr>
            <w:tcW w:w="1130" w:type="dxa"/>
            <w:tcMar>
              <w:top w:w="60" w:type="dxa"/>
              <w:left w:w="100" w:type="dxa"/>
              <w:bottom w:w="60" w:type="dxa"/>
              <w:right w:w="100" w:type="dxa"/>
            </w:tcMar>
            <w:vAlign w:val="center"/>
          </w:tcPr>
          <w:p w14:paraId="4B12867B" w14:textId="77777777" w:rsidR="00EA67D0" w:rsidRDefault="00C53FBD">
            <w:pPr>
              <w:jc w:val="center"/>
            </w:pPr>
            <w:r>
              <w:rPr>
                <w:sz w:val="18"/>
                <w:szCs w:val="18"/>
              </w:rPr>
              <w:t>0.282</w:t>
            </w:r>
          </w:p>
        </w:tc>
        <w:tc>
          <w:tcPr>
            <w:tcW w:w="960" w:type="dxa"/>
            <w:tcMar>
              <w:top w:w="60" w:type="dxa"/>
              <w:left w:w="100" w:type="dxa"/>
              <w:bottom w:w="60" w:type="dxa"/>
              <w:right w:w="100" w:type="dxa"/>
            </w:tcMar>
            <w:vAlign w:val="center"/>
          </w:tcPr>
          <w:p w14:paraId="20BDE6F1" w14:textId="77777777" w:rsidR="00EA67D0" w:rsidRDefault="00C53FBD">
            <w:pPr>
              <w:jc w:val="center"/>
            </w:pPr>
            <w:r>
              <w:rPr>
                <w:sz w:val="18"/>
                <w:szCs w:val="18"/>
              </w:rPr>
              <w:t>0.596</w:t>
            </w:r>
          </w:p>
        </w:tc>
        <w:tc>
          <w:tcPr>
            <w:tcW w:w="1130" w:type="dxa"/>
            <w:tcMar>
              <w:top w:w="60" w:type="dxa"/>
              <w:left w:w="100" w:type="dxa"/>
              <w:bottom w:w="60" w:type="dxa"/>
              <w:right w:w="100" w:type="dxa"/>
            </w:tcMar>
            <w:vAlign w:val="center"/>
          </w:tcPr>
          <w:p w14:paraId="30515F41" w14:textId="77777777" w:rsidR="00EA67D0" w:rsidRDefault="00C53FBD">
            <w:pPr>
              <w:jc w:val="center"/>
            </w:pPr>
            <w:r>
              <w:rPr>
                <w:sz w:val="18"/>
                <w:szCs w:val="18"/>
              </w:rPr>
              <w:t>PASS</w:t>
            </w:r>
          </w:p>
        </w:tc>
      </w:tr>
      <w:tr w:rsidR="00EA67D0" w14:paraId="549CABF7" w14:textId="77777777">
        <w:tc>
          <w:tcPr>
            <w:tcW w:w="2170" w:type="dxa"/>
            <w:shd w:val="clear" w:color="auto" w:fill="F5F5F5"/>
            <w:tcMar>
              <w:top w:w="60" w:type="dxa"/>
              <w:left w:w="100" w:type="dxa"/>
              <w:bottom w:w="60" w:type="dxa"/>
              <w:right w:w="100" w:type="dxa"/>
            </w:tcMar>
            <w:vAlign w:val="center"/>
          </w:tcPr>
          <w:p w14:paraId="2CEC920B" w14:textId="77777777" w:rsidR="00EA67D0" w:rsidRDefault="00C53FBD">
            <w:r>
              <w:rPr>
                <w:sz w:val="18"/>
                <w:szCs w:val="18"/>
              </w:rPr>
              <w:t>Parametric (Normal)</w:t>
            </w:r>
          </w:p>
        </w:tc>
        <w:tc>
          <w:tcPr>
            <w:tcW w:w="780" w:type="dxa"/>
            <w:shd w:val="clear" w:color="auto" w:fill="F5F5F5"/>
            <w:tcMar>
              <w:top w:w="60" w:type="dxa"/>
              <w:left w:w="100" w:type="dxa"/>
              <w:bottom w:w="60" w:type="dxa"/>
              <w:right w:w="100" w:type="dxa"/>
            </w:tcMar>
            <w:vAlign w:val="center"/>
          </w:tcPr>
          <w:p w14:paraId="0AAB7F59" w14:textId="77777777" w:rsidR="00EA67D0" w:rsidRDefault="00C53FBD">
            <w:pPr>
              <w:jc w:val="center"/>
            </w:pPr>
            <w:r>
              <w:rPr>
                <w:sz w:val="18"/>
                <w:szCs w:val="18"/>
              </w:rPr>
              <w:t>95%</w:t>
            </w:r>
          </w:p>
        </w:tc>
        <w:tc>
          <w:tcPr>
            <w:tcW w:w="1300" w:type="dxa"/>
            <w:shd w:val="clear" w:color="auto" w:fill="F5F5F5"/>
            <w:tcMar>
              <w:top w:w="60" w:type="dxa"/>
              <w:left w:w="100" w:type="dxa"/>
              <w:bottom w:w="60" w:type="dxa"/>
              <w:right w:w="100" w:type="dxa"/>
            </w:tcMar>
            <w:vAlign w:val="center"/>
          </w:tcPr>
          <w:p w14:paraId="70413A84" w14:textId="77777777" w:rsidR="00EA67D0" w:rsidRDefault="00C53FBD">
            <w:pPr>
              <w:jc w:val="center"/>
            </w:pPr>
            <w:r>
              <w:rPr>
                <w:sz w:val="18"/>
                <w:szCs w:val="18"/>
              </w:rPr>
              <w:t>78</w:t>
            </w:r>
          </w:p>
        </w:tc>
        <w:tc>
          <w:tcPr>
            <w:tcW w:w="1040" w:type="dxa"/>
            <w:shd w:val="clear" w:color="auto" w:fill="F5F5F5"/>
            <w:tcMar>
              <w:top w:w="60" w:type="dxa"/>
              <w:left w:w="100" w:type="dxa"/>
              <w:bottom w:w="60" w:type="dxa"/>
              <w:right w:w="100" w:type="dxa"/>
            </w:tcMar>
            <w:vAlign w:val="center"/>
          </w:tcPr>
          <w:p w14:paraId="116EDB35" w14:textId="77777777" w:rsidR="00EA67D0" w:rsidRDefault="00C53FBD">
            <w:pPr>
              <w:jc w:val="center"/>
            </w:pPr>
            <w:r>
              <w:rPr>
                <w:sz w:val="18"/>
                <w:szCs w:val="18"/>
              </w:rPr>
              <w:t>75.5</w:t>
            </w:r>
          </w:p>
        </w:tc>
        <w:tc>
          <w:tcPr>
            <w:tcW w:w="780" w:type="dxa"/>
            <w:shd w:val="clear" w:color="auto" w:fill="F5F5F5"/>
            <w:tcMar>
              <w:top w:w="60" w:type="dxa"/>
              <w:left w:w="100" w:type="dxa"/>
              <w:bottom w:w="60" w:type="dxa"/>
              <w:right w:w="100" w:type="dxa"/>
            </w:tcMar>
            <w:vAlign w:val="center"/>
          </w:tcPr>
          <w:p w14:paraId="64DC4077" w14:textId="77777777" w:rsidR="00EA67D0" w:rsidRDefault="00C53FBD">
            <w:pPr>
              <w:jc w:val="center"/>
            </w:pPr>
            <w:r>
              <w:rPr>
                <w:sz w:val="18"/>
                <w:szCs w:val="18"/>
              </w:rPr>
              <w:t>5.17</w:t>
            </w:r>
          </w:p>
        </w:tc>
        <w:tc>
          <w:tcPr>
            <w:tcW w:w="1130" w:type="dxa"/>
            <w:shd w:val="clear" w:color="auto" w:fill="F5F5F5"/>
            <w:tcMar>
              <w:top w:w="60" w:type="dxa"/>
              <w:left w:w="100" w:type="dxa"/>
              <w:bottom w:w="60" w:type="dxa"/>
              <w:right w:w="100" w:type="dxa"/>
            </w:tcMar>
            <w:vAlign w:val="center"/>
          </w:tcPr>
          <w:p w14:paraId="70A2089E" w14:textId="77777777" w:rsidR="00EA67D0" w:rsidRDefault="00C53FBD">
            <w:pPr>
              <w:jc w:val="center"/>
            </w:pPr>
            <w:r>
              <w:rPr>
                <w:sz w:val="18"/>
                <w:szCs w:val="18"/>
              </w:rPr>
              <w:t>0.090</w:t>
            </w:r>
          </w:p>
        </w:tc>
        <w:tc>
          <w:tcPr>
            <w:tcW w:w="960" w:type="dxa"/>
            <w:shd w:val="clear" w:color="auto" w:fill="F5F5F5"/>
            <w:tcMar>
              <w:top w:w="60" w:type="dxa"/>
              <w:left w:w="100" w:type="dxa"/>
              <w:bottom w:w="60" w:type="dxa"/>
              <w:right w:w="100" w:type="dxa"/>
            </w:tcMar>
            <w:vAlign w:val="center"/>
          </w:tcPr>
          <w:p w14:paraId="13318B1D" w14:textId="77777777" w:rsidR="00EA67D0" w:rsidRDefault="00C53FBD">
            <w:pPr>
              <w:jc w:val="center"/>
            </w:pPr>
            <w:r>
              <w:rPr>
                <w:sz w:val="18"/>
                <w:szCs w:val="18"/>
              </w:rPr>
              <w:t>0.764</w:t>
            </w:r>
          </w:p>
        </w:tc>
        <w:tc>
          <w:tcPr>
            <w:tcW w:w="1130" w:type="dxa"/>
            <w:shd w:val="clear" w:color="auto" w:fill="F5F5F5"/>
            <w:tcMar>
              <w:top w:w="60" w:type="dxa"/>
              <w:left w:w="100" w:type="dxa"/>
              <w:bottom w:w="60" w:type="dxa"/>
              <w:right w:w="100" w:type="dxa"/>
            </w:tcMar>
            <w:vAlign w:val="center"/>
          </w:tcPr>
          <w:p w14:paraId="6EB298CC" w14:textId="77777777" w:rsidR="00EA67D0" w:rsidRDefault="00C53FBD">
            <w:pPr>
              <w:jc w:val="center"/>
            </w:pPr>
            <w:r>
              <w:rPr>
                <w:sz w:val="18"/>
                <w:szCs w:val="18"/>
              </w:rPr>
              <w:t>PASS</w:t>
            </w:r>
          </w:p>
        </w:tc>
      </w:tr>
      <w:tr w:rsidR="00EA67D0" w14:paraId="4A3BECCB" w14:textId="77777777">
        <w:tc>
          <w:tcPr>
            <w:tcW w:w="2170" w:type="dxa"/>
            <w:tcMar>
              <w:top w:w="60" w:type="dxa"/>
              <w:left w:w="100" w:type="dxa"/>
              <w:bottom w:w="60" w:type="dxa"/>
              <w:right w:w="100" w:type="dxa"/>
            </w:tcMar>
            <w:vAlign w:val="center"/>
          </w:tcPr>
          <w:p w14:paraId="197E0544" w14:textId="77777777" w:rsidR="00EA67D0" w:rsidRDefault="00C53FBD">
            <w:r>
              <w:rPr>
                <w:sz w:val="18"/>
                <w:szCs w:val="18"/>
              </w:rPr>
              <w:t>Student-t</w:t>
            </w:r>
          </w:p>
        </w:tc>
        <w:tc>
          <w:tcPr>
            <w:tcW w:w="780" w:type="dxa"/>
            <w:tcMar>
              <w:top w:w="60" w:type="dxa"/>
              <w:left w:w="100" w:type="dxa"/>
              <w:bottom w:w="60" w:type="dxa"/>
              <w:right w:w="100" w:type="dxa"/>
            </w:tcMar>
            <w:vAlign w:val="center"/>
          </w:tcPr>
          <w:p w14:paraId="129CAFB6" w14:textId="77777777" w:rsidR="00EA67D0" w:rsidRDefault="00C53FBD">
            <w:pPr>
              <w:jc w:val="center"/>
            </w:pPr>
            <w:r>
              <w:rPr>
                <w:sz w:val="18"/>
                <w:szCs w:val="18"/>
              </w:rPr>
              <w:t>95%</w:t>
            </w:r>
          </w:p>
        </w:tc>
        <w:tc>
          <w:tcPr>
            <w:tcW w:w="1300" w:type="dxa"/>
            <w:tcMar>
              <w:top w:w="60" w:type="dxa"/>
              <w:left w:w="100" w:type="dxa"/>
              <w:bottom w:w="60" w:type="dxa"/>
              <w:right w:w="100" w:type="dxa"/>
            </w:tcMar>
            <w:vAlign w:val="center"/>
          </w:tcPr>
          <w:p w14:paraId="200DA0D3" w14:textId="77777777" w:rsidR="00EA67D0" w:rsidRDefault="00C53FBD">
            <w:pPr>
              <w:jc w:val="center"/>
            </w:pPr>
            <w:r>
              <w:rPr>
                <w:sz w:val="18"/>
                <w:szCs w:val="18"/>
              </w:rPr>
              <w:t>88</w:t>
            </w:r>
          </w:p>
        </w:tc>
        <w:tc>
          <w:tcPr>
            <w:tcW w:w="1040" w:type="dxa"/>
            <w:tcMar>
              <w:top w:w="60" w:type="dxa"/>
              <w:left w:w="100" w:type="dxa"/>
              <w:bottom w:w="60" w:type="dxa"/>
              <w:right w:w="100" w:type="dxa"/>
            </w:tcMar>
            <w:vAlign w:val="center"/>
          </w:tcPr>
          <w:p w14:paraId="45DF91F9" w14:textId="77777777" w:rsidR="00EA67D0" w:rsidRDefault="00C53FBD">
            <w:pPr>
              <w:jc w:val="center"/>
            </w:pPr>
            <w:r>
              <w:rPr>
                <w:sz w:val="18"/>
                <w:szCs w:val="18"/>
              </w:rPr>
              <w:t>75.5</w:t>
            </w:r>
          </w:p>
        </w:tc>
        <w:tc>
          <w:tcPr>
            <w:tcW w:w="780" w:type="dxa"/>
            <w:tcMar>
              <w:top w:w="60" w:type="dxa"/>
              <w:left w:w="100" w:type="dxa"/>
              <w:bottom w:w="60" w:type="dxa"/>
              <w:right w:w="100" w:type="dxa"/>
            </w:tcMar>
            <w:vAlign w:val="center"/>
          </w:tcPr>
          <w:p w14:paraId="2CEFD6B3" w14:textId="77777777" w:rsidR="00EA67D0" w:rsidRDefault="00C53FBD">
            <w:pPr>
              <w:jc w:val="center"/>
            </w:pPr>
            <w:r>
              <w:rPr>
                <w:sz w:val="18"/>
                <w:szCs w:val="18"/>
              </w:rPr>
              <w:t>5.83</w:t>
            </w:r>
          </w:p>
        </w:tc>
        <w:tc>
          <w:tcPr>
            <w:tcW w:w="1130" w:type="dxa"/>
            <w:tcMar>
              <w:top w:w="60" w:type="dxa"/>
              <w:left w:w="100" w:type="dxa"/>
              <w:bottom w:w="60" w:type="dxa"/>
              <w:right w:w="100" w:type="dxa"/>
            </w:tcMar>
            <w:vAlign w:val="center"/>
          </w:tcPr>
          <w:p w14:paraId="080C5152" w14:textId="77777777" w:rsidR="00EA67D0" w:rsidRDefault="00C53FBD">
            <w:pPr>
              <w:jc w:val="center"/>
            </w:pPr>
            <w:r>
              <w:rPr>
                <w:sz w:val="18"/>
                <w:szCs w:val="18"/>
              </w:rPr>
              <w:t>2.091</w:t>
            </w:r>
          </w:p>
        </w:tc>
        <w:tc>
          <w:tcPr>
            <w:tcW w:w="960" w:type="dxa"/>
            <w:tcMar>
              <w:top w:w="60" w:type="dxa"/>
              <w:left w:w="100" w:type="dxa"/>
              <w:bottom w:w="60" w:type="dxa"/>
              <w:right w:w="100" w:type="dxa"/>
            </w:tcMar>
            <w:vAlign w:val="center"/>
          </w:tcPr>
          <w:p w14:paraId="5B98646B" w14:textId="77777777" w:rsidR="00EA67D0" w:rsidRDefault="00C53FBD">
            <w:pPr>
              <w:jc w:val="center"/>
            </w:pPr>
            <w:r>
              <w:rPr>
                <w:sz w:val="18"/>
                <w:szCs w:val="18"/>
              </w:rPr>
              <w:t>0.148</w:t>
            </w:r>
          </w:p>
        </w:tc>
        <w:tc>
          <w:tcPr>
            <w:tcW w:w="1130" w:type="dxa"/>
            <w:tcMar>
              <w:top w:w="60" w:type="dxa"/>
              <w:left w:w="100" w:type="dxa"/>
              <w:bottom w:w="60" w:type="dxa"/>
              <w:right w:w="100" w:type="dxa"/>
            </w:tcMar>
            <w:vAlign w:val="center"/>
          </w:tcPr>
          <w:p w14:paraId="00514E77" w14:textId="77777777" w:rsidR="00EA67D0" w:rsidRDefault="00C53FBD">
            <w:pPr>
              <w:jc w:val="center"/>
            </w:pPr>
            <w:r>
              <w:rPr>
                <w:sz w:val="18"/>
                <w:szCs w:val="18"/>
              </w:rPr>
              <w:t>PASS</w:t>
            </w:r>
          </w:p>
        </w:tc>
      </w:tr>
      <w:tr w:rsidR="00EA67D0" w14:paraId="53B2EE4C" w14:textId="77777777">
        <w:tc>
          <w:tcPr>
            <w:tcW w:w="2170" w:type="dxa"/>
            <w:shd w:val="clear" w:color="auto" w:fill="F5F5F5"/>
            <w:tcMar>
              <w:top w:w="60" w:type="dxa"/>
              <w:left w:w="100" w:type="dxa"/>
              <w:bottom w:w="60" w:type="dxa"/>
              <w:right w:w="100" w:type="dxa"/>
            </w:tcMar>
            <w:vAlign w:val="center"/>
          </w:tcPr>
          <w:p w14:paraId="77F7FF1C" w14:textId="77777777" w:rsidR="00EA67D0" w:rsidRDefault="00C53FBD">
            <w:r>
              <w:rPr>
                <w:sz w:val="18"/>
                <w:szCs w:val="18"/>
              </w:rPr>
              <w:t>Historical Simulation</w:t>
            </w:r>
          </w:p>
        </w:tc>
        <w:tc>
          <w:tcPr>
            <w:tcW w:w="780" w:type="dxa"/>
            <w:shd w:val="clear" w:color="auto" w:fill="F5F5F5"/>
            <w:tcMar>
              <w:top w:w="60" w:type="dxa"/>
              <w:left w:w="100" w:type="dxa"/>
              <w:bottom w:w="60" w:type="dxa"/>
              <w:right w:w="100" w:type="dxa"/>
            </w:tcMar>
            <w:vAlign w:val="center"/>
          </w:tcPr>
          <w:p w14:paraId="0002DBD2" w14:textId="77777777" w:rsidR="00EA67D0" w:rsidRDefault="00C53FBD">
            <w:pPr>
              <w:jc w:val="center"/>
            </w:pPr>
            <w:r>
              <w:rPr>
                <w:sz w:val="18"/>
                <w:szCs w:val="18"/>
              </w:rPr>
              <w:t>99%</w:t>
            </w:r>
          </w:p>
        </w:tc>
        <w:tc>
          <w:tcPr>
            <w:tcW w:w="1300" w:type="dxa"/>
            <w:shd w:val="clear" w:color="auto" w:fill="F5F5F5"/>
            <w:tcMar>
              <w:top w:w="60" w:type="dxa"/>
              <w:left w:w="100" w:type="dxa"/>
              <w:bottom w:w="60" w:type="dxa"/>
              <w:right w:w="100" w:type="dxa"/>
            </w:tcMar>
            <w:vAlign w:val="center"/>
          </w:tcPr>
          <w:p w14:paraId="08B7CA81" w14:textId="77777777" w:rsidR="00EA67D0" w:rsidRDefault="00C53FBD">
            <w:pPr>
              <w:jc w:val="center"/>
            </w:pPr>
            <w:r>
              <w:rPr>
                <w:sz w:val="18"/>
                <w:szCs w:val="18"/>
              </w:rPr>
              <w:t>26</w:t>
            </w:r>
          </w:p>
        </w:tc>
        <w:tc>
          <w:tcPr>
            <w:tcW w:w="1040" w:type="dxa"/>
            <w:shd w:val="clear" w:color="auto" w:fill="F5F5F5"/>
            <w:tcMar>
              <w:top w:w="60" w:type="dxa"/>
              <w:left w:w="100" w:type="dxa"/>
              <w:bottom w:w="60" w:type="dxa"/>
              <w:right w:w="100" w:type="dxa"/>
            </w:tcMar>
            <w:vAlign w:val="center"/>
          </w:tcPr>
          <w:p w14:paraId="0DE067B9" w14:textId="77777777" w:rsidR="00EA67D0" w:rsidRDefault="00C53FBD">
            <w:pPr>
              <w:jc w:val="center"/>
            </w:pPr>
            <w:r>
              <w:rPr>
                <w:sz w:val="18"/>
                <w:szCs w:val="18"/>
              </w:rPr>
              <w:t>15.1</w:t>
            </w:r>
          </w:p>
        </w:tc>
        <w:tc>
          <w:tcPr>
            <w:tcW w:w="780" w:type="dxa"/>
            <w:shd w:val="clear" w:color="auto" w:fill="F5F5F5"/>
            <w:tcMar>
              <w:top w:w="60" w:type="dxa"/>
              <w:left w:w="100" w:type="dxa"/>
              <w:bottom w:w="60" w:type="dxa"/>
              <w:right w:w="100" w:type="dxa"/>
            </w:tcMar>
            <w:vAlign w:val="center"/>
          </w:tcPr>
          <w:p w14:paraId="74F7CFA2" w14:textId="77777777" w:rsidR="00EA67D0" w:rsidRDefault="00C53FBD">
            <w:pPr>
              <w:jc w:val="center"/>
            </w:pPr>
            <w:r>
              <w:rPr>
                <w:sz w:val="18"/>
                <w:szCs w:val="18"/>
              </w:rPr>
              <w:t>1.72</w:t>
            </w:r>
          </w:p>
        </w:tc>
        <w:tc>
          <w:tcPr>
            <w:tcW w:w="1130" w:type="dxa"/>
            <w:shd w:val="clear" w:color="auto" w:fill="F5F5F5"/>
            <w:tcMar>
              <w:top w:w="60" w:type="dxa"/>
              <w:left w:w="100" w:type="dxa"/>
              <w:bottom w:w="60" w:type="dxa"/>
              <w:right w:w="100" w:type="dxa"/>
            </w:tcMar>
            <w:vAlign w:val="center"/>
          </w:tcPr>
          <w:p w14:paraId="61E5801F" w14:textId="77777777" w:rsidR="00EA67D0" w:rsidRDefault="00C53FBD">
            <w:pPr>
              <w:jc w:val="center"/>
            </w:pPr>
            <w:r>
              <w:rPr>
                <w:sz w:val="18"/>
                <w:szCs w:val="18"/>
              </w:rPr>
              <w:t>6.551</w:t>
            </w:r>
          </w:p>
        </w:tc>
        <w:tc>
          <w:tcPr>
            <w:tcW w:w="960" w:type="dxa"/>
            <w:shd w:val="clear" w:color="auto" w:fill="F5F5F5"/>
            <w:tcMar>
              <w:top w:w="60" w:type="dxa"/>
              <w:left w:w="100" w:type="dxa"/>
              <w:bottom w:w="60" w:type="dxa"/>
              <w:right w:w="100" w:type="dxa"/>
            </w:tcMar>
            <w:vAlign w:val="center"/>
          </w:tcPr>
          <w:p w14:paraId="3C711248" w14:textId="77777777" w:rsidR="00EA67D0" w:rsidRDefault="00C53FBD">
            <w:pPr>
              <w:jc w:val="center"/>
            </w:pPr>
            <w:r>
              <w:rPr>
                <w:sz w:val="18"/>
                <w:szCs w:val="18"/>
              </w:rPr>
              <w:t>0.010</w:t>
            </w:r>
          </w:p>
        </w:tc>
        <w:tc>
          <w:tcPr>
            <w:tcW w:w="1130" w:type="dxa"/>
            <w:shd w:val="clear" w:color="auto" w:fill="F5F5F5"/>
            <w:tcMar>
              <w:top w:w="60" w:type="dxa"/>
              <w:left w:w="100" w:type="dxa"/>
              <w:bottom w:w="60" w:type="dxa"/>
              <w:right w:w="100" w:type="dxa"/>
            </w:tcMar>
            <w:vAlign w:val="center"/>
          </w:tcPr>
          <w:p w14:paraId="58D73902" w14:textId="77777777" w:rsidR="00EA67D0" w:rsidRDefault="00C53FBD">
            <w:pPr>
              <w:jc w:val="center"/>
            </w:pPr>
            <w:r>
              <w:rPr>
                <w:sz w:val="18"/>
                <w:szCs w:val="18"/>
              </w:rPr>
              <w:t>REJECT*</w:t>
            </w:r>
          </w:p>
        </w:tc>
      </w:tr>
      <w:tr w:rsidR="00EA67D0" w14:paraId="27854109" w14:textId="77777777">
        <w:tc>
          <w:tcPr>
            <w:tcW w:w="2170" w:type="dxa"/>
            <w:tcMar>
              <w:top w:w="60" w:type="dxa"/>
              <w:left w:w="100" w:type="dxa"/>
              <w:bottom w:w="60" w:type="dxa"/>
              <w:right w:w="100" w:type="dxa"/>
            </w:tcMar>
            <w:vAlign w:val="center"/>
          </w:tcPr>
          <w:p w14:paraId="126CBB05" w14:textId="77777777" w:rsidR="00EA67D0" w:rsidRDefault="00C53FBD">
            <w:r>
              <w:rPr>
                <w:sz w:val="18"/>
                <w:szCs w:val="18"/>
              </w:rPr>
              <w:t>Parametric (Normal)</w:t>
            </w:r>
          </w:p>
        </w:tc>
        <w:tc>
          <w:tcPr>
            <w:tcW w:w="780" w:type="dxa"/>
            <w:tcMar>
              <w:top w:w="60" w:type="dxa"/>
              <w:left w:w="100" w:type="dxa"/>
              <w:bottom w:w="60" w:type="dxa"/>
              <w:right w:w="100" w:type="dxa"/>
            </w:tcMar>
            <w:vAlign w:val="center"/>
          </w:tcPr>
          <w:p w14:paraId="704F6762" w14:textId="77777777" w:rsidR="00EA67D0" w:rsidRDefault="00C53FBD">
            <w:pPr>
              <w:jc w:val="center"/>
            </w:pPr>
            <w:r>
              <w:rPr>
                <w:sz w:val="18"/>
                <w:szCs w:val="18"/>
              </w:rPr>
              <w:t>99%</w:t>
            </w:r>
          </w:p>
        </w:tc>
        <w:tc>
          <w:tcPr>
            <w:tcW w:w="1300" w:type="dxa"/>
            <w:tcMar>
              <w:top w:w="60" w:type="dxa"/>
              <w:left w:w="100" w:type="dxa"/>
              <w:bottom w:w="60" w:type="dxa"/>
              <w:right w:w="100" w:type="dxa"/>
            </w:tcMar>
            <w:vAlign w:val="center"/>
          </w:tcPr>
          <w:p w14:paraId="313E2020" w14:textId="77777777" w:rsidR="00EA67D0" w:rsidRDefault="00C53FBD">
            <w:pPr>
              <w:jc w:val="center"/>
            </w:pPr>
            <w:r>
              <w:rPr>
                <w:sz w:val="18"/>
                <w:szCs w:val="18"/>
              </w:rPr>
              <w:t>44</w:t>
            </w:r>
          </w:p>
        </w:tc>
        <w:tc>
          <w:tcPr>
            <w:tcW w:w="1040" w:type="dxa"/>
            <w:tcMar>
              <w:top w:w="60" w:type="dxa"/>
              <w:left w:w="100" w:type="dxa"/>
              <w:bottom w:w="60" w:type="dxa"/>
              <w:right w:w="100" w:type="dxa"/>
            </w:tcMar>
            <w:vAlign w:val="center"/>
          </w:tcPr>
          <w:p w14:paraId="3763397A" w14:textId="77777777" w:rsidR="00EA67D0" w:rsidRDefault="00C53FBD">
            <w:pPr>
              <w:jc w:val="center"/>
            </w:pPr>
            <w:r>
              <w:rPr>
                <w:sz w:val="18"/>
                <w:szCs w:val="18"/>
              </w:rPr>
              <w:t>15.1</w:t>
            </w:r>
          </w:p>
        </w:tc>
        <w:tc>
          <w:tcPr>
            <w:tcW w:w="780" w:type="dxa"/>
            <w:tcMar>
              <w:top w:w="60" w:type="dxa"/>
              <w:left w:w="100" w:type="dxa"/>
              <w:bottom w:w="60" w:type="dxa"/>
              <w:right w:w="100" w:type="dxa"/>
            </w:tcMar>
            <w:vAlign w:val="center"/>
          </w:tcPr>
          <w:p w14:paraId="74A0CC97" w14:textId="77777777" w:rsidR="00EA67D0" w:rsidRDefault="00C53FBD">
            <w:pPr>
              <w:jc w:val="center"/>
            </w:pPr>
            <w:r>
              <w:rPr>
                <w:sz w:val="18"/>
                <w:szCs w:val="18"/>
              </w:rPr>
              <w:t>2.92</w:t>
            </w:r>
          </w:p>
        </w:tc>
        <w:tc>
          <w:tcPr>
            <w:tcW w:w="1130" w:type="dxa"/>
            <w:tcMar>
              <w:top w:w="60" w:type="dxa"/>
              <w:left w:w="100" w:type="dxa"/>
              <w:bottom w:w="60" w:type="dxa"/>
              <w:right w:w="100" w:type="dxa"/>
            </w:tcMar>
            <w:vAlign w:val="center"/>
          </w:tcPr>
          <w:p w14:paraId="57D5C3CD" w14:textId="77777777" w:rsidR="00EA67D0" w:rsidRDefault="00C53FBD">
            <w:pPr>
              <w:jc w:val="center"/>
            </w:pPr>
            <w:r>
              <w:rPr>
                <w:sz w:val="18"/>
                <w:szCs w:val="18"/>
              </w:rPr>
              <w:t>36.917</w:t>
            </w:r>
          </w:p>
        </w:tc>
        <w:tc>
          <w:tcPr>
            <w:tcW w:w="960" w:type="dxa"/>
            <w:tcMar>
              <w:top w:w="60" w:type="dxa"/>
              <w:left w:w="100" w:type="dxa"/>
              <w:bottom w:w="60" w:type="dxa"/>
              <w:right w:w="100" w:type="dxa"/>
            </w:tcMar>
            <w:vAlign w:val="center"/>
          </w:tcPr>
          <w:p w14:paraId="3EC56E8F" w14:textId="77777777" w:rsidR="00EA67D0" w:rsidRDefault="00C53FBD">
            <w:pPr>
              <w:jc w:val="center"/>
            </w:pPr>
            <w:r>
              <w:rPr>
                <w:sz w:val="18"/>
                <w:szCs w:val="18"/>
              </w:rPr>
              <w:t>&lt;0.0001</w:t>
            </w:r>
          </w:p>
        </w:tc>
        <w:tc>
          <w:tcPr>
            <w:tcW w:w="1130" w:type="dxa"/>
            <w:tcMar>
              <w:top w:w="60" w:type="dxa"/>
              <w:left w:w="100" w:type="dxa"/>
              <w:bottom w:w="60" w:type="dxa"/>
              <w:right w:w="100" w:type="dxa"/>
            </w:tcMar>
            <w:vAlign w:val="center"/>
          </w:tcPr>
          <w:p w14:paraId="372F2AAF" w14:textId="77777777" w:rsidR="00EA67D0" w:rsidRDefault="00C53FBD">
            <w:pPr>
              <w:jc w:val="center"/>
            </w:pPr>
            <w:r>
              <w:rPr>
                <w:sz w:val="18"/>
                <w:szCs w:val="18"/>
              </w:rPr>
              <w:t>REJECT***</w:t>
            </w:r>
          </w:p>
        </w:tc>
      </w:tr>
      <w:tr w:rsidR="00EA67D0" w14:paraId="6074B81F" w14:textId="77777777">
        <w:tc>
          <w:tcPr>
            <w:tcW w:w="2170" w:type="dxa"/>
            <w:shd w:val="clear" w:color="auto" w:fill="F5F5F5"/>
            <w:tcMar>
              <w:top w:w="60" w:type="dxa"/>
              <w:left w:w="100" w:type="dxa"/>
              <w:bottom w:w="60" w:type="dxa"/>
              <w:right w:w="100" w:type="dxa"/>
            </w:tcMar>
            <w:vAlign w:val="center"/>
          </w:tcPr>
          <w:p w14:paraId="3E1CB85B" w14:textId="77777777" w:rsidR="00EA67D0" w:rsidRDefault="00C53FBD">
            <w:r>
              <w:rPr>
                <w:sz w:val="18"/>
                <w:szCs w:val="18"/>
              </w:rPr>
              <w:t>Student-t</w:t>
            </w:r>
          </w:p>
        </w:tc>
        <w:tc>
          <w:tcPr>
            <w:tcW w:w="780" w:type="dxa"/>
            <w:shd w:val="clear" w:color="auto" w:fill="F5F5F5"/>
            <w:tcMar>
              <w:top w:w="60" w:type="dxa"/>
              <w:left w:w="100" w:type="dxa"/>
              <w:bottom w:w="60" w:type="dxa"/>
              <w:right w:w="100" w:type="dxa"/>
            </w:tcMar>
            <w:vAlign w:val="center"/>
          </w:tcPr>
          <w:p w14:paraId="6ED95CD6" w14:textId="77777777" w:rsidR="00EA67D0" w:rsidRDefault="00C53FBD">
            <w:pPr>
              <w:jc w:val="center"/>
            </w:pPr>
            <w:r>
              <w:rPr>
                <w:sz w:val="18"/>
                <w:szCs w:val="18"/>
              </w:rPr>
              <w:t>99%</w:t>
            </w:r>
          </w:p>
        </w:tc>
        <w:tc>
          <w:tcPr>
            <w:tcW w:w="1300" w:type="dxa"/>
            <w:shd w:val="clear" w:color="auto" w:fill="F5F5F5"/>
            <w:tcMar>
              <w:top w:w="60" w:type="dxa"/>
              <w:left w:w="100" w:type="dxa"/>
              <w:bottom w:w="60" w:type="dxa"/>
              <w:right w:w="100" w:type="dxa"/>
            </w:tcMar>
            <w:vAlign w:val="center"/>
          </w:tcPr>
          <w:p w14:paraId="23CB7F85" w14:textId="77777777" w:rsidR="00EA67D0" w:rsidRDefault="00C53FBD">
            <w:pPr>
              <w:jc w:val="center"/>
            </w:pPr>
            <w:r>
              <w:rPr>
                <w:sz w:val="18"/>
                <w:szCs w:val="18"/>
              </w:rPr>
              <w:t>28</w:t>
            </w:r>
          </w:p>
        </w:tc>
        <w:tc>
          <w:tcPr>
            <w:tcW w:w="1040" w:type="dxa"/>
            <w:shd w:val="clear" w:color="auto" w:fill="F5F5F5"/>
            <w:tcMar>
              <w:top w:w="60" w:type="dxa"/>
              <w:left w:w="100" w:type="dxa"/>
              <w:bottom w:w="60" w:type="dxa"/>
              <w:right w:w="100" w:type="dxa"/>
            </w:tcMar>
            <w:vAlign w:val="center"/>
          </w:tcPr>
          <w:p w14:paraId="50E7DBDF" w14:textId="77777777" w:rsidR="00EA67D0" w:rsidRDefault="00C53FBD">
            <w:pPr>
              <w:jc w:val="center"/>
            </w:pPr>
            <w:r>
              <w:rPr>
                <w:sz w:val="18"/>
                <w:szCs w:val="18"/>
              </w:rPr>
              <w:t>15.1</w:t>
            </w:r>
          </w:p>
        </w:tc>
        <w:tc>
          <w:tcPr>
            <w:tcW w:w="780" w:type="dxa"/>
            <w:shd w:val="clear" w:color="auto" w:fill="F5F5F5"/>
            <w:tcMar>
              <w:top w:w="60" w:type="dxa"/>
              <w:left w:w="100" w:type="dxa"/>
              <w:bottom w:w="60" w:type="dxa"/>
              <w:right w:w="100" w:type="dxa"/>
            </w:tcMar>
            <w:vAlign w:val="center"/>
          </w:tcPr>
          <w:p w14:paraId="69EAC995" w14:textId="77777777" w:rsidR="00EA67D0" w:rsidRDefault="00C53FBD">
            <w:pPr>
              <w:jc w:val="center"/>
            </w:pPr>
            <w:r>
              <w:rPr>
                <w:sz w:val="18"/>
                <w:szCs w:val="18"/>
              </w:rPr>
              <w:t>1.86</w:t>
            </w:r>
          </w:p>
        </w:tc>
        <w:tc>
          <w:tcPr>
            <w:tcW w:w="1130" w:type="dxa"/>
            <w:shd w:val="clear" w:color="auto" w:fill="F5F5F5"/>
            <w:tcMar>
              <w:top w:w="60" w:type="dxa"/>
              <w:left w:w="100" w:type="dxa"/>
              <w:bottom w:w="60" w:type="dxa"/>
              <w:right w:w="100" w:type="dxa"/>
            </w:tcMar>
            <w:vAlign w:val="center"/>
          </w:tcPr>
          <w:p w14:paraId="6F445595" w14:textId="77777777" w:rsidR="00EA67D0" w:rsidRDefault="00C53FBD">
            <w:pPr>
              <w:jc w:val="center"/>
            </w:pPr>
            <w:r>
              <w:rPr>
                <w:sz w:val="18"/>
                <w:szCs w:val="18"/>
              </w:rPr>
              <w:t>8.910</w:t>
            </w:r>
          </w:p>
        </w:tc>
        <w:tc>
          <w:tcPr>
            <w:tcW w:w="960" w:type="dxa"/>
            <w:shd w:val="clear" w:color="auto" w:fill="F5F5F5"/>
            <w:tcMar>
              <w:top w:w="60" w:type="dxa"/>
              <w:left w:w="100" w:type="dxa"/>
              <w:bottom w:w="60" w:type="dxa"/>
              <w:right w:w="100" w:type="dxa"/>
            </w:tcMar>
            <w:vAlign w:val="center"/>
          </w:tcPr>
          <w:p w14:paraId="2B942A05" w14:textId="77777777" w:rsidR="00EA67D0" w:rsidRDefault="00C53FBD">
            <w:pPr>
              <w:jc w:val="center"/>
            </w:pPr>
            <w:r>
              <w:rPr>
                <w:sz w:val="18"/>
                <w:szCs w:val="18"/>
              </w:rPr>
              <w:t>0.003</w:t>
            </w:r>
          </w:p>
        </w:tc>
        <w:tc>
          <w:tcPr>
            <w:tcW w:w="1130" w:type="dxa"/>
            <w:shd w:val="clear" w:color="auto" w:fill="F5F5F5"/>
            <w:tcMar>
              <w:top w:w="60" w:type="dxa"/>
              <w:left w:w="100" w:type="dxa"/>
              <w:bottom w:w="60" w:type="dxa"/>
              <w:right w:w="100" w:type="dxa"/>
            </w:tcMar>
            <w:vAlign w:val="center"/>
          </w:tcPr>
          <w:p w14:paraId="6E1CC314" w14:textId="77777777" w:rsidR="00EA67D0" w:rsidRDefault="00C53FBD">
            <w:pPr>
              <w:jc w:val="center"/>
            </w:pPr>
            <w:r>
              <w:rPr>
                <w:sz w:val="18"/>
                <w:szCs w:val="18"/>
              </w:rPr>
              <w:t>REJECT**</w:t>
            </w:r>
          </w:p>
        </w:tc>
      </w:tr>
    </w:tbl>
    <w:p w14:paraId="78C85FCA" w14:textId="77777777" w:rsidR="00EA67D0" w:rsidRDefault="00C53FBD">
      <w:pPr>
        <w:spacing w:before="80" w:after="240"/>
      </w:pPr>
      <w:r>
        <w:rPr>
          <w:i/>
          <w:iCs/>
          <w:sz w:val="20"/>
          <w:szCs w:val="20"/>
        </w:rPr>
        <w:t>Note: *** p&lt;0.001; ** p&lt;0.01; * p&lt;0.05. H₀: observed violation rate equals theoretical rate (p̂ = 1−α). LR statistic follows χ²(1) under H₀.</w:t>
      </w:r>
    </w:p>
    <w:p w14:paraId="28F693E3" w14:textId="77777777" w:rsidR="00A23F36" w:rsidRDefault="00A23F36" w:rsidP="00985C4F">
      <w:pPr>
        <w:spacing w:after="200" w:line="276" w:lineRule="auto"/>
        <w:jc w:val="both"/>
      </w:pPr>
      <w:r>
        <w:t>At the 95% level, all three models pass. The observed violation rates—4.71%, 5.17%, and 5.83%—land right around the expected 5%. None of the LR statistics are even close to grounds for concern. But things change fast at the 99% confidence level; now, all models fail the test, though not equally.</w:t>
      </w:r>
    </w:p>
    <w:p w14:paraId="41B2A8FE" w14:textId="31F64933" w:rsidR="00206846" w:rsidRDefault="00A23F36" w:rsidP="00A23F36">
      <w:pPr>
        <w:spacing w:after="200" w:line="276" w:lineRule="auto"/>
        <w:jc w:val="both"/>
      </w:pPr>
      <w:r>
        <w:t>Parametric Normal stands out for all the wrong reasons: 44 violations when the expectation was just 15.1, so nearly triple the target rate, and its LR statistic absolutely dwarfs the others (36.9, compared to 6.6 and 8.9). Historical Simulation and Student-</w:t>
      </w:r>
      <w:r w:rsidR="00A778A0">
        <w:t>t- aren’t</w:t>
      </w:r>
      <w:r>
        <w:t xml:space="preserve"> perfect, but they’re much closer to the target (26 and 28 violations, or 1.72× and 1.86× theoretical). In plain terms: Historical Simulation and Student-t almost get there. Parametric Normal misses by a mile—exactly as you’d expect based on what most literature says about Gaussian VaR underestimating tail risk (see Section 2.3). Still, none of the models are hitting the mark at this high a threshold</w:t>
      </w:r>
      <w:r w:rsidR="00C53FBD">
        <w:t>.</w:t>
      </w:r>
    </w:p>
    <w:p w14:paraId="09BD1DC2" w14:textId="77777777" w:rsidR="00EA67D0" w:rsidRDefault="00C53FBD">
      <w:pPr>
        <w:pStyle w:val="Heading2"/>
      </w:pPr>
      <w:r>
        <w:t>6.3 Christoffersen Conditional Coverage Test</w:t>
      </w:r>
    </w:p>
    <w:p w14:paraId="372B565F" w14:textId="5D7D3D08" w:rsidR="00EA67D0" w:rsidRDefault="001C5B66" w:rsidP="001C5B66">
      <w:pPr>
        <w:spacing w:after="200" w:line="276" w:lineRule="auto"/>
        <w:jc w:val="both"/>
      </w:pPr>
      <w:r w:rsidRPr="001C5B66">
        <w:t>Table 5 shifts to the Christoffersen independence and joint conditional-coverage checks—a more nuanced look at whether violations follow each other around. And here’s where things get interesting: violation clustering happens across all models. It’s not a quirk of any one approach</w:t>
      </w:r>
      <w:r w:rsidR="00C53FBD">
        <w:t>.</w:t>
      </w:r>
    </w:p>
    <w:p w14:paraId="7D632E69" w14:textId="77777777" w:rsidR="00A778A0" w:rsidRDefault="00A778A0">
      <w:pPr>
        <w:spacing w:before="240" w:after="80"/>
        <w:rPr>
          <w:b/>
          <w:bCs/>
        </w:rPr>
      </w:pPr>
    </w:p>
    <w:p w14:paraId="338471E5" w14:textId="77777777" w:rsidR="00A778A0" w:rsidRDefault="00A778A0">
      <w:pPr>
        <w:spacing w:before="240" w:after="80"/>
        <w:rPr>
          <w:b/>
          <w:bCs/>
        </w:rPr>
      </w:pPr>
    </w:p>
    <w:p w14:paraId="149D4B83" w14:textId="60F85FEA" w:rsidR="00EA67D0" w:rsidRDefault="00C53FBD">
      <w:pPr>
        <w:spacing w:before="240" w:after="80"/>
      </w:pPr>
      <w:r>
        <w:rPr>
          <w:b/>
          <w:bCs/>
        </w:rPr>
        <w:lastRenderedPageBreak/>
        <w:t>Table 5 — Christoffersen Conditional Coverage Test Results (Out-of-Sample)</w:t>
      </w:r>
    </w:p>
    <w:tbl>
      <w:tblPr>
        <w:tblW w:w="93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127"/>
        <w:gridCol w:w="697"/>
        <w:gridCol w:w="770"/>
        <w:gridCol w:w="774"/>
        <w:gridCol w:w="1530"/>
        <w:gridCol w:w="1720"/>
        <w:gridCol w:w="841"/>
        <w:gridCol w:w="841"/>
      </w:tblGrid>
      <w:tr w:rsidR="00EA67D0" w14:paraId="0A2874AE" w14:textId="77777777">
        <w:trPr>
          <w:tblHeader/>
        </w:trPr>
        <w:tc>
          <w:tcPr>
            <w:tcW w:w="2170" w:type="dxa"/>
            <w:shd w:val="clear" w:color="auto" w:fill="D9D9D9"/>
            <w:tcMar>
              <w:top w:w="60" w:type="dxa"/>
              <w:left w:w="100" w:type="dxa"/>
              <w:bottom w:w="60" w:type="dxa"/>
              <w:right w:w="100" w:type="dxa"/>
            </w:tcMar>
            <w:vAlign w:val="center"/>
          </w:tcPr>
          <w:p w14:paraId="7166A1A0" w14:textId="77777777" w:rsidR="00EA67D0" w:rsidRDefault="00C53FBD">
            <w:pPr>
              <w:jc w:val="center"/>
            </w:pPr>
            <w:r>
              <w:rPr>
                <w:b/>
                <w:bCs/>
                <w:sz w:val="18"/>
                <w:szCs w:val="18"/>
              </w:rPr>
              <w:t>Model</w:t>
            </w:r>
          </w:p>
        </w:tc>
        <w:tc>
          <w:tcPr>
            <w:tcW w:w="700" w:type="dxa"/>
            <w:shd w:val="clear" w:color="auto" w:fill="D9D9D9"/>
            <w:tcMar>
              <w:top w:w="60" w:type="dxa"/>
              <w:left w:w="100" w:type="dxa"/>
              <w:bottom w:w="60" w:type="dxa"/>
              <w:right w:w="100" w:type="dxa"/>
            </w:tcMar>
            <w:vAlign w:val="center"/>
          </w:tcPr>
          <w:p w14:paraId="09536A71" w14:textId="77777777" w:rsidR="00EA67D0" w:rsidRDefault="00C53FBD">
            <w:pPr>
              <w:jc w:val="center"/>
            </w:pPr>
            <w:r>
              <w:rPr>
                <w:b/>
                <w:bCs/>
                <w:sz w:val="18"/>
                <w:szCs w:val="18"/>
              </w:rPr>
              <w:t>Conf.</w:t>
            </w:r>
          </w:p>
        </w:tc>
        <w:tc>
          <w:tcPr>
            <w:tcW w:w="780" w:type="dxa"/>
            <w:shd w:val="clear" w:color="auto" w:fill="D9D9D9"/>
            <w:tcMar>
              <w:top w:w="60" w:type="dxa"/>
              <w:left w:w="100" w:type="dxa"/>
              <w:bottom w:w="60" w:type="dxa"/>
              <w:right w:w="100" w:type="dxa"/>
            </w:tcMar>
            <w:vAlign w:val="center"/>
          </w:tcPr>
          <w:p w14:paraId="60273981" w14:textId="77777777" w:rsidR="00EA67D0" w:rsidRDefault="00C53FBD">
            <w:pPr>
              <w:jc w:val="center"/>
            </w:pPr>
            <w:r>
              <w:rPr>
                <w:b/>
                <w:bCs/>
                <w:sz w:val="18"/>
                <w:szCs w:val="18"/>
              </w:rPr>
              <w:t>π₀₁ (%)</w:t>
            </w:r>
          </w:p>
        </w:tc>
        <w:tc>
          <w:tcPr>
            <w:tcW w:w="780" w:type="dxa"/>
            <w:shd w:val="clear" w:color="auto" w:fill="D9D9D9"/>
            <w:tcMar>
              <w:top w:w="60" w:type="dxa"/>
              <w:left w:w="100" w:type="dxa"/>
              <w:bottom w:w="60" w:type="dxa"/>
              <w:right w:w="100" w:type="dxa"/>
            </w:tcMar>
            <w:vAlign w:val="center"/>
          </w:tcPr>
          <w:p w14:paraId="5BD5FC81" w14:textId="77777777" w:rsidR="00EA67D0" w:rsidRDefault="00C53FBD">
            <w:pPr>
              <w:jc w:val="center"/>
            </w:pPr>
            <w:r>
              <w:rPr>
                <w:b/>
                <w:bCs/>
                <w:sz w:val="18"/>
                <w:szCs w:val="18"/>
              </w:rPr>
              <w:t>π₁₁ (%)</w:t>
            </w:r>
          </w:p>
        </w:tc>
        <w:tc>
          <w:tcPr>
            <w:tcW w:w="1560" w:type="dxa"/>
            <w:shd w:val="clear" w:color="auto" w:fill="D9D9D9"/>
            <w:tcMar>
              <w:top w:w="60" w:type="dxa"/>
              <w:left w:w="100" w:type="dxa"/>
              <w:bottom w:w="60" w:type="dxa"/>
              <w:right w:w="100" w:type="dxa"/>
            </w:tcMar>
            <w:vAlign w:val="center"/>
          </w:tcPr>
          <w:p w14:paraId="3B44B742" w14:textId="77777777" w:rsidR="00EA67D0" w:rsidRDefault="00C53FBD">
            <w:pPr>
              <w:jc w:val="center"/>
            </w:pPr>
            <w:r>
              <w:rPr>
                <w:b/>
                <w:bCs/>
                <w:sz w:val="18"/>
                <w:szCs w:val="18"/>
              </w:rPr>
              <w:t>LR Ind. (p)</w:t>
            </w:r>
          </w:p>
        </w:tc>
        <w:tc>
          <w:tcPr>
            <w:tcW w:w="1750" w:type="dxa"/>
            <w:shd w:val="clear" w:color="auto" w:fill="D9D9D9"/>
            <w:tcMar>
              <w:top w:w="60" w:type="dxa"/>
              <w:left w:w="100" w:type="dxa"/>
              <w:bottom w:w="60" w:type="dxa"/>
              <w:right w:w="100" w:type="dxa"/>
            </w:tcMar>
            <w:vAlign w:val="center"/>
          </w:tcPr>
          <w:p w14:paraId="56372303" w14:textId="77777777" w:rsidR="00EA67D0" w:rsidRDefault="00C53FBD">
            <w:pPr>
              <w:jc w:val="center"/>
            </w:pPr>
            <w:r>
              <w:rPr>
                <w:b/>
                <w:bCs/>
                <w:sz w:val="18"/>
                <w:szCs w:val="18"/>
              </w:rPr>
              <w:t>LR CC (p)</w:t>
            </w:r>
          </w:p>
        </w:tc>
        <w:tc>
          <w:tcPr>
            <w:tcW w:w="780" w:type="dxa"/>
            <w:shd w:val="clear" w:color="auto" w:fill="D9D9D9"/>
            <w:tcMar>
              <w:top w:w="60" w:type="dxa"/>
              <w:left w:w="100" w:type="dxa"/>
              <w:bottom w:w="60" w:type="dxa"/>
              <w:right w:w="100" w:type="dxa"/>
            </w:tcMar>
            <w:vAlign w:val="center"/>
          </w:tcPr>
          <w:p w14:paraId="1C47013C" w14:textId="77777777" w:rsidR="00EA67D0" w:rsidRDefault="00C53FBD">
            <w:pPr>
              <w:jc w:val="center"/>
            </w:pPr>
            <w:r>
              <w:rPr>
                <w:b/>
                <w:bCs/>
                <w:sz w:val="18"/>
                <w:szCs w:val="18"/>
              </w:rPr>
              <w:t>Ind.</w:t>
            </w:r>
          </w:p>
        </w:tc>
        <w:tc>
          <w:tcPr>
            <w:tcW w:w="780" w:type="dxa"/>
            <w:shd w:val="clear" w:color="auto" w:fill="D9D9D9"/>
            <w:tcMar>
              <w:top w:w="60" w:type="dxa"/>
              <w:left w:w="100" w:type="dxa"/>
              <w:bottom w:w="60" w:type="dxa"/>
              <w:right w:w="100" w:type="dxa"/>
            </w:tcMar>
            <w:vAlign w:val="center"/>
          </w:tcPr>
          <w:p w14:paraId="6B0717C9" w14:textId="77777777" w:rsidR="00EA67D0" w:rsidRDefault="00C53FBD">
            <w:pPr>
              <w:jc w:val="center"/>
            </w:pPr>
            <w:r>
              <w:rPr>
                <w:b/>
                <w:bCs/>
                <w:sz w:val="18"/>
                <w:szCs w:val="18"/>
              </w:rPr>
              <w:t>Cond. Cov.</w:t>
            </w:r>
          </w:p>
        </w:tc>
      </w:tr>
      <w:tr w:rsidR="00EA67D0" w14:paraId="037AA521" w14:textId="77777777">
        <w:tc>
          <w:tcPr>
            <w:tcW w:w="2170" w:type="dxa"/>
            <w:tcMar>
              <w:top w:w="60" w:type="dxa"/>
              <w:left w:w="100" w:type="dxa"/>
              <w:bottom w:w="60" w:type="dxa"/>
              <w:right w:w="100" w:type="dxa"/>
            </w:tcMar>
            <w:vAlign w:val="center"/>
          </w:tcPr>
          <w:p w14:paraId="4D10F806" w14:textId="77777777" w:rsidR="00EA67D0" w:rsidRDefault="00C53FBD">
            <w:r>
              <w:rPr>
                <w:sz w:val="18"/>
                <w:szCs w:val="18"/>
              </w:rPr>
              <w:t>Historical Simulation</w:t>
            </w:r>
          </w:p>
        </w:tc>
        <w:tc>
          <w:tcPr>
            <w:tcW w:w="700" w:type="dxa"/>
            <w:tcMar>
              <w:top w:w="60" w:type="dxa"/>
              <w:left w:w="100" w:type="dxa"/>
              <w:bottom w:w="60" w:type="dxa"/>
              <w:right w:w="100" w:type="dxa"/>
            </w:tcMar>
            <w:vAlign w:val="center"/>
          </w:tcPr>
          <w:p w14:paraId="1F07DC97" w14:textId="77777777" w:rsidR="00EA67D0" w:rsidRDefault="00C53FBD">
            <w:pPr>
              <w:jc w:val="center"/>
            </w:pPr>
            <w:r>
              <w:rPr>
                <w:sz w:val="18"/>
                <w:szCs w:val="18"/>
              </w:rPr>
              <w:t>95%</w:t>
            </w:r>
          </w:p>
        </w:tc>
        <w:tc>
          <w:tcPr>
            <w:tcW w:w="780" w:type="dxa"/>
            <w:tcMar>
              <w:top w:w="60" w:type="dxa"/>
              <w:left w:w="100" w:type="dxa"/>
              <w:bottom w:w="60" w:type="dxa"/>
              <w:right w:w="100" w:type="dxa"/>
            </w:tcMar>
            <w:vAlign w:val="center"/>
          </w:tcPr>
          <w:p w14:paraId="0BA6619A" w14:textId="77777777" w:rsidR="00EA67D0" w:rsidRDefault="00C53FBD">
            <w:pPr>
              <w:jc w:val="center"/>
            </w:pPr>
            <w:r>
              <w:rPr>
                <w:sz w:val="18"/>
                <w:szCs w:val="18"/>
              </w:rPr>
              <w:t>4.24</w:t>
            </w:r>
          </w:p>
        </w:tc>
        <w:tc>
          <w:tcPr>
            <w:tcW w:w="780" w:type="dxa"/>
            <w:tcMar>
              <w:top w:w="60" w:type="dxa"/>
              <w:left w:w="100" w:type="dxa"/>
              <w:bottom w:w="60" w:type="dxa"/>
              <w:right w:w="100" w:type="dxa"/>
            </w:tcMar>
            <w:vAlign w:val="center"/>
          </w:tcPr>
          <w:p w14:paraId="08FB1522" w14:textId="77777777" w:rsidR="00EA67D0" w:rsidRDefault="00C53FBD">
            <w:pPr>
              <w:jc w:val="center"/>
            </w:pPr>
            <w:r>
              <w:rPr>
                <w:sz w:val="18"/>
                <w:szCs w:val="18"/>
              </w:rPr>
              <w:t>14.08</w:t>
            </w:r>
          </w:p>
        </w:tc>
        <w:tc>
          <w:tcPr>
            <w:tcW w:w="1560" w:type="dxa"/>
            <w:tcMar>
              <w:top w:w="60" w:type="dxa"/>
              <w:left w:w="100" w:type="dxa"/>
              <w:bottom w:w="60" w:type="dxa"/>
              <w:right w:w="100" w:type="dxa"/>
            </w:tcMar>
            <w:vAlign w:val="center"/>
          </w:tcPr>
          <w:p w14:paraId="23667812" w14:textId="77777777" w:rsidR="00EA67D0" w:rsidRDefault="00C53FBD">
            <w:pPr>
              <w:jc w:val="center"/>
            </w:pPr>
            <w:r>
              <w:rPr>
                <w:sz w:val="18"/>
                <w:szCs w:val="18"/>
              </w:rPr>
              <w:t>9.989 (0.002)</w:t>
            </w:r>
          </w:p>
        </w:tc>
        <w:tc>
          <w:tcPr>
            <w:tcW w:w="1750" w:type="dxa"/>
            <w:tcMar>
              <w:top w:w="60" w:type="dxa"/>
              <w:left w:w="100" w:type="dxa"/>
              <w:bottom w:w="60" w:type="dxa"/>
              <w:right w:w="100" w:type="dxa"/>
            </w:tcMar>
            <w:vAlign w:val="center"/>
          </w:tcPr>
          <w:p w14:paraId="2D18FF4A" w14:textId="77777777" w:rsidR="00EA67D0" w:rsidRDefault="00C53FBD">
            <w:pPr>
              <w:jc w:val="center"/>
            </w:pPr>
            <w:r>
              <w:rPr>
                <w:sz w:val="18"/>
                <w:szCs w:val="18"/>
              </w:rPr>
              <w:t>10.270 (0.006)</w:t>
            </w:r>
          </w:p>
        </w:tc>
        <w:tc>
          <w:tcPr>
            <w:tcW w:w="780" w:type="dxa"/>
            <w:tcMar>
              <w:top w:w="60" w:type="dxa"/>
              <w:left w:w="100" w:type="dxa"/>
              <w:bottom w:w="60" w:type="dxa"/>
              <w:right w:w="100" w:type="dxa"/>
            </w:tcMar>
            <w:vAlign w:val="center"/>
          </w:tcPr>
          <w:p w14:paraId="33068EED" w14:textId="77777777" w:rsidR="00EA67D0" w:rsidRDefault="00C53FBD">
            <w:pPr>
              <w:jc w:val="center"/>
            </w:pPr>
            <w:r>
              <w:rPr>
                <w:sz w:val="18"/>
                <w:szCs w:val="18"/>
              </w:rPr>
              <w:t>REJECT</w:t>
            </w:r>
          </w:p>
        </w:tc>
        <w:tc>
          <w:tcPr>
            <w:tcW w:w="780" w:type="dxa"/>
            <w:tcMar>
              <w:top w:w="60" w:type="dxa"/>
              <w:left w:w="100" w:type="dxa"/>
              <w:bottom w:w="60" w:type="dxa"/>
              <w:right w:w="100" w:type="dxa"/>
            </w:tcMar>
            <w:vAlign w:val="center"/>
          </w:tcPr>
          <w:p w14:paraId="1DA5FA28" w14:textId="77777777" w:rsidR="00EA67D0" w:rsidRDefault="00C53FBD">
            <w:pPr>
              <w:jc w:val="center"/>
            </w:pPr>
            <w:r>
              <w:rPr>
                <w:sz w:val="18"/>
                <w:szCs w:val="18"/>
              </w:rPr>
              <w:t>REJECT</w:t>
            </w:r>
          </w:p>
        </w:tc>
      </w:tr>
      <w:tr w:rsidR="00EA67D0" w14:paraId="39338999" w14:textId="77777777">
        <w:tc>
          <w:tcPr>
            <w:tcW w:w="2170" w:type="dxa"/>
            <w:shd w:val="clear" w:color="auto" w:fill="F5F5F5"/>
            <w:tcMar>
              <w:top w:w="60" w:type="dxa"/>
              <w:left w:w="100" w:type="dxa"/>
              <w:bottom w:w="60" w:type="dxa"/>
              <w:right w:w="100" w:type="dxa"/>
            </w:tcMar>
            <w:vAlign w:val="center"/>
          </w:tcPr>
          <w:p w14:paraId="131D993D" w14:textId="77777777" w:rsidR="00EA67D0" w:rsidRDefault="00C53FBD">
            <w:r>
              <w:rPr>
                <w:sz w:val="18"/>
                <w:szCs w:val="18"/>
              </w:rPr>
              <w:t>Parametric (Normal)</w:t>
            </w:r>
          </w:p>
        </w:tc>
        <w:tc>
          <w:tcPr>
            <w:tcW w:w="700" w:type="dxa"/>
            <w:shd w:val="clear" w:color="auto" w:fill="F5F5F5"/>
            <w:tcMar>
              <w:top w:w="60" w:type="dxa"/>
              <w:left w:w="100" w:type="dxa"/>
              <w:bottom w:w="60" w:type="dxa"/>
              <w:right w:w="100" w:type="dxa"/>
            </w:tcMar>
            <w:vAlign w:val="center"/>
          </w:tcPr>
          <w:p w14:paraId="718C801D" w14:textId="77777777" w:rsidR="00EA67D0" w:rsidRDefault="00C53FBD">
            <w:pPr>
              <w:jc w:val="center"/>
            </w:pPr>
            <w:r>
              <w:rPr>
                <w:sz w:val="18"/>
                <w:szCs w:val="18"/>
              </w:rPr>
              <w:t>95%</w:t>
            </w:r>
          </w:p>
        </w:tc>
        <w:tc>
          <w:tcPr>
            <w:tcW w:w="780" w:type="dxa"/>
            <w:shd w:val="clear" w:color="auto" w:fill="F5F5F5"/>
            <w:tcMar>
              <w:top w:w="60" w:type="dxa"/>
              <w:left w:w="100" w:type="dxa"/>
              <w:bottom w:w="60" w:type="dxa"/>
              <w:right w:w="100" w:type="dxa"/>
            </w:tcMar>
            <w:vAlign w:val="center"/>
          </w:tcPr>
          <w:p w14:paraId="361BD943" w14:textId="77777777" w:rsidR="00EA67D0" w:rsidRDefault="00C53FBD">
            <w:pPr>
              <w:jc w:val="center"/>
            </w:pPr>
            <w:r>
              <w:rPr>
                <w:sz w:val="18"/>
                <w:szCs w:val="18"/>
              </w:rPr>
              <w:t>4.69</w:t>
            </w:r>
          </w:p>
        </w:tc>
        <w:tc>
          <w:tcPr>
            <w:tcW w:w="780" w:type="dxa"/>
            <w:shd w:val="clear" w:color="auto" w:fill="F5F5F5"/>
            <w:tcMar>
              <w:top w:w="60" w:type="dxa"/>
              <w:left w:w="100" w:type="dxa"/>
              <w:bottom w:w="60" w:type="dxa"/>
              <w:right w:w="100" w:type="dxa"/>
            </w:tcMar>
            <w:vAlign w:val="center"/>
          </w:tcPr>
          <w:p w14:paraId="656ABB93" w14:textId="77777777" w:rsidR="00EA67D0" w:rsidRDefault="00C53FBD">
            <w:pPr>
              <w:jc w:val="center"/>
            </w:pPr>
            <w:r>
              <w:rPr>
                <w:sz w:val="18"/>
                <w:szCs w:val="18"/>
              </w:rPr>
              <w:t>14.10</w:t>
            </w:r>
          </w:p>
        </w:tc>
        <w:tc>
          <w:tcPr>
            <w:tcW w:w="1560" w:type="dxa"/>
            <w:shd w:val="clear" w:color="auto" w:fill="F5F5F5"/>
            <w:tcMar>
              <w:top w:w="60" w:type="dxa"/>
              <w:left w:w="100" w:type="dxa"/>
              <w:bottom w:w="60" w:type="dxa"/>
              <w:right w:w="100" w:type="dxa"/>
            </w:tcMar>
            <w:vAlign w:val="center"/>
          </w:tcPr>
          <w:p w14:paraId="4AAAE73E" w14:textId="77777777" w:rsidR="00EA67D0" w:rsidRDefault="00C53FBD">
            <w:pPr>
              <w:jc w:val="center"/>
            </w:pPr>
            <w:r>
              <w:rPr>
                <w:sz w:val="18"/>
                <w:szCs w:val="18"/>
              </w:rPr>
              <w:t>9.526 (0.002)</w:t>
            </w:r>
          </w:p>
        </w:tc>
        <w:tc>
          <w:tcPr>
            <w:tcW w:w="1750" w:type="dxa"/>
            <w:shd w:val="clear" w:color="auto" w:fill="F5F5F5"/>
            <w:tcMar>
              <w:top w:w="60" w:type="dxa"/>
              <w:left w:w="100" w:type="dxa"/>
              <w:bottom w:w="60" w:type="dxa"/>
              <w:right w:w="100" w:type="dxa"/>
            </w:tcMar>
            <w:vAlign w:val="center"/>
          </w:tcPr>
          <w:p w14:paraId="1976247F" w14:textId="77777777" w:rsidR="00EA67D0" w:rsidRDefault="00C53FBD">
            <w:pPr>
              <w:jc w:val="center"/>
            </w:pPr>
            <w:r>
              <w:rPr>
                <w:sz w:val="18"/>
                <w:szCs w:val="18"/>
              </w:rPr>
              <w:t>9.616 (0.008)</w:t>
            </w:r>
          </w:p>
        </w:tc>
        <w:tc>
          <w:tcPr>
            <w:tcW w:w="780" w:type="dxa"/>
            <w:shd w:val="clear" w:color="auto" w:fill="F5F5F5"/>
            <w:tcMar>
              <w:top w:w="60" w:type="dxa"/>
              <w:left w:w="100" w:type="dxa"/>
              <w:bottom w:w="60" w:type="dxa"/>
              <w:right w:w="100" w:type="dxa"/>
            </w:tcMar>
            <w:vAlign w:val="center"/>
          </w:tcPr>
          <w:p w14:paraId="6462CFFC" w14:textId="77777777" w:rsidR="00EA67D0" w:rsidRDefault="00C53FBD">
            <w:pPr>
              <w:jc w:val="center"/>
            </w:pPr>
            <w:r>
              <w:rPr>
                <w:sz w:val="18"/>
                <w:szCs w:val="18"/>
              </w:rPr>
              <w:t>REJECT</w:t>
            </w:r>
          </w:p>
        </w:tc>
        <w:tc>
          <w:tcPr>
            <w:tcW w:w="780" w:type="dxa"/>
            <w:shd w:val="clear" w:color="auto" w:fill="F5F5F5"/>
            <w:tcMar>
              <w:top w:w="60" w:type="dxa"/>
              <w:left w:w="100" w:type="dxa"/>
              <w:bottom w:w="60" w:type="dxa"/>
              <w:right w:w="100" w:type="dxa"/>
            </w:tcMar>
            <w:vAlign w:val="center"/>
          </w:tcPr>
          <w:p w14:paraId="3DD1EB10" w14:textId="77777777" w:rsidR="00EA67D0" w:rsidRDefault="00C53FBD">
            <w:pPr>
              <w:jc w:val="center"/>
            </w:pPr>
            <w:r>
              <w:rPr>
                <w:sz w:val="18"/>
                <w:szCs w:val="18"/>
              </w:rPr>
              <w:t>REJECT</w:t>
            </w:r>
          </w:p>
        </w:tc>
      </w:tr>
      <w:tr w:rsidR="00EA67D0" w14:paraId="1A5C2F6E" w14:textId="77777777">
        <w:tc>
          <w:tcPr>
            <w:tcW w:w="2170" w:type="dxa"/>
            <w:tcMar>
              <w:top w:w="60" w:type="dxa"/>
              <w:left w:w="100" w:type="dxa"/>
              <w:bottom w:w="60" w:type="dxa"/>
              <w:right w:w="100" w:type="dxa"/>
            </w:tcMar>
            <w:vAlign w:val="center"/>
          </w:tcPr>
          <w:p w14:paraId="093282AF" w14:textId="77777777" w:rsidR="00EA67D0" w:rsidRDefault="00C53FBD">
            <w:r>
              <w:rPr>
                <w:sz w:val="18"/>
                <w:szCs w:val="18"/>
              </w:rPr>
              <w:t>Student-t</w:t>
            </w:r>
          </w:p>
        </w:tc>
        <w:tc>
          <w:tcPr>
            <w:tcW w:w="700" w:type="dxa"/>
            <w:tcMar>
              <w:top w:w="60" w:type="dxa"/>
              <w:left w:w="100" w:type="dxa"/>
              <w:bottom w:w="60" w:type="dxa"/>
              <w:right w:w="100" w:type="dxa"/>
            </w:tcMar>
            <w:vAlign w:val="center"/>
          </w:tcPr>
          <w:p w14:paraId="71CC2DB7" w14:textId="77777777" w:rsidR="00EA67D0" w:rsidRDefault="00C53FBD">
            <w:pPr>
              <w:jc w:val="center"/>
            </w:pPr>
            <w:r>
              <w:rPr>
                <w:sz w:val="18"/>
                <w:szCs w:val="18"/>
              </w:rPr>
              <w:t>95%</w:t>
            </w:r>
          </w:p>
        </w:tc>
        <w:tc>
          <w:tcPr>
            <w:tcW w:w="780" w:type="dxa"/>
            <w:tcMar>
              <w:top w:w="60" w:type="dxa"/>
              <w:left w:w="100" w:type="dxa"/>
              <w:bottom w:w="60" w:type="dxa"/>
              <w:right w:w="100" w:type="dxa"/>
            </w:tcMar>
            <w:vAlign w:val="center"/>
          </w:tcPr>
          <w:p w14:paraId="4102C3E2" w14:textId="77777777" w:rsidR="00EA67D0" w:rsidRDefault="00C53FBD">
            <w:pPr>
              <w:jc w:val="center"/>
            </w:pPr>
            <w:r>
              <w:rPr>
                <w:sz w:val="18"/>
                <w:szCs w:val="18"/>
              </w:rPr>
              <w:t>5.28</w:t>
            </w:r>
          </w:p>
        </w:tc>
        <w:tc>
          <w:tcPr>
            <w:tcW w:w="780" w:type="dxa"/>
            <w:tcMar>
              <w:top w:w="60" w:type="dxa"/>
              <w:left w:w="100" w:type="dxa"/>
              <w:bottom w:w="60" w:type="dxa"/>
              <w:right w:w="100" w:type="dxa"/>
            </w:tcMar>
            <w:vAlign w:val="center"/>
          </w:tcPr>
          <w:p w14:paraId="22219F6D" w14:textId="77777777" w:rsidR="00EA67D0" w:rsidRDefault="00C53FBD">
            <w:pPr>
              <w:jc w:val="center"/>
            </w:pPr>
            <w:r>
              <w:rPr>
                <w:sz w:val="18"/>
                <w:szCs w:val="18"/>
              </w:rPr>
              <w:t>14.77</w:t>
            </w:r>
          </w:p>
        </w:tc>
        <w:tc>
          <w:tcPr>
            <w:tcW w:w="1560" w:type="dxa"/>
            <w:tcMar>
              <w:top w:w="60" w:type="dxa"/>
              <w:left w:w="100" w:type="dxa"/>
              <w:bottom w:w="60" w:type="dxa"/>
              <w:right w:w="100" w:type="dxa"/>
            </w:tcMar>
            <w:vAlign w:val="center"/>
          </w:tcPr>
          <w:p w14:paraId="7EEDE8C4" w14:textId="77777777" w:rsidR="00EA67D0" w:rsidRDefault="00C53FBD">
            <w:pPr>
              <w:jc w:val="center"/>
            </w:pPr>
            <w:r>
              <w:rPr>
                <w:sz w:val="18"/>
                <w:szCs w:val="18"/>
              </w:rPr>
              <w:t>10.008 (0.002)</w:t>
            </w:r>
          </w:p>
        </w:tc>
        <w:tc>
          <w:tcPr>
            <w:tcW w:w="1750" w:type="dxa"/>
            <w:tcMar>
              <w:top w:w="60" w:type="dxa"/>
              <w:left w:w="100" w:type="dxa"/>
              <w:bottom w:w="60" w:type="dxa"/>
              <w:right w:w="100" w:type="dxa"/>
            </w:tcMar>
            <w:vAlign w:val="center"/>
          </w:tcPr>
          <w:p w14:paraId="0807B50C" w14:textId="77777777" w:rsidR="00EA67D0" w:rsidRDefault="00C53FBD">
            <w:pPr>
              <w:jc w:val="center"/>
            </w:pPr>
            <w:r>
              <w:rPr>
                <w:sz w:val="18"/>
                <w:szCs w:val="18"/>
              </w:rPr>
              <w:t>12.099 (0.002)</w:t>
            </w:r>
          </w:p>
        </w:tc>
        <w:tc>
          <w:tcPr>
            <w:tcW w:w="780" w:type="dxa"/>
            <w:tcMar>
              <w:top w:w="60" w:type="dxa"/>
              <w:left w:w="100" w:type="dxa"/>
              <w:bottom w:w="60" w:type="dxa"/>
              <w:right w:w="100" w:type="dxa"/>
            </w:tcMar>
            <w:vAlign w:val="center"/>
          </w:tcPr>
          <w:p w14:paraId="2AB93AFE" w14:textId="77777777" w:rsidR="00EA67D0" w:rsidRDefault="00C53FBD">
            <w:pPr>
              <w:jc w:val="center"/>
            </w:pPr>
            <w:r>
              <w:rPr>
                <w:sz w:val="18"/>
                <w:szCs w:val="18"/>
              </w:rPr>
              <w:t>REJECT</w:t>
            </w:r>
          </w:p>
        </w:tc>
        <w:tc>
          <w:tcPr>
            <w:tcW w:w="780" w:type="dxa"/>
            <w:tcMar>
              <w:top w:w="60" w:type="dxa"/>
              <w:left w:w="100" w:type="dxa"/>
              <w:bottom w:w="60" w:type="dxa"/>
              <w:right w:w="100" w:type="dxa"/>
            </w:tcMar>
            <w:vAlign w:val="center"/>
          </w:tcPr>
          <w:p w14:paraId="1F18ED81" w14:textId="77777777" w:rsidR="00EA67D0" w:rsidRDefault="00C53FBD">
            <w:pPr>
              <w:jc w:val="center"/>
            </w:pPr>
            <w:r>
              <w:rPr>
                <w:sz w:val="18"/>
                <w:szCs w:val="18"/>
              </w:rPr>
              <w:t>REJECT</w:t>
            </w:r>
          </w:p>
        </w:tc>
      </w:tr>
      <w:tr w:rsidR="00EA67D0" w14:paraId="654D6D88" w14:textId="77777777">
        <w:tc>
          <w:tcPr>
            <w:tcW w:w="2170" w:type="dxa"/>
            <w:shd w:val="clear" w:color="auto" w:fill="F5F5F5"/>
            <w:tcMar>
              <w:top w:w="60" w:type="dxa"/>
              <w:left w:w="100" w:type="dxa"/>
              <w:bottom w:w="60" w:type="dxa"/>
              <w:right w:w="100" w:type="dxa"/>
            </w:tcMar>
            <w:vAlign w:val="center"/>
          </w:tcPr>
          <w:p w14:paraId="5D943FF6" w14:textId="77777777" w:rsidR="00EA67D0" w:rsidRDefault="00C53FBD">
            <w:r>
              <w:rPr>
                <w:sz w:val="18"/>
                <w:szCs w:val="18"/>
              </w:rPr>
              <w:t>Historical Simulation</w:t>
            </w:r>
          </w:p>
        </w:tc>
        <w:tc>
          <w:tcPr>
            <w:tcW w:w="700" w:type="dxa"/>
            <w:shd w:val="clear" w:color="auto" w:fill="F5F5F5"/>
            <w:tcMar>
              <w:top w:w="60" w:type="dxa"/>
              <w:left w:w="100" w:type="dxa"/>
              <w:bottom w:w="60" w:type="dxa"/>
              <w:right w:w="100" w:type="dxa"/>
            </w:tcMar>
            <w:vAlign w:val="center"/>
          </w:tcPr>
          <w:p w14:paraId="1B66B8A1" w14:textId="77777777" w:rsidR="00EA67D0" w:rsidRDefault="00C53FBD">
            <w:pPr>
              <w:jc w:val="center"/>
            </w:pPr>
            <w:r>
              <w:rPr>
                <w:sz w:val="18"/>
                <w:szCs w:val="18"/>
              </w:rPr>
              <w:t>99%</w:t>
            </w:r>
          </w:p>
        </w:tc>
        <w:tc>
          <w:tcPr>
            <w:tcW w:w="780" w:type="dxa"/>
            <w:shd w:val="clear" w:color="auto" w:fill="F5F5F5"/>
            <w:tcMar>
              <w:top w:w="60" w:type="dxa"/>
              <w:left w:w="100" w:type="dxa"/>
              <w:bottom w:w="60" w:type="dxa"/>
              <w:right w:w="100" w:type="dxa"/>
            </w:tcMar>
            <w:vAlign w:val="center"/>
          </w:tcPr>
          <w:p w14:paraId="4EC5C06B" w14:textId="77777777" w:rsidR="00EA67D0" w:rsidRDefault="00C53FBD">
            <w:pPr>
              <w:jc w:val="center"/>
            </w:pPr>
            <w:r>
              <w:rPr>
                <w:sz w:val="18"/>
                <w:szCs w:val="18"/>
              </w:rPr>
              <w:t>1.55</w:t>
            </w:r>
          </w:p>
        </w:tc>
        <w:tc>
          <w:tcPr>
            <w:tcW w:w="780" w:type="dxa"/>
            <w:shd w:val="clear" w:color="auto" w:fill="F5F5F5"/>
            <w:tcMar>
              <w:top w:w="60" w:type="dxa"/>
              <w:left w:w="100" w:type="dxa"/>
              <w:bottom w:w="60" w:type="dxa"/>
              <w:right w:w="100" w:type="dxa"/>
            </w:tcMar>
            <w:vAlign w:val="center"/>
          </w:tcPr>
          <w:p w14:paraId="1373B119" w14:textId="77777777" w:rsidR="00EA67D0" w:rsidRDefault="00C53FBD">
            <w:pPr>
              <w:jc w:val="center"/>
            </w:pPr>
            <w:r>
              <w:rPr>
                <w:sz w:val="18"/>
                <w:szCs w:val="18"/>
              </w:rPr>
              <w:t>11.54</w:t>
            </w:r>
          </w:p>
        </w:tc>
        <w:tc>
          <w:tcPr>
            <w:tcW w:w="1560" w:type="dxa"/>
            <w:shd w:val="clear" w:color="auto" w:fill="F5F5F5"/>
            <w:tcMar>
              <w:top w:w="60" w:type="dxa"/>
              <w:left w:w="100" w:type="dxa"/>
              <w:bottom w:w="60" w:type="dxa"/>
              <w:right w:w="100" w:type="dxa"/>
            </w:tcMar>
            <w:vAlign w:val="center"/>
          </w:tcPr>
          <w:p w14:paraId="585DD8F5" w14:textId="77777777" w:rsidR="00EA67D0" w:rsidRDefault="00C53FBD">
            <w:pPr>
              <w:jc w:val="center"/>
            </w:pPr>
            <w:r>
              <w:rPr>
                <w:sz w:val="18"/>
                <w:szCs w:val="18"/>
              </w:rPr>
              <w:t>6.834 (0.009)</w:t>
            </w:r>
          </w:p>
        </w:tc>
        <w:tc>
          <w:tcPr>
            <w:tcW w:w="1750" w:type="dxa"/>
            <w:shd w:val="clear" w:color="auto" w:fill="F5F5F5"/>
            <w:tcMar>
              <w:top w:w="60" w:type="dxa"/>
              <w:left w:w="100" w:type="dxa"/>
              <w:bottom w:w="60" w:type="dxa"/>
              <w:right w:w="100" w:type="dxa"/>
            </w:tcMar>
            <w:vAlign w:val="center"/>
          </w:tcPr>
          <w:p w14:paraId="235916C8" w14:textId="77777777" w:rsidR="00EA67D0" w:rsidRDefault="00C53FBD">
            <w:pPr>
              <w:jc w:val="center"/>
            </w:pPr>
            <w:r>
              <w:rPr>
                <w:sz w:val="18"/>
                <w:szCs w:val="18"/>
              </w:rPr>
              <w:t>13.386 (0.001)</w:t>
            </w:r>
          </w:p>
        </w:tc>
        <w:tc>
          <w:tcPr>
            <w:tcW w:w="780" w:type="dxa"/>
            <w:shd w:val="clear" w:color="auto" w:fill="F5F5F5"/>
            <w:tcMar>
              <w:top w:w="60" w:type="dxa"/>
              <w:left w:w="100" w:type="dxa"/>
              <w:bottom w:w="60" w:type="dxa"/>
              <w:right w:w="100" w:type="dxa"/>
            </w:tcMar>
            <w:vAlign w:val="center"/>
          </w:tcPr>
          <w:p w14:paraId="2BCBC016" w14:textId="77777777" w:rsidR="00EA67D0" w:rsidRDefault="00C53FBD">
            <w:pPr>
              <w:jc w:val="center"/>
            </w:pPr>
            <w:r>
              <w:rPr>
                <w:sz w:val="18"/>
                <w:szCs w:val="18"/>
              </w:rPr>
              <w:t>REJECT</w:t>
            </w:r>
          </w:p>
        </w:tc>
        <w:tc>
          <w:tcPr>
            <w:tcW w:w="780" w:type="dxa"/>
            <w:shd w:val="clear" w:color="auto" w:fill="F5F5F5"/>
            <w:tcMar>
              <w:top w:w="60" w:type="dxa"/>
              <w:left w:w="100" w:type="dxa"/>
              <w:bottom w:w="60" w:type="dxa"/>
              <w:right w:w="100" w:type="dxa"/>
            </w:tcMar>
            <w:vAlign w:val="center"/>
          </w:tcPr>
          <w:p w14:paraId="4294E622" w14:textId="77777777" w:rsidR="00EA67D0" w:rsidRDefault="00C53FBD">
            <w:pPr>
              <w:jc w:val="center"/>
            </w:pPr>
            <w:r>
              <w:rPr>
                <w:sz w:val="18"/>
                <w:szCs w:val="18"/>
              </w:rPr>
              <w:t>REJECT</w:t>
            </w:r>
          </w:p>
        </w:tc>
      </w:tr>
      <w:tr w:rsidR="00EA67D0" w14:paraId="208A6522" w14:textId="77777777">
        <w:tc>
          <w:tcPr>
            <w:tcW w:w="2170" w:type="dxa"/>
            <w:tcMar>
              <w:top w:w="60" w:type="dxa"/>
              <w:left w:w="100" w:type="dxa"/>
              <w:bottom w:w="60" w:type="dxa"/>
              <w:right w:w="100" w:type="dxa"/>
            </w:tcMar>
            <w:vAlign w:val="center"/>
          </w:tcPr>
          <w:p w14:paraId="666FE9AC" w14:textId="77777777" w:rsidR="00EA67D0" w:rsidRDefault="00C53FBD">
            <w:r>
              <w:rPr>
                <w:sz w:val="18"/>
                <w:szCs w:val="18"/>
              </w:rPr>
              <w:t>Parametric (Normal)</w:t>
            </w:r>
          </w:p>
        </w:tc>
        <w:tc>
          <w:tcPr>
            <w:tcW w:w="700" w:type="dxa"/>
            <w:tcMar>
              <w:top w:w="60" w:type="dxa"/>
              <w:left w:w="100" w:type="dxa"/>
              <w:bottom w:w="60" w:type="dxa"/>
              <w:right w:w="100" w:type="dxa"/>
            </w:tcMar>
            <w:vAlign w:val="center"/>
          </w:tcPr>
          <w:p w14:paraId="6E646192" w14:textId="77777777" w:rsidR="00EA67D0" w:rsidRDefault="00C53FBD">
            <w:pPr>
              <w:jc w:val="center"/>
            </w:pPr>
            <w:r>
              <w:rPr>
                <w:sz w:val="18"/>
                <w:szCs w:val="18"/>
              </w:rPr>
              <w:t>99%</w:t>
            </w:r>
          </w:p>
        </w:tc>
        <w:tc>
          <w:tcPr>
            <w:tcW w:w="780" w:type="dxa"/>
            <w:tcMar>
              <w:top w:w="60" w:type="dxa"/>
              <w:left w:w="100" w:type="dxa"/>
              <w:bottom w:w="60" w:type="dxa"/>
              <w:right w:w="100" w:type="dxa"/>
            </w:tcMar>
            <w:vAlign w:val="center"/>
          </w:tcPr>
          <w:p w14:paraId="1C000212" w14:textId="77777777" w:rsidR="00EA67D0" w:rsidRDefault="00C53FBD">
            <w:pPr>
              <w:jc w:val="center"/>
            </w:pPr>
            <w:r>
              <w:rPr>
                <w:sz w:val="18"/>
                <w:szCs w:val="18"/>
              </w:rPr>
              <w:t>2.73</w:t>
            </w:r>
          </w:p>
        </w:tc>
        <w:tc>
          <w:tcPr>
            <w:tcW w:w="780" w:type="dxa"/>
            <w:tcMar>
              <w:top w:w="60" w:type="dxa"/>
              <w:left w:w="100" w:type="dxa"/>
              <w:bottom w:w="60" w:type="dxa"/>
              <w:right w:w="100" w:type="dxa"/>
            </w:tcMar>
            <w:vAlign w:val="center"/>
          </w:tcPr>
          <w:p w14:paraId="475C32E6" w14:textId="77777777" w:rsidR="00EA67D0" w:rsidRDefault="00C53FBD">
            <w:pPr>
              <w:jc w:val="center"/>
            </w:pPr>
            <w:r>
              <w:rPr>
                <w:sz w:val="18"/>
                <w:szCs w:val="18"/>
              </w:rPr>
              <w:t>9.09</w:t>
            </w:r>
          </w:p>
        </w:tc>
        <w:tc>
          <w:tcPr>
            <w:tcW w:w="1560" w:type="dxa"/>
            <w:tcMar>
              <w:top w:w="60" w:type="dxa"/>
              <w:left w:w="100" w:type="dxa"/>
              <w:bottom w:w="60" w:type="dxa"/>
              <w:right w:w="100" w:type="dxa"/>
            </w:tcMar>
            <w:vAlign w:val="center"/>
          </w:tcPr>
          <w:p w14:paraId="37196A89" w14:textId="77777777" w:rsidR="00EA67D0" w:rsidRDefault="00C53FBD">
            <w:pPr>
              <w:jc w:val="center"/>
            </w:pPr>
            <w:r>
              <w:rPr>
                <w:sz w:val="18"/>
                <w:szCs w:val="18"/>
              </w:rPr>
              <w:t>4.017 (0.045)</w:t>
            </w:r>
          </w:p>
        </w:tc>
        <w:tc>
          <w:tcPr>
            <w:tcW w:w="1750" w:type="dxa"/>
            <w:tcMar>
              <w:top w:w="60" w:type="dxa"/>
              <w:left w:w="100" w:type="dxa"/>
              <w:bottom w:w="60" w:type="dxa"/>
              <w:right w:w="100" w:type="dxa"/>
            </w:tcMar>
            <w:vAlign w:val="center"/>
          </w:tcPr>
          <w:p w14:paraId="6518E076" w14:textId="77777777" w:rsidR="00EA67D0" w:rsidRDefault="00C53FBD">
            <w:pPr>
              <w:jc w:val="center"/>
            </w:pPr>
            <w:r>
              <w:rPr>
                <w:sz w:val="18"/>
                <w:szCs w:val="18"/>
              </w:rPr>
              <w:t>40.934 (&lt;0.0001)</w:t>
            </w:r>
          </w:p>
        </w:tc>
        <w:tc>
          <w:tcPr>
            <w:tcW w:w="780" w:type="dxa"/>
            <w:tcMar>
              <w:top w:w="60" w:type="dxa"/>
              <w:left w:w="100" w:type="dxa"/>
              <w:bottom w:w="60" w:type="dxa"/>
              <w:right w:w="100" w:type="dxa"/>
            </w:tcMar>
            <w:vAlign w:val="center"/>
          </w:tcPr>
          <w:p w14:paraId="0667EEC7" w14:textId="77777777" w:rsidR="00EA67D0" w:rsidRDefault="00C53FBD">
            <w:pPr>
              <w:jc w:val="center"/>
            </w:pPr>
            <w:r>
              <w:rPr>
                <w:sz w:val="18"/>
                <w:szCs w:val="18"/>
              </w:rPr>
              <w:t>REJECT</w:t>
            </w:r>
          </w:p>
        </w:tc>
        <w:tc>
          <w:tcPr>
            <w:tcW w:w="780" w:type="dxa"/>
            <w:tcMar>
              <w:top w:w="60" w:type="dxa"/>
              <w:left w:w="100" w:type="dxa"/>
              <w:bottom w:w="60" w:type="dxa"/>
              <w:right w:w="100" w:type="dxa"/>
            </w:tcMar>
            <w:vAlign w:val="center"/>
          </w:tcPr>
          <w:p w14:paraId="5C400EF3" w14:textId="77777777" w:rsidR="00EA67D0" w:rsidRDefault="00C53FBD">
            <w:pPr>
              <w:jc w:val="center"/>
            </w:pPr>
            <w:r>
              <w:rPr>
                <w:sz w:val="18"/>
                <w:szCs w:val="18"/>
              </w:rPr>
              <w:t>REJECT</w:t>
            </w:r>
          </w:p>
        </w:tc>
      </w:tr>
      <w:tr w:rsidR="00EA67D0" w14:paraId="722E8F35" w14:textId="77777777">
        <w:tc>
          <w:tcPr>
            <w:tcW w:w="2170" w:type="dxa"/>
            <w:shd w:val="clear" w:color="auto" w:fill="F5F5F5"/>
            <w:tcMar>
              <w:top w:w="60" w:type="dxa"/>
              <w:left w:w="100" w:type="dxa"/>
              <w:bottom w:w="60" w:type="dxa"/>
              <w:right w:w="100" w:type="dxa"/>
            </w:tcMar>
            <w:vAlign w:val="center"/>
          </w:tcPr>
          <w:p w14:paraId="78568F8E" w14:textId="77777777" w:rsidR="00EA67D0" w:rsidRDefault="00C53FBD">
            <w:r>
              <w:rPr>
                <w:sz w:val="18"/>
                <w:szCs w:val="18"/>
              </w:rPr>
              <w:t>Student-t</w:t>
            </w:r>
          </w:p>
        </w:tc>
        <w:tc>
          <w:tcPr>
            <w:tcW w:w="700" w:type="dxa"/>
            <w:shd w:val="clear" w:color="auto" w:fill="F5F5F5"/>
            <w:tcMar>
              <w:top w:w="60" w:type="dxa"/>
              <w:left w:w="100" w:type="dxa"/>
              <w:bottom w:w="60" w:type="dxa"/>
              <w:right w:w="100" w:type="dxa"/>
            </w:tcMar>
            <w:vAlign w:val="center"/>
          </w:tcPr>
          <w:p w14:paraId="2BCE425C" w14:textId="77777777" w:rsidR="00EA67D0" w:rsidRDefault="00C53FBD">
            <w:pPr>
              <w:jc w:val="center"/>
            </w:pPr>
            <w:r>
              <w:rPr>
                <w:sz w:val="18"/>
                <w:szCs w:val="18"/>
              </w:rPr>
              <w:t>99%</w:t>
            </w:r>
          </w:p>
        </w:tc>
        <w:tc>
          <w:tcPr>
            <w:tcW w:w="780" w:type="dxa"/>
            <w:shd w:val="clear" w:color="auto" w:fill="F5F5F5"/>
            <w:tcMar>
              <w:top w:w="60" w:type="dxa"/>
              <w:left w:w="100" w:type="dxa"/>
              <w:bottom w:w="60" w:type="dxa"/>
              <w:right w:w="100" w:type="dxa"/>
            </w:tcMar>
            <w:vAlign w:val="center"/>
          </w:tcPr>
          <w:p w14:paraId="22D47BFF" w14:textId="77777777" w:rsidR="00EA67D0" w:rsidRDefault="00C53FBD">
            <w:pPr>
              <w:jc w:val="center"/>
            </w:pPr>
            <w:r>
              <w:rPr>
                <w:sz w:val="18"/>
                <w:szCs w:val="18"/>
              </w:rPr>
              <w:t>1.76</w:t>
            </w:r>
          </w:p>
        </w:tc>
        <w:tc>
          <w:tcPr>
            <w:tcW w:w="780" w:type="dxa"/>
            <w:shd w:val="clear" w:color="auto" w:fill="F5F5F5"/>
            <w:tcMar>
              <w:top w:w="60" w:type="dxa"/>
              <w:left w:w="100" w:type="dxa"/>
              <w:bottom w:w="60" w:type="dxa"/>
              <w:right w:w="100" w:type="dxa"/>
            </w:tcMar>
            <w:vAlign w:val="center"/>
          </w:tcPr>
          <w:p w14:paraId="4CA59E6F" w14:textId="77777777" w:rsidR="00EA67D0" w:rsidRDefault="00C53FBD">
            <w:pPr>
              <w:jc w:val="center"/>
            </w:pPr>
            <w:r>
              <w:rPr>
                <w:sz w:val="18"/>
                <w:szCs w:val="18"/>
              </w:rPr>
              <w:t>7.14</w:t>
            </w:r>
          </w:p>
        </w:tc>
        <w:tc>
          <w:tcPr>
            <w:tcW w:w="1560" w:type="dxa"/>
            <w:shd w:val="clear" w:color="auto" w:fill="F5F5F5"/>
            <w:tcMar>
              <w:top w:w="60" w:type="dxa"/>
              <w:left w:w="100" w:type="dxa"/>
              <w:bottom w:w="60" w:type="dxa"/>
              <w:right w:w="100" w:type="dxa"/>
            </w:tcMar>
            <w:vAlign w:val="center"/>
          </w:tcPr>
          <w:p w14:paraId="08BBD607" w14:textId="77777777" w:rsidR="00EA67D0" w:rsidRDefault="00C53FBD">
            <w:pPr>
              <w:jc w:val="center"/>
            </w:pPr>
            <w:r>
              <w:rPr>
                <w:sz w:val="18"/>
                <w:szCs w:val="18"/>
              </w:rPr>
              <w:t>2.593 (0.107)</w:t>
            </w:r>
          </w:p>
        </w:tc>
        <w:tc>
          <w:tcPr>
            <w:tcW w:w="1750" w:type="dxa"/>
            <w:shd w:val="clear" w:color="auto" w:fill="F5F5F5"/>
            <w:tcMar>
              <w:top w:w="60" w:type="dxa"/>
              <w:left w:w="100" w:type="dxa"/>
              <w:bottom w:w="60" w:type="dxa"/>
              <w:right w:w="100" w:type="dxa"/>
            </w:tcMar>
            <w:vAlign w:val="center"/>
          </w:tcPr>
          <w:p w14:paraId="290E8BE2" w14:textId="77777777" w:rsidR="00EA67D0" w:rsidRDefault="00C53FBD">
            <w:pPr>
              <w:jc w:val="center"/>
            </w:pPr>
            <w:r>
              <w:rPr>
                <w:sz w:val="18"/>
                <w:szCs w:val="18"/>
              </w:rPr>
              <w:t>11.502 (0.003)</w:t>
            </w:r>
          </w:p>
        </w:tc>
        <w:tc>
          <w:tcPr>
            <w:tcW w:w="780" w:type="dxa"/>
            <w:shd w:val="clear" w:color="auto" w:fill="F5F5F5"/>
            <w:tcMar>
              <w:top w:w="60" w:type="dxa"/>
              <w:left w:w="100" w:type="dxa"/>
              <w:bottom w:w="60" w:type="dxa"/>
              <w:right w:w="100" w:type="dxa"/>
            </w:tcMar>
            <w:vAlign w:val="center"/>
          </w:tcPr>
          <w:p w14:paraId="2E191F90" w14:textId="77777777" w:rsidR="00EA67D0" w:rsidRDefault="00C53FBD">
            <w:pPr>
              <w:jc w:val="center"/>
            </w:pPr>
            <w:r>
              <w:rPr>
                <w:sz w:val="18"/>
                <w:szCs w:val="18"/>
              </w:rPr>
              <w:t>PASS</w:t>
            </w:r>
          </w:p>
        </w:tc>
        <w:tc>
          <w:tcPr>
            <w:tcW w:w="780" w:type="dxa"/>
            <w:shd w:val="clear" w:color="auto" w:fill="F5F5F5"/>
            <w:tcMar>
              <w:top w:w="60" w:type="dxa"/>
              <w:left w:w="100" w:type="dxa"/>
              <w:bottom w:w="60" w:type="dxa"/>
              <w:right w:w="100" w:type="dxa"/>
            </w:tcMar>
            <w:vAlign w:val="center"/>
          </w:tcPr>
          <w:p w14:paraId="14DCB593" w14:textId="77777777" w:rsidR="00EA67D0" w:rsidRDefault="00C53FBD">
            <w:pPr>
              <w:jc w:val="center"/>
            </w:pPr>
            <w:r>
              <w:rPr>
                <w:sz w:val="18"/>
                <w:szCs w:val="18"/>
              </w:rPr>
              <w:t>REJECT</w:t>
            </w:r>
          </w:p>
        </w:tc>
      </w:tr>
    </w:tbl>
    <w:p w14:paraId="7F38D70A" w14:textId="77777777" w:rsidR="00EA67D0" w:rsidRDefault="00C53FBD">
      <w:pPr>
        <w:spacing w:before="80" w:after="240"/>
      </w:pPr>
      <w:r>
        <w:rPr>
          <w:i/>
          <w:iCs/>
          <w:sz w:val="20"/>
          <w:szCs w:val="20"/>
        </w:rPr>
        <w:t>Note: π₀₁ = probability of a violation tomorrow given no violation today; π₁₁ = probability of a violation tomorrow given a violation today. LR Ind. follows χ²(1); LR CC follows χ²(2). Rejection at the 5% significance level.</w:t>
      </w:r>
    </w:p>
    <w:p w14:paraId="75DC41CE" w14:textId="77777777" w:rsidR="001C5B66" w:rsidRDefault="001C5B66" w:rsidP="00206846">
      <w:pPr>
        <w:spacing w:after="200" w:line="276" w:lineRule="auto"/>
        <w:jc w:val="both"/>
      </w:pPr>
      <w:r>
        <w:t>At 95% confidence, every single model fails both the independence and joint tests. The chance of a violation following another violation (π₁₁) is about three times higher than the base chance after a quiet day (π₀₁). For example, with the Student-t, a violation today means it’s 14.8% likely you’ll see another tomorrow, versus just 5.3% after a calm day. That’s a big difference—and a clear sign these models tend to bunch up their misses, even if the average number of violations looks fine on paper (see the Kupiec results above).</w:t>
      </w:r>
    </w:p>
    <w:p w14:paraId="1DD57A05" w14:textId="77777777" w:rsidR="001C5B66" w:rsidRDefault="001C5B66" w:rsidP="001C5B66">
      <w:pPr>
        <w:spacing w:after="200" w:line="276" w:lineRule="auto"/>
        <w:ind w:firstLine="360"/>
        <w:jc w:val="both"/>
      </w:pPr>
    </w:p>
    <w:p w14:paraId="5B394362" w14:textId="6FDB1B5D" w:rsidR="00EA67D0" w:rsidRDefault="001C5B66" w:rsidP="001C5B66">
      <w:pPr>
        <w:spacing w:after="200" w:line="276" w:lineRule="auto"/>
        <w:jc w:val="both"/>
      </w:pPr>
      <w:r>
        <w:t>At 99%, the breakdown is more revealing. Historical Simulation and Parametric Normal both still bunch up their misses—failures all around. Only the Student-t model passes the independence test at this level (p = 0.107), hinting that its flexibility pays off as things get extreme. But it still fails the joint test, because, as shown earlier, it’s still falling short on total coverage—the point of Christoffersen’s joint test is that a model can’t slip by just by getting one part right</w:t>
      </w:r>
      <w:r w:rsidR="00C53FBD">
        <w:t>.</w:t>
      </w:r>
    </w:p>
    <w:p w14:paraId="3EDAE576" w14:textId="77777777" w:rsidR="00EA67D0" w:rsidRDefault="00C53FBD">
      <w:pPr>
        <w:pStyle w:val="Heading2"/>
      </w:pPr>
      <w:r>
        <w:t>6.4 Basel Traffic Light Test</w:t>
      </w:r>
    </w:p>
    <w:p w14:paraId="5136CAAD" w14:textId="399374DC" w:rsidR="007E4353" w:rsidRPr="00A778A0" w:rsidRDefault="00581218" w:rsidP="00A778A0">
      <w:pPr>
        <w:spacing w:after="200" w:line="276" w:lineRule="auto"/>
        <w:jc w:val="both"/>
      </w:pPr>
      <w:r>
        <w:t>Table 6 switches gears, reporting Basel Traffic Light results for just the most recent 250 trading days (all of 2024), with a 99% confidence bar—this is how regulators would size up a model.</w:t>
      </w:r>
    </w:p>
    <w:p w14:paraId="4D1EE945" w14:textId="1D1BDE95" w:rsidR="00EA67D0" w:rsidRDefault="00C53FBD">
      <w:pPr>
        <w:spacing w:before="240" w:after="80"/>
      </w:pPr>
      <w:r>
        <w:rPr>
          <w:b/>
          <w:bCs/>
        </w:rPr>
        <w:t>Table 6 — Basel Traffic Light Test Results (Trailing 250 Days, 99% CI, Jan.–Dec. 2024)</w:t>
      </w:r>
    </w:p>
    <w:tbl>
      <w:tblPr>
        <w:tblW w:w="929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340"/>
        <w:gridCol w:w="1210"/>
        <w:gridCol w:w="1210"/>
        <w:gridCol w:w="1210"/>
        <w:gridCol w:w="1540"/>
        <w:gridCol w:w="1780"/>
      </w:tblGrid>
      <w:tr w:rsidR="00EA67D0" w14:paraId="59629EB2" w14:textId="77777777">
        <w:trPr>
          <w:tblHeader/>
        </w:trPr>
        <w:tc>
          <w:tcPr>
            <w:tcW w:w="2340" w:type="dxa"/>
            <w:shd w:val="clear" w:color="auto" w:fill="D9D9D9"/>
            <w:tcMar>
              <w:top w:w="60" w:type="dxa"/>
              <w:left w:w="100" w:type="dxa"/>
              <w:bottom w:w="60" w:type="dxa"/>
              <w:right w:w="100" w:type="dxa"/>
            </w:tcMar>
            <w:vAlign w:val="center"/>
          </w:tcPr>
          <w:p w14:paraId="35E7E365" w14:textId="77777777" w:rsidR="00EA67D0" w:rsidRDefault="00C53FBD">
            <w:pPr>
              <w:jc w:val="center"/>
            </w:pPr>
            <w:r>
              <w:rPr>
                <w:b/>
                <w:bCs/>
                <w:sz w:val="18"/>
                <w:szCs w:val="18"/>
              </w:rPr>
              <w:t>Model</w:t>
            </w:r>
          </w:p>
        </w:tc>
        <w:tc>
          <w:tcPr>
            <w:tcW w:w="1210" w:type="dxa"/>
            <w:shd w:val="clear" w:color="auto" w:fill="D9D9D9"/>
            <w:tcMar>
              <w:top w:w="60" w:type="dxa"/>
              <w:left w:w="100" w:type="dxa"/>
              <w:bottom w:w="60" w:type="dxa"/>
              <w:right w:w="100" w:type="dxa"/>
            </w:tcMar>
            <w:vAlign w:val="center"/>
          </w:tcPr>
          <w:p w14:paraId="1C0B5FAD" w14:textId="77777777" w:rsidR="00EA67D0" w:rsidRDefault="00C53FBD">
            <w:pPr>
              <w:jc w:val="center"/>
            </w:pPr>
            <w:r>
              <w:rPr>
                <w:b/>
                <w:bCs/>
                <w:sz w:val="18"/>
                <w:szCs w:val="18"/>
              </w:rPr>
              <w:t>Violations</w:t>
            </w:r>
          </w:p>
        </w:tc>
        <w:tc>
          <w:tcPr>
            <w:tcW w:w="1210" w:type="dxa"/>
            <w:shd w:val="clear" w:color="auto" w:fill="D9D9D9"/>
            <w:tcMar>
              <w:top w:w="60" w:type="dxa"/>
              <w:left w:w="100" w:type="dxa"/>
              <w:bottom w:w="60" w:type="dxa"/>
              <w:right w:w="100" w:type="dxa"/>
            </w:tcMar>
            <w:vAlign w:val="center"/>
          </w:tcPr>
          <w:p w14:paraId="7B623C59" w14:textId="77777777" w:rsidR="00EA67D0" w:rsidRDefault="00C53FBD">
            <w:pPr>
              <w:jc w:val="center"/>
            </w:pPr>
            <w:r>
              <w:rPr>
                <w:b/>
                <w:bCs/>
                <w:sz w:val="18"/>
                <w:szCs w:val="18"/>
              </w:rPr>
              <w:t>Expected</w:t>
            </w:r>
          </w:p>
        </w:tc>
        <w:tc>
          <w:tcPr>
            <w:tcW w:w="1210" w:type="dxa"/>
            <w:shd w:val="clear" w:color="auto" w:fill="D9D9D9"/>
            <w:tcMar>
              <w:top w:w="60" w:type="dxa"/>
              <w:left w:w="100" w:type="dxa"/>
              <w:bottom w:w="60" w:type="dxa"/>
              <w:right w:w="100" w:type="dxa"/>
            </w:tcMar>
            <w:vAlign w:val="center"/>
          </w:tcPr>
          <w:p w14:paraId="02B20DA2" w14:textId="77777777" w:rsidR="00EA67D0" w:rsidRDefault="00C53FBD">
            <w:pPr>
              <w:jc w:val="center"/>
            </w:pPr>
            <w:r>
              <w:rPr>
                <w:b/>
                <w:bCs/>
                <w:sz w:val="18"/>
                <w:szCs w:val="18"/>
              </w:rPr>
              <w:t>Zone</w:t>
            </w:r>
          </w:p>
        </w:tc>
        <w:tc>
          <w:tcPr>
            <w:tcW w:w="1540" w:type="dxa"/>
            <w:shd w:val="clear" w:color="auto" w:fill="D9D9D9"/>
            <w:tcMar>
              <w:top w:w="60" w:type="dxa"/>
              <w:left w:w="100" w:type="dxa"/>
              <w:bottom w:w="60" w:type="dxa"/>
              <w:right w:w="100" w:type="dxa"/>
            </w:tcMar>
            <w:vAlign w:val="center"/>
          </w:tcPr>
          <w:p w14:paraId="03C1B787" w14:textId="77777777" w:rsidR="00EA67D0" w:rsidRDefault="00C53FBD">
            <w:pPr>
              <w:jc w:val="center"/>
            </w:pPr>
            <w:r>
              <w:rPr>
                <w:b/>
                <w:bCs/>
                <w:sz w:val="18"/>
                <w:szCs w:val="18"/>
              </w:rPr>
              <w:t>Capital Multiplier</w:t>
            </w:r>
          </w:p>
        </w:tc>
        <w:tc>
          <w:tcPr>
            <w:tcW w:w="1780" w:type="dxa"/>
            <w:shd w:val="clear" w:color="auto" w:fill="D9D9D9"/>
            <w:tcMar>
              <w:top w:w="60" w:type="dxa"/>
              <w:left w:w="100" w:type="dxa"/>
              <w:bottom w:w="60" w:type="dxa"/>
              <w:right w:w="100" w:type="dxa"/>
            </w:tcMar>
            <w:vAlign w:val="center"/>
          </w:tcPr>
          <w:p w14:paraId="39AA67F3" w14:textId="77777777" w:rsidR="00EA67D0" w:rsidRDefault="00C53FBD">
            <w:pPr>
              <w:jc w:val="center"/>
            </w:pPr>
            <w:r>
              <w:rPr>
                <w:b/>
                <w:bCs/>
                <w:sz w:val="18"/>
                <w:szCs w:val="18"/>
              </w:rPr>
              <w:t>Status</w:t>
            </w:r>
          </w:p>
        </w:tc>
      </w:tr>
      <w:tr w:rsidR="00EA67D0" w14:paraId="6220212F" w14:textId="77777777">
        <w:tc>
          <w:tcPr>
            <w:tcW w:w="2340" w:type="dxa"/>
            <w:tcMar>
              <w:top w:w="60" w:type="dxa"/>
              <w:left w:w="100" w:type="dxa"/>
              <w:bottom w:w="60" w:type="dxa"/>
              <w:right w:w="100" w:type="dxa"/>
            </w:tcMar>
            <w:vAlign w:val="center"/>
          </w:tcPr>
          <w:p w14:paraId="376F03E2" w14:textId="77777777" w:rsidR="00EA67D0" w:rsidRDefault="00C53FBD">
            <w:r>
              <w:rPr>
                <w:sz w:val="18"/>
                <w:szCs w:val="18"/>
              </w:rPr>
              <w:t>Historical Simulation</w:t>
            </w:r>
          </w:p>
        </w:tc>
        <w:tc>
          <w:tcPr>
            <w:tcW w:w="1210" w:type="dxa"/>
            <w:tcMar>
              <w:top w:w="60" w:type="dxa"/>
              <w:left w:w="100" w:type="dxa"/>
              <w:bottom w:w="60" w:type="dxa"/>
              <w:right w:w="100" w:type="dxa"/>
            </w:tcMar>
            <w:vAlign w:val="center"/>
          </w:tcPr>
          <w:p w14:paraId="38F4BA30" w14:textId="77777777" w:rsidR="00EA67D0" w:rsidRDefault="00C53FBD">
            <w:pPr>
              <w:jc w:val="center"/>
            </w:pPr>
            <w:r>
              <w:rPr>
                <w:sz w:val="18"/>
                <w:szCs w:val="18"/>
              </w:rPr>
              <w:t>6</w:t>
            </w:r>
          </w:p>
        </w:tc>
        <w:tc>
          <w:tcPr>
            <w:tcW w:w="1210" w:type="dxa"/>
            <w:tcMar>
              <w:top w:w="60" w:type="dxa"/>
              <w:left w:w="100" w:type="dxa"/>
              <w:bottom w:w="60" w:type="dxa"/>
              <w:right w:w="100" w:type="dxa"/>
            </w:tcMar>
            <w:vAlign w:val="center"/>
          </w:tcPr>
          <w:p w14:paraId="1F97890C" w14:textId="77777777" w:rsidR="00EA67D0" w:rsidRDefault="00C53FBD">
            <w:pPr>
              <w:jc w:val="center"/>
            </w:pPr>
            <w:r>
              <w:rPr>
                <w:sz w:val="18"/>
                <w:szCs w:val="18"/>
              </w:rPr>
              <w:t>2.5</w:t>
            </w:r>
          </w:p>
        </w:tc>
        <w:tc>
          <w:tcPr>
            <w:tcW w:w="1210" w:type="dxa"/>
            <w:tcMar>
              <w:top w:w="60" w:type="dxa"/>
              <w:left w:w="100" w:type="dxa"/>
              <w:bottom w:w="60" w:type="dxa"/>
              <w:right w:w="100" w:type="dxa"/>
            </w:tcMar>
            <w:vAlign w:val="center"/>
          </w:tcPr>
          <w:p w14:paraId="13716163" w14:textId="77777777" w:rsidR="00EA67D0" w:rsidRDefault="00C53FBD">
            <w:pPr>
              <w:jc w:val="center"/>
            </w:pPr>
            <w:r>
              <w:rPr>
                <w:sz w:val="18"/>
                <w:szCs w:val="18"/>
              </w:rPr>
              <w:t>Yellow</w:t>
            </w:r>
          </w:p>
        </w:tc>
        <w:tc>
          <w:tcPr>
            <w:tcW w:w="1540" w:type="dxa"/>
            <w:tcMar>
              <w:top w:w="60" w:type="dxa"/>
              <w:left w:w="100" w:type="dxa"/>
              <w:bottom w:w="60" w:type="dxa"/>
              <w:right w:w="100" w:type="dxa"/>
            </w:tcMar>
            <w:vAlign w:val="center"/>
          </w:tcPr>
          <w:p w14:paraId="7FB1C623" w14:textId="77777777" w:rsidR="00EA67D0" w:rsidRDefault="00C53FBD">
            <w:pPr>
              <w:jc w:val="center"/>
            </w:pPr>
            <w:r>
              <w:rPr>
                <w:sz w:val="18"/>
                <w:szCs w:val="18"/>
              </w:rPr>
              <w:t>3.50×</w:t>
            </w:r>
          </w:p>
        </w:tc>
        <w:tc>
          <w:tcPr>
            <w:tcW w:w="1780" w:type="dxa"/>
            <w:tcMar>
              <w:top w:w="60" w:type="dxa"/>
              <w:left w:w="100" w:type="dxa"/>
              <w:bottom w:w="60" w:type="dxa"/>
              <w:right w:w="100" w:type="dxa"/>
            </w:tcMar>
            <w:vAlign w:val="center"/>
          </w:tcPr>
          <w:p w14:paraId="620B2F3D" w14:textId="77777777" w:rsidR="00EA67D0" w:rsidRDefault="00C53FBD">
            <w:pPr>
              <w:jc w:val="center"/>
            </w:pPr>
            <w:r>
              <w:rPr>
                <w:sz w:val="18"/>
                <w:szCs w:val="18"/>
              </w:rPr>
              <w:t>Increased charge</w:t>
            </w:r>
          </w:p>
        </w:tc>
      </w:tr>
      <w:tr w:rsidR="00EA67D0" w14:paraId="210A79CC" w14:textId="77777777">
        <w:tc>
          <w:tcPr>
            <w:tcW w:w="2340" w:type="dxa"/>
            <w:shd w:val="clear" w:color="auto" w:fill="F5F5F5"/>
            <w:tcMar>
              <w:top w:w="60" w:type="dxa"/>
              <w:left w:w="100" w:type="dxa"/>
              <w:bottom w:w="60" w:type="dxa"/>
              <w:right w:w="100" w:type="dxa"/>
            </w:tcMar>
            <w:vAlign w:val="center"/>
          </w:tcPr>
          <w:p w14:paraId="05A5E2BE" w14:textId="77777777" w:rsidR="00EA67D0" w:rsidRDefault="00C53FBD">
            <w:r>
              <w:rPr>
                <w:sz w:val="18"/>
                <w:szCs w:val="18"/>
              </w:rPr>
              <w:t>Parametric (Normal)</w:t>
            </w:r>
          </w:p>
        </w:tc>
        <w:tc>
          <w:tcPr>
            <w:tcW w:w="1210" w:type="dxa"/>
            <w:shd w:val="clear" w:color="auto" w:fill="F5F5F5"/>
            <w:tcMar>
              <w:top w:w="60" w:type="dxa"/>
              <w:left w:w="100" w:type="dxa"/>
              <w:bottom w:w="60" w:type="dxa"/>
              <w:right w:w="100" w:type="dxa"/>
            </w:tcMar>
            <w:vAlign w:val="center"/>
          </w:tcPr>
          <w:p w14:paraId="47F83E42" w14:textId="77777777" w:rsidR="00EA67D0" w:rsidRDefault="00C53FBD">
            <w:pPr>
              <w:jc w:val="center"/>
            </w:pPr>
            <w:r>
              <w:rPr>
                <w:sz w:val="18"/>
                <w:szCs w:val="18"/>
              </w:rPr>
              <w:t>6</w:t>
            </w:r>
          </w:p>
        </w:tc>
        <w:tc>
          <w:tcPr>
            <w:tcW w:w="1210" w:type="dxa"/>
            <w:shd w:val="clear" w:color="auto" w:fill="F5F5F5"/>
            <w:tcMar>
              <w:top w:w="60" w:type="dxa"/>
              <w:left w:w="100" w:type="dxa"/>
              <w:bottom w:w="60" w:type="dxa"/>
              <w:right w:w="100" w:type="dxa"/>
            </w:tcMar>
            <w:vAlign w:val="center"/>
          </w:tcPr>
          <w:p w14:paraId="19793C66" w14:textId="77777777" w:rsidR="00EA67D0" w:rsidRDefault="00C53FBD">
            <w:pPr>
              <w:jc w:val="center"/>
            </w:pPr>
            <w:r>
              <w:rPr>
                <w:sz w:val="18"/>
                <w:szCs w:val="18"/>
              </w:rPr>
              <w:t>2.5</w:t>
            </w:r>
          </w:p>
        </w:tc>
        <w:tc>
          <w:tcPr>
            <w:tcW w:w="1210" w:type="dxa"/>
            <w:shd w:val="clear" w:color="auto" w:fill="F5F5F5"/>
            <w:tcMar>
              <w:top w:w="60" w:type="dxa"/>
              <w:left w:w="100" w:type="dxa"/>
              <w:bottom w:w="60" w:type="dxa"/>
              <w:right w:w="100" w:type="dxa"/>
            </w:tcMar>
            <w:vAlign w:val="center"/>
          </w:tcPr>
          <w:p w14:paraId="5B0EE766" w14:textId="77777777" w:rsidR="00EA67D0" w:rsidRDefault="00C53FBD">
            <w:pPr>
              <w:jc w:val="center"/>
            </w:pPr>
            <w:r>
              <w:rPr>
                <w:sz w:val="18"/>
                <w:szCs w:val="18"/>
              </w:rPr>
              <w:t>Yellow</w:t>
            </w:r>
          </w:p>
        </w:tc>
        <w:tc>
          <w:tcPr>
            <w:tcW w:w="1540" w:type="dxa"/>
            <w:shd w:val="clear" w:color="auto" w:fill="F5F5F5"/>
            <w:tcMar>
              <w:top w:w="60" w:type="dxa"/>
              <w:left w:w="100" w:type="dxa"/>
              <w:bottom w:w="60" w:type="dxa"/>
              <w:right w:w="100" w:type="dxa"/>
            </w:tcMar>
            <w:vAlign w:val="center"/>
          </w:tcPr>
          <w:p w14:paraId="65D025CB" w14:textId="77777777" w:rsidR="00EA67D0" w:rsidRDefault="00C53FBD">
            <w:pPr>
              <w:jc w:val="center"/>
            </w:pPr>
            <w:r>
              <w:rPr>
                <w:sz w:val="18"/>
                <w:szCs w:val="18"/>
              </w:rPr>
              <w:t>3.50×</w:t>
            </w:r>
          </w:p>
        </w:tc>
        <w:tc>
          <w:tcPr>
            <w:tcW w:w="1780" w:type="dxa"/>
            <w:shd w:val="clear" w:color="auto" w:fill="F5F5F5"/>
            <w:tcMar>
              <w:top w:w="60" w:type="dxa"/>
              <w:left w:w="100" w:type="dxa"/>
              <w:bottom w:w="60" w:type="dxa"/>
              <w:right w:w="100" w:type="dxa"/>
            </w:tcMar>
            <w:vAlign w:val="center"/>
          </w:tcPr>
          <w:p w14:paraId="7D46D29B" w14:textId="77777777" w:rsidR="00EA67D0" w:rsidRDefault="00C53FBD">
            <w:pPr>
              <w:jc w:val="center"/>
            </w:pPr>
            <w:r>
              <w:rPr>
                <w:sz w:val="18"/>
                <w:szCs w:val="18"/>
              </w:rPr>
              <w:t>Increased charge</w:t>
            </w:r>
          </w:p>
        </w:tc>
      </w:tr>
      <w:tr w:rsidR="00EA67D0" w14:paraId="1D6FE127" w14:textId="77777777">
        <w:tc>
          <w:tcPr>
            <w:tcW w:w="2340" w:type="dxa"/>
            <w:tcMar>
              <w:top w:w="60" w:type="dxa"/>
              <w:left w:w="100" w:type="dxa"/>
              <w:bottom w:w="60" w:type="dxa"/>
              <w:right w:w="100" w:type="dxa"/>
            </w:tcMar>
            <w:vAlign w:val="center"/>
          </w:tcPr>
          <w:p w14:paraId="29EF59C2" w14:textId="77777777" w:rsidR="00EA67D0" w:rsidRDefault="00C53FBD">
            <w:r>
              <w:rPr>
                <w:sz w:val="18"/>
                <w:szCs w:val="18"/>
              </w:rPr>
              <w:t>Student-t</w:t>
            </w:r>
          </w:p>
        </w:tc>
        <w:tc>
          <w:tcPr>
            <w:tcW w:w="1210" w:type="dxa"/>
            <w:tcMar>
              <w:top w:w="60" w:type="dxa"/>
              <w:left w:w="100" w:type="dxa"/>
              <w:bottom w:w="60" w:type="dxa"/>
              <w:right w:w="100" w:type="dxa"/>
            </w:tcMar>
            <w:vAlign w:val="center"/>
          </w:tcPr>
          <w:p w14:paraId="5E53285D" w14:textId="77777777" w:rsidR="00EA67D0" w:rsidRDefault="00C53FBD">
            <w:pPr>
              <w:jc w:val="center"/>
            </w:pPr>
            <w:r>
              <w:rPr>
                <w:sz w:val="18"/>
                <w:szCs w:val="18"/>
              </w:rPr>
              <w:t>5</w:t>
            </w:r>
          </w:p>
        </w:tc>
        <w:tc>
          <w:tcPr>
            <w:tcW w:w="1210" w:type="dxa"/>
            <w:tcMar>
              <w:top w:w="60" w:type="dxa"/>
              <w:left w:w="100" w:type="dxa"/>
              <w:bottom w:w="60" w:type="dxa"/>
              <w:right w:w="100" w:type="dxa"/>
            </w:tcMar>
            <w:vAlign w:val="center"/>
          </w:tcPr>
          <w:p w14:paraId="37405D2A" w14:textId="77777777" w:rsidR="00EA67D0" w:rsidRDefault="00C53FBD">
            <w:pPr>
              <w:jc w:val="center"/>
            </w:pPr>
            <w:r>
              <w:rPr>
                <w:sz w:val="18"/>
                <w:szCs w:val="18"/>
              </w:rPr>
              <w:t>2.5</w:t>
            </w:r>
          </w:p>
        </w:tc>
        <w:tc>
          <w:tcPr>
            <w:tcW w:w="1210" w:type="dxa"/>
            <w:tcMar>
              <w:top w:w="60" w:type="dxa"/>
              <w:left w:w="100" w:type="dxa"/>
              <w:bottom w:w="60" w:type="dxa"/>
              <w:right w:w="100" w:type="dxa"/>
            </w:tcMar>
            <w:vAlign w:val="center"/>
          </w:tcPr>
          <w:p w14:paraId="3B42E4E2" w14:textId="77777777" w:rsidR="00EA67D0" w:rsidRDefault="00C53FBD">
            <w:pPr>
              <w:jc w:val="center"/>
            </w:pPr>
            <w:r>
              <w:rPr>
                <w:sz w:val="18"/>
                <w:szCs w:val="18"/>
              </w:rPr>
              <w:t>Yellow</w:t>
            </w:r>
          </w:p>
        </w:tc>
        <w:tc>
          <w:tcPr>
            <w:tcW w:w="1540" w:type="dxa"/>
            <w:tcMar>
              <w:top w:w="60" w:type="dxa"/>
              <w:left w:w="100" w:type="dxa"/>
              <w:bottom w:w="60" w:type="dxa"/>
              <w:right w:w="100" w:type="dxa"/>
            </w:tcMar>
            <w:vAlign w:val="center"/>
          </w:tcPr>
          <w:p w14:paraId="105376AA" w14:textId="77777777" w:rsidR="00EA67D0" w:rsidRDefault="00C53FBD">
            <w:pPr>
              <w:jc w:val="center"/>
            </w:pPr>
            <w:r>
              <w:rPr>
                <w:sz w:val="18"/>
                <w:szCs w:val="18"/>
              </w:rPr>
              <w:t>3.40×</w:t>
            </w:r>
          </w:p>
        </w:tc>
        <w:tc>
          <w:tcPr>
            <w:tcW w:w="1780" w:type="dxa"/>
            <w:tcMar>
              <w:top w:w="60" w:type="dxa"/>
              <w:left w:w="100" w:type="dxa"/>
              <w:bottom w:w="60" w:type="dxa"/>
              <w:right w:w="100" w:type="dxa"/>
            </w:tcMar>
            <w:vAlign w:val="center"/>
          </w:tcPr>
          <w:p w14:paraId="6CFC12F3" w14:textId="77777777" w:rsidR="00EA67D0" w:rsidRDefault="00C53FBD">
            <w:pPr>
              <w:jc w:val="center"/>
            </w:pPr>
            <w:r>
              <w:rPr>
                <w:sz w:val="18"/>
                <w:szCs w:val="18"/>
              </w:rPr>
              <w:t>Increased charge</w:t>
            </w:r>
          </w:p>
        </w:tc>
      </w:tr>
    </w:tbl>
    <w:p w14:paraId="681D45CB" w14:textId="77777777" w:rsidR="00EA67D0" w:rsidRDefault="00C53FBD">
      <w:pPr>
        <w:spacing w:before="80" w:after="240"/>
      </w:pPr>
      <w:r>
        <w:rPr>
          <w:i/>
          <w:iCs/>
          <w:sz w:val="20"/>
          <w:szCs w:val="20"/>
        </w:rPr>
        <w:t>Note: 250-day evaluation window runs January 3, 2024, through December 30, 2024. Regime-specific results for the 2020 and 2022 windows are reported separately in Table 7.</w:t>
      </w:r>
    </w:p>
    <w:p w14:paraId="460B7887" w14:textId="1EC63B11" w:rsidR="00EA67D0" w:rsidRDefault="00581218" w:rsidP="00581218">
      <w:pPr>
        <w:spacing w:after="200" w:line="276" w:lineRule="auto"/>
        <w:jc w:val="both"/>
      </w:pPr>
      <w:r w:rsidRPr="00581218">
        <w:t xml:space="preserve">None of the models scores a Green here. All fall into the </w:t>
      </w:r>
      <w:r w:rsidR="00A778A0" w:rsidRPr="00581218">
        <w:t>yellow</w:t>
      </w:r>
      <w:r w:rsidRPr="00581218">
        <w:t xml:space="preserve"> zone for 2024, with Historical Simulation and Parametric Normal showing six violations (vs. 2.5 expected) and Student-</w:t>
      </w:r>
      <w:r w:rsidR="00A778A0" w:rsidRPr="00581218">
        <w:t>t-five</w:t>
      </w:r>
      <w:r w:rsidRPr="00581218">
        <w:t xml:space="preserve">. </w:t>
      </w:r>
      <w:r w:rsidRPr="00581218">
        <w:lastRenderedPageBreak/>
        <w:t>This matters because, by volatility, 2024 was pretty tame for the S&amp;P 500. In earlier studies using static, full-sample calibrations, these models probably would have stayed in the Green zone—less real pressure in the recent period. But the rolling, “what-have-you-done-for-me-lately” test here asks if recalibrating only on recent history kept up, even during a relatively mild year. For all three models here, the answer is no</w:t>
      </w:r>
      <w:r w:rsidR="00C53FBD">
        <w:t>.</w:t>
      </w:r>
    </w:p>
    <w:p w14:paraId="411BAF94" w14:textId="77777777" w:rsidR="00EA67D0" w:rsidRDefault="00C53FBD">
      <w:pPr>
        <w:pStyle w:val="Heading2"/>
      </w:pPr>
      <w:r>
        <w:t>6.5 Subperiod Analysis</w:t>
      </w:r>
    </w:p>
    <w:p w14:paraId="5E2BA71E" w14:textId="64F7FF7E" w:rsidR="00EA67D0" w:rsidRDefault="0025448B" w:rsidP="0025448B">
      <w:pPr>
        <w:spacing w:after="200" w:line="276" w:lineRule="auto"/>
        <w:jc w:val="both"/>
      </w:pPr>
      <w:r w:rsidRPr="0025448B">
        <w:t>Now, Table 7 breaks things down by market regime. The out-of-sample test starts in 2019 (the initial 250-day window is used up by 2018). The results are classic during the COVID Crisis: violation rates pop way above what any model expected, especially for Parametric Normal (14 violations vs. 2.5 expected, up 453%), and to a lesser—but still big—extent for Historical Simulation and Student-t (8 each, or 216% excess)</w:t>
      </w:r>
      <w:r w:rsidR="00C53FBD">
        <w:t>.</w:t>
      </w:r>
    </w:p>
    <w:p w14:paraId="4BB70862" w14:textId="77777777" w:rsidR="00EA67D0" w:rsidRDefault="00C53FBD">
      <w:pPr>
        <w:spacing w:before="240" w:after="80"/>
      </w:pPr>
      <w:r>
        <w:rPr>
          <w:b/>
          <w:bCs/>
        </w:rPr>
        <w:t>Table 7 — Subperiod Analysis: 99% VaR Violations, Out-of-Sample</w:t>
      </w:r>
    </w:p>
    <w:tbl>
      <w:tblPr>
        <w:tblW w:w="931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960"/>
        <w:gridCol w:w="770"/>
        <w:gridCol w:w="940"/>
        <w:gridCol w:w="1880"/>
        <w:gridCol w:w="1880"/>
        <w:gridCol w:w="1880"/>
      </w:tblGrid>
      <w:tr w:rsidR="00EA67D0" w14:paraId="5B66B037" w14:textId="77777777">
        <w:trPr>
          <w:tblHeader/>
        </w:trPr>
        <w:tc>
          <w:tcPr>
            <w:tcW w:w="1960" w:type="dxa"/>
            <w:shd w:val="clear" w:color="auto" w:fill="D9D9D9"/>
            <w:tcMar>
              <w:top w:w="60" w:type="dxa"/>
              <w:left w:w="100" w:type="dxa"/>
              <w:bottom w:w="60" w:type="dxa"/>
              <w:right w:w="100" w:type="dxa"/>
            </w:tcMar>
            <w:vAlign w:val="center"/>
          </w:tcPr>
          <w:p w14:paraId="47C97350" w14:textId="77777777" w:rsidR="00EA67D0" w:rsidRDefault="00C53FBD">
            <w:pPr>
              <w:jc w:val="center"/>
            </w:pPr>
            <w:r>
              <w:rPr>
                <w:b/>
                <w:bCs/>
                <w:sz w:val="18"/>
                <w:szCs w:val="18"/>
              </w:rPr>
              <w:t>Period</w:t>
            </w:r>
          </w:p>
        </w:tc>
        <w:tc>
          <w:tcPr>
            <w:tcW w:w="770" w:type="dxa"/>
            <w:shd w:val="clear" w:color="auto" w:fill="D9D9D9"/>
            <w:tcMar>
              <w:top w:w="60" w:type="dxa"/>
              <w:left w:w="100" w:type="dxa"/>
              <w:bottom w:w="60" w:type="dxa"/>
              <w:right w:w="100" w:type="dxa"/>
            </w:tcMar>
            <w:vAlign w:val="center"/>
          </w:tcPr>
          <w:p w14:paraId="1659AA7E" w14:textId="77777777" w:rsidR="00EA67D0" w:rsidRDefault="00C53FBD">
            <w:pPr>
              <w:jc w:val="center"/>
            </w:pPr>
            <w:r>
              <w:rPr>
                <w:b/>
                <w:bCs/>
                <w:sz w:val="18"/>
                <w:szCs w:val="18"/>
              </w:rPr>
              <w:t>Obs.</w:t>
            </w:r>
          </w:p>
        </w:tc>
        <w:tc>
          <w:tcPr>
            <w:tcW w:w="940" w:type="dxa"/>
            <w:shd w:val="clear" w:color="auto" w:fill="D9D9D9"/>
            <w:tcMar>
              <w:top w:w="60" w:type="dxa"/>
              <w:left w:w="100" w:type="dxa"/>
              <w:bottom w:w="60" w:type="dxa"/>
              <w:right w:w="100" w:type="dxa"/>
            </w:tcMar>
            <w:vAlign w:val="center"/>
          </w:tcPr>
          <w:p w14:paraId="08EE62DE" w14:textId="77777777" w:rsidR="00EA67D0" w:rsidRDefault="00C53FBD">
            <w:pPr>
              <w:jc w:val="center"/>
            </w:pPr>
            <w:r>
              <w:rPr>
                <w:b/>
                <w:bCs/>
                <w:sz w:val="18"/>
                <w:szCs w:val="18"/>
              </w:rPr>
              <w:t>Expected</w:t>
            </w:r>
          </w:p>
        </w:tc>
        <w:tc>
          <w:tcPr>
            <w:tcW w:w="1880" w:type="dxa"/>
            <w:shd w:val="clear" w:color="auto" w:fill="D9D9D9"/>
            <w:tcMar>
              <w:top w:w="60" w:type="dxa"/>
              <w:left w:w="100" w:type="dxa"/>
              <w:bottom w:w="60" w:type="dxa"/>
              <w:right w:w="100" w:type="dxa"/>
            </w:tcMar>
            <w:vAlign w:val="center"/>
          </w:tcPr>
          <w:p w14:paraId="3C538FE0" w14:textId="77777777" w:rsidR="00EA67D0" w:rsidRDefault="00C53FBD">
            <w:pPr>
              <w:jc w:val="center"/>
            </w:pPr>
            <w:r>
              <w:rPr>
                <w:b/>
                <w:bCs/>
                <w:sz w:val="18"/>
                <w:szCs w:val="18"/>
              </w:rPr>
              <w:t>HS Viol. (Rate, Excess)</w:t>
            </w:r>
          </w:p>
        </w:tc>
        <w:tc>
          <w:tcPr>
            <w:tcW w:w="1880" w:type="dxa"/>
            <w:shd w:val="clear" w:color="auto" w:fill="D9D9D9"/>
            <w:tcMar>
              <w:top w:w="60" w:type="dxa"/>
              <w:left w:w="100" w:type="dxa"/>
              <w:bottom w:w="60" w:type="dxa"/>
              <w:right w:w="100" w:type="dxa"/>
            </w:tcMar>
            <w:vAlign w:val="center"/>
          </w:tcPr>
          <w:p w14:paraId="6CC36B2D" w14:textId="77777777" w:rsidR="00EA67D0" w:rsidRDefault="00C53FBD">
            <w:pPr>
              <w:jc w:val="center"/>
            </w:pPr>
            <w:r>
              <w:rPr>
                <w:b/>
                <w:bCs/>
                <w:sz w:val="18"/>
                <w:szCs w:val="18"/>
              </w:rPr>
              <w:t>Param Viol. (Rate, Excess)</w:t>
            </w:r>
          </w:p>
        </w:tc>
        <w:tc>
          <w:tcPr>
            <w:tcW w:w="1880" w:type="dxa"/>
            <w:shd w:val="clear" w:color="auto" w:fill="D9D9D9"/>
            <w:tcMar>
              <w:top w:w="60" w:type="dxa"/>
              <w:left w:w="100" w:type="dxa"/>
              <w:bottom w:w="60" w:type="dxa"/>
              <w:right w:w="100" w:type="dxa"/>
            </w:tcMar>
            <w:vAlign w:val="center"/>
          </w:tcPr>
          <w:p w14:paraId="1FF37F48" w14:textId="77777777" w:rsidR="00EA67D0" w:rsidRDefault="00C53FBD">
            <w:pPr>
              <w:jc w:val="center"/>
            </w:pPr>
            <w:r>
              <w:rPr>
                <w:b/>
                <w:bCs/>
                <w:sz w:val="18"/>
                <w:szCs w:val="18"/>
              </w:rPr>
              <w:t>Student-t Viol. (Rate, Excess)</w:t>
            </w:r>
          </w:p>
        </w:tc>
      </w:tr>
      <w:tr w:rsidR="00EA67D0" w14:paraId="32F059AC" w14:textId="77777777">
        <w:tc>
          <w:tcPr>
            <w:tcW w:w="1960" w:type="dxa"/>
            <w:tcMar>
              <w:top w:w="60" w:type="dxa"/>
              <w:left w:w="100" w:type="dxa"/>
              <w:bottom w:w="60" w:type="dxa"/>
              <w:right w:w="100" w:type="dxa"/>
            </w:tcMar>
            <w:vAlign w:val="center"/>
          </w:tcPr>
          <w:p w14:paraId="0D831DA1" w14:textId="77777777" w:rsidR="00EA67D0" w:rsidRDefault="00C53FBD">
            <w:r>
              <w:rPr>
                <w:sz w:val="18"/>
                <w:szCs w:val="18"/>
              </w:rPr>
              <w:t>Pre-COVID (2019)</w:t>
            </w:r>
          </w:p>
        </w:tc>
        <w:tc>
          <w:tcPr>
            <w:tcW w:w="770" w:type="dxa"/>
            <w:tcMar>
              <w:top w:w="60" w:type="dxa"/>
              <w:left w:w="100" w:type="dxa"/>
              <w:bottom w:w="60" w:type="dxa"/>
              <w:right w:w="100" w:type="dxa"/>
            </w:tcMar>
            <w:vAlign w:val="center"/>
          </w:tcPr>
          <w:p w14:paraId="7A144F53" w14:textId="77777777" w:rsidR="00EA67D0" w:rsidRDefault="00C53FBD">
            <w:pPr>
              <w:jc w:val="center"/>
            </w:pPr>
            <w:r>
              <w:rPr>
                <w:sz w:val="18"/>
                <w:szCs w:val="18"/>
              </w:rPr>
              <w:t>252</w:t>
            </w:r>
          </w:p>
        </w:tc>
        <w:tc>
          <w:tcPr>
            <w:tcW w:w="940" w:type="dxa"/>
            <w:tcMar>
              <w:top w:w="60" w:type="dxa"/>
              <w:left w:w="100" w:type="dxa"/>
              <w:bottom w:w="60" w:type="dxa"/>
              <w:right w:w="100" w:type="dxa"/>
            </w:tcMar>
            <w:vAlign w:val="center"/>
          </w:tcPr>
          <w:p w14:paraId="783418F0" w14:textId="77777777" w:rsidR="00EA67D0" w:rsidRDefault="00C53FBD">
            <w:pPr>
              <w:jc w:val="center"/>
            </w:pPr>
            <w:r>
              <w:rPr>
                <w:sz w:val="18"/>
                <w:szCs w:val="18"/>
              </w:rPr>
              <w:t>2.5</w:t>
            </w:r>
          </w:p>
        </w:tc>
        <w:tc>
          <w:tcPr>
            <w:tcW w:w="1880" w:type="dxa"/>
            <w:tcMar>
              <w:top w:w="60" w:type="dxa"/>
              <w:left w:w="100" w:type="dxa"/>
              <w:bottom w:w="60" w:type="dxa"/>
              <w:right w:w="100" w:type="dxa"/>
            </w:tcMar>
            <w:vAlign w:val="center"/>
          </w:tcPr>
          <w:p w14:paraId="01AD9DB6" w14:textId="77777777" w:rsidR="00EA67D0" w:rsidRDefault="00C53FBD">
            <w:pPr>
              <w:jc w:val="center"/>
            </w:pPr>
            <w:r>
              <w:rPr>
                <w:sz w:val="18"/>
                <w:szCs w:val="18"/>
              </w:rPr>
              <w:t>1 (0.4%, −60%)</w:t>
            </w:r>
          </w:p>
        </w:tc>
        <w:tc>
          <w:tcPr>
            <w:tcW w:w="1880" w:type="dxa"/>
            <w:tcMar>
              <w:top w:w="60" w:type="dxa"/>
              <w:left w:w="100" w:type="dxa"/>
              <w:bottom w:w="60" w:type="dxa"/>
              <w:right w:w="100" w:type="dxa"/>
            </w:tcMar>
            <w:vAlign w:val="center"/>
          </w:tcPr>
          <w:p w14:paraId="7C87FF98" w14:textId="77777777" w:rsidR="00EA67D0" w:rsidRDefault="00C53FBD">
            <w:pPr>
              <w:jc w:val="center"/>
            </w:pPr>
            <w:r>
              <w:rPr>
                <w:sz w:val="18"/>
                <w:szCs w:val="18"/>
              </w:rPr>
              <w:t>4 (1.6%, +59%)</w:t>
            </w:r>
          </w:p>
        </w:tc>
        <w:tc>
          <w:tcPr>
            <w:tcW w:w="1880" w:type="dxa"/>
            <w:tcMar>
              <w:top w:w="60" w:type="dxa"/>
              <w:left w:w="100" w:type="dxa"/>
              <w:bottom w:w="60" w:type="dxa"/>
              <w:right w:w="100" w:type="dxa"/>
            </w:tcMar>
            <w:vAlign w:val="center"/>
          </w:tcPr>
          <w:p w14:paraId="08655812" w14:textId="77777777" w:rsidR="00EA67D0" w:rsidRDefault="00C53FBD">
            <w:pPr>
              <w:jc w:val="center"/>
            </w:pPr>
            <w:r>
              <w:rPr>
                <w:sz w:val="18"/>
                <w:szCs w:val="18"/>
              </w:rPr>
              <w:t>1 (0.4%, −60%)</w:t>
            </w:r>
          </w:p>
        </w:tc>
      </w:tr>
      <w:tr w:rsidR="00EA67D0" w14:paraId="591DF231" w14:textId="77777777">
        <w:tc>
          <w:tcPr>
            <w:tcW w:w="1960" w:type="dxa"/>
            <w:shd w:val="clear" w:color="auto" w:fill="F5F5F5"/>
            <w:tcMar>
              <w:top w:w="60" w:type="dxa"/>
              <w:left w:w="100" w:type="dxa"/>
              <w:bottom w:w="60" w:type="dxa"/>
              <w:right w:w="100" w:type="dxa"/>
            </w:tcMar>
            <w:vAlign w:val="center"/>
          </w:tcPr>
          <w:p w14:paraId="49ACD8A0" w14:textId="77777777" w:rsidR="00EA67D0" w:rsidRDefault="00C53FBD">
            <w:r>
              <w:rPr>
                <w:sz w:val="18"/>
                <w:szCs w:val="18"/>
              </w:rPr>
              <w:t>COVID Crisis (2020)</w:t>
            </w:r>
          </w:p>
        </w:tc>
        <w:tc>
          <w:tcPr>
            <w:tcW w:w="770" w:type="dxa"/>
            <w:shd w:val="clear" w:color="auto" w:fill="F5F5F5"/>
            <w:tcMar>
              <w:top w:w="60" w:type="dxa"/>
              <w:left w:w="100" w:type="dxa"/>
              <w:bottom w:w="60" w:type="dxa"/>
              <w:right w:w="100" w:type="dxa"/>
            </w:tcMar>
            <w:vAlign w:val="center"/>
          </w:tcPr>
          <w:p w14:paraId="06FF545C" w14:textId="77777777" w:rsidR="00EA67D0" w:rsidRDefault="00C53FBD">
            <w:pPr>
              <w:jc w:val="center"/>
            </w:pPr>
            <w:r>
              <w:rPr>
                <w:sz w:val="18"/>
                <w:szCs w:val="18"/>
              </w:rPr>
              <w:t>253</w:t>
            </w:r>
          </w:p>
        </w:tc>
        <w:tc>
          <w:tcPr>
            <w:tcW w:w="940" w:type="dxa"/>
            <w:shd w:val="clear" w:color="auto" w:fill="F5F5F5"/>
            <w:tcMar>
              <w:top w:w="60" w:type="dxa"/>
              <w:left w:w="100" w:type="dxa"/>
              <w:bottom w:w="60" w:type="dxa"/>
              <w:right w:w="100" w:type="dxa"/>
            </w:tcMar>
            <w:vAlign w:val="center"/>
          </w:tcPr>
          <w:p w14:paraId="0C5405EC" w14:textId="77777777" w:rsidR="00EA67D0" w:rsidRDefault="00C53FBD">
            <w:pPr>
              <w:jc w:val="center"/>
            </w:pPr>
            <w:r>
              <w:rPr>
                <w:sz w:val="18"/>
                <w:szCs w:val="18"/>
              </w:rPr>
              <w:t>2.5</w:t>
            </w:r>
          </w:p>
        </w:tc>
        <w:tc>
          <w:tcPr>
            <w:tcW w:w="1880" w:type="dxa"/>
            <w:shd w:val="clear" w:color="auto" w:fill="F5F5F5"/>
            <w:tcMar>
              <w:top w:w="60" w:type="dxa"/>
              <w:left w:w="100" w:type="dxa"/>
              <w:bottom w:w="60" w:type="dxa"/>
              <w:right w:w="100" w:type="dxa"/>
            </w:tcMar>
            <w:vAlign w:val="center"/>
          </w:tcPr>
          <w:p w14:paraId="0E73E091" w14:textId="77777777" w:rsidR="00EA67D0" w:rsidRDefault="00C53FBD">
            <w:pPr>
              <w:jc w:val="center"/>
            </w:pPr>
            <w:r>
              <w:rPr>
                <w:sz w:val="18"/>
                <w:szCs w:val="18"/>
              </w:rPr>
              <w:t>8 (3.2%, +216%)</w:t>
            </w:r>
          </w:p>
        </w:tc>
        <w:tc>
          <w:tcPr>
            <w:tcW w:w="1880" w:type="dxa"/>
            <w:shd w:val="clear" w:color="auto" w:fill="F5F5F5"/>
            <w:tcMar>
              <w:top w:w="60" w:type="dxa"/>
              <w:left w:w="100" w:type="dxa"/>
              <w:bottom w:w="60" w:type="dxa"/>
              <w:right w:w="100" w:type="dxa"/>
            </w:tcMar>
            <w:vAlign w:val="center"/>
          </w:tcPr>
          <w:p w14:paraId="0E7AC623" w14:textId="77777777" w:rsidR="00EA67D0" w:rsidRDefault="00C53FBD">
            <w:pPr>
              <w:jc w:val="center"/>
            </w:pPr>
            <w:r>
              <w:rPr>
                <w:sz w:val="18"/>
                <w:szCs w:val="18"/>
              </w:rPr>
              <w:t>14 (5.5%, +453%)</w:t>
            </w:r>
          </w:p>
        </w:tc>
        <w:tc>
          <w:tcPr>
            <w:tcW w:w="1880" w:type="dxa"/>
            <w:shd w:val="clear" w:color="auto" w:fill="F5F5F5"/>
            <w:tcMar>
              <w:top w:w="60" w:type="dxa"/>
              <w:left w:w="100" w:type="dxa"/>
              <w:bottom w:w="60" w:type="dxa"/>
              <w:right w:w="100" w:type="dxa"/>
            </w:tcMar>
            <w:vAlign w:val="center"/>
          </w:tcPr>
          <w:p w14:paraId="170FEDAE" w14:textId="77777777" w:rsidR="00EA67D0" w:rsidRDefault="00C53FBD">
            <w:pPr>
              <w:jc w:val="center"/>
            </w:pPr>
            <w:r>
              <w:rPr>
                <w:sz w:val="18"/>
                <w:szCs w:val="18"/>
              </w:rPr>
              <w:t>8 (3.2%, +216%)</w:t>
            </w:r>
          </w:p>
        </w:tc>
      </w:tr>
      <w:tr w:rsidR="00EA67D0" w14:paraId="558AAED9" w14:textId="77777777">
        <w:tc>
          <w:tcPr>
            <w:tcW w:w="1960" w:type="dxa"/>
            <w:tcMar>
              <w:top w:w="60" w:type="dxa"/>
              <w:left w:w="100" w:type="dxa"/>
              <w:bottom w:w="60" w:type="dxa"/>
              <w:right w:w="100" w:type="dxa"/>
            </w:tcMar>
            <w:vAlign w:val="center"/>
          </w:tcPr>
          <w:p w14:paraId="6CE134AA" w14:textId="77777777" w:rsidR="00EA67D0" w:rsidRDefault="00C53FBD">
            <w:r>
              <w:rPr>
                <w:sz w:val="18"/>
                <w:szCs w:val="18"/>
              </w:rPr>
              <w:t>Post-COVID Bull (2021)</w:t>
            </w:r>
          </w:p>
        </w:tc>
        <w:tc>
          <w:tcPr>
            <w:tcW w:w="770" w:type="dxa"/>
            <w:tcMar>
              <w:top w:w="60" w:type="dxa"/>
              <w:left w:w="100" w:type="dxa"/>
              <w:bottom w:w="60" w:type="dxa"/>
              <w:right w:w="100" w:type="dxa"/>
            </w:tcMar>
            <w:vAlign w:val="center"/>
          </w:tcPr>
          <w:p w14:paraId="16AE490F" w14:textId="77777777" w:rsidR="00EA67D0" w:rsidRDefault="00C53FBD">
            <w:pPr>
              <w:jc w:val="center"/>
            </w:pPr>
            <w:r>
              <w:rPr>
                <w:sz w:val="18"/>
                <w:szCs w:val="18"/>
              </w:rPr>
              <w:t>252</w:t>
            </w:r>
          </w:p>
        </w:tc>
        <w:tc>
          <w:tcPr>
            <w:tcW w:w="940" w:type="dxa"/>
            <w:tcMar>
              <w:top w:w="60" w:type="dxa"/>
              <w:left w:w="100" w:type="dxa"/>
              <w:bottom w:w="60" w:type="dxa"/>
              <w:right w:w="100" w:type="dxa"/>
            </w:tcMar>
            <w:vAlign w:val="center"/>
          </w:tcPr>
          <w:p w14:paraId="37357C1F" w14:textId="77777777" w:rsidR="00EA67D0" w:rsidRDefault="00C53FBD">
            <w:pPr>
              <w:jc w:val="center"/>
            </w:pPr>
            <w:r>
              <w:rPr>
                <w:sz w:val="18"/>
                <w:szCs w:val="18"/>
              </w:rPr>
              <w:t>2.5</w:t>
            </w:r>
          </w:p>
        </w:tc>
        <w:tc>
          <w:tcPr>
            <w:tcW w:w="1880" w:type="dxa"/>
            <w:tcMar>
              <w:top w:w="60" w:type="dxa"/>
              <w:left w:w="100" w:type="dxa"/>
              <w:bottom w:w="60" w:type="dxa"/>
              <w:right w:w="100" w:type="dxa"/>
            </w:tcMar>
            <w:vAlign w:val="center"/>
          </w:tcPr>
          <w:p w14:paraId="19E78988" w14:textId="77777777" w:rsidR="00EA67D0" w:rsidRDefault="00C53FBD">
            <w:pPr>
              <w:jc w:val="center"/>
            </w:pPr>
            <w:r>
              <w:rPr>
                <w:sz w:val="18"/>
                <w:szCs w:val="18"/>
              </w:rPr>
              <w:t>1 (0.4%, −60%)</w:t>
            </w:r>
          </w:p>
        </w:tc>
        <w:tc>
          <w:tcPr>
            <w:tcW w:w="1880" w:type="dxa"/>
            <w:tcMar>
              <w:top w:w="60" w:type="dxa"/>
              <w:left w:w="100" w:type="dxa"/>
              <w:bottom w:w="60" w:type="dxa"/>
              <w:right w:w="100" w:type="dxa"/>
            </w:tcMar>
            <w:vAlign w:val="center"/>
          </w:tcPr>
          <w:p w14:paraId="6293D8D5" w14:textId="77777777" w:rsidR="00EA67D0" w:rsidRDefault="00C53FBD">
            <w:pPr>
              <w:jc w:val="center"/>
            </w:pPr>
            <w:r>
              <w:rPr>
                <w:sz w:val="18"/>
                <w:szCs w:val="18"/>
              </w:rPr>
              <w:t>3 (1.2%, +19%)</w:t>
            </w:r>
          </w:p>
        </w:tc>
        <w:tc>
          <w:tcPr>
            <w:tcW w:w="1880" w:type="dxa"/>
            <w:tcMar>
              <w:top w:w="60" w:type="dxa"/>
              <w:left w:w="100" w:type="dxa"/>
              <w:bottom w:w="60" w:type="dxa"/>
              <w:right w:w="100" w:type="dxa"/>
            </w:tcMar>
            <w:vAlign w:val="center"/>
          </w:tcPr>
          <w:p w14:paraId="5CF24695" w14:textId="77777777" w:rsidR="00EA67D0" w:rsidRDefault="00C53FBD">
            <w:pPr>
              <w:jc w:val="center"/>
            </w:pPr>
            <w:r>
              <w:rPr>
                <w:sz w:val="18"/>
                <w:szCs w:val="18"/>
              </w:rPr>
              <w:t>1 (0.4%, −60%)</w:t>
            </w:r>
          </w:p>
        </w:tc>
      </w:tr>
      <w:tr w:rsidR="00EA67D0" w14:paraId="3BE4791D" w14:textId="77777777">
        <w:tc>
          <w:tcPr>
            <w:tcW w:w="1960" w:type="dxa"/>
            <w:shd w:val="clear" w:color="auto" w:fill="F5F5F5"/>
            <w:tcMar>
              <w:top w:w="60" w:type="dxa"/>
              <w:left w:w="100" w:type="dxa"/>
              <w:bottom w:w="60" w:type="dxa"/>
              <w:right w:w="100" w:type="dxa"/>
            </w:tcMar>
            <w:vAlign w:val="center"/>
          </w:tcPr>
          <w:p w14:paraId="4462AA2D" w14:textId="77777777" w:rsidR="00EA67D0" w:rsidRDefault="00C53FBD">
            <w:r>
              <w:rPr>
                <w:sz w:val="18"/>
                <w:szCs w:val="18"/>
              </w:rPr>
              <w:t>Rate Hike Bear (2022)</w:t>
            </w:r>
          </w:p>
        </w:tc>
        <w:tc>
          <w:tcPr>
            <w:tcW w:w="770" w:type="dxa"/>
            <w:shd w:val="clear" w:color="auto" w:fill="F5F5F5"/>
            <w:tcMar>
              <w:top w:w="60" w:type="dxa"/>
              <w:left w:w="100" w:type="dxa"/>
              <w:bottom w:w="60" w:type="dxa"/>
              <w:right w:w="100" w:type="dxa"/>
            </w:tcMar>
            <w:vAlign w:val="center"/>
          </w:tcPr>
          <w:p w14:paraId="1827570B" w14:textId="77777777" w:rsidR="00EA67D0" w:rsidRDefault="00C53FBD">
            <w:pPr>
              <w:jc w:val="center"/>
            </w:pPr>
            <w:r>
              <w:rPr>
                <w:sz w:val="18"/>
                <w:szCs w:val="18"/>
              </w:rPr>
              <w:t>251</w:t>
            </w:r>
          </w:p>
        </w:tc>
        <w:tc>
          <w:tcPr>
            <w:tcW w:w="940" w:type="dxa"/>
            <w:shd w:val="clear" w:color="auto" w:fill="F5F5F5"/>
            <w:tcMar>
              <w:top w:w="60" w:type="dxa"/>
              <w:left w:w="100" w:type="dxa"/>
              <w:bottom w:w="60" w:type="dxa"/>
              <w:right w:w="100" w:type="dxa"/>
            </w:tcMar>
            <w:vAlign w:val="center"/>
          </w:tcPr>
          <w:p w14:paraId="3842FA8B" w14:textId="77777777" w:rsidR="00EA67D0" w:rsidRDefault="00C53FBD">
            <w:pPr>
              <w:jc w:val="center"/>
            </w:pPr>
            <w:r>
              <w:rPr>
                <w:sz w:val="18"/>
                <w:szCs w:val="18"/>
              </w:rPr>
              <w:t>2.5</w:t>
            </w:r>
          </w:p>
        </w:tc>
        <w:tc>
          <w:tcPr>
            <w:tcW w:w="1880" w:type="dxa"/>
            <w:shd w:val="clear" w:color="auto" w:fill="F5F5F5"/>
            <w:tcMar>
              <w:top w:w="60" w:type="dxa"/>
              <w:left w:w="100" w:type="dxa"/>
              <w:bottom w:w="60" w:type="dxa"/>
              <w:right w:w="100" w:type="dxa"/>
            </w:tcMar>
            <w:vAlign w:val="center"/>
          </w:tcPr>
          <w:p w14:paraId="7C926D26" w14:textId="77777777" w:rsidR="00EA67D0" w:rsidRDefault="00C53FBD">
            <w:pPr>
              <w:jc w:val="center"/>
            </w:pPr>
            <w:r>
              <w:rPr>
                <w:sz w:val="18"/>
                <w:szCs w:val="18"/>
              </w:rPr>
              <w:t>10 (4.0%, +298%)</w:t>
            </w:r>
          </w:p>
        </w:tc>
        <w:tc>
          <w:tcPr>
            <w:tcW w:w="1880" w:type="dxa"/>
            <w:shd w:val="clear" w:color="auto" w:fill="F5F5F5"/>
            <w:tcMar>
              <w:top w:w="60" w:type="dxa"/>
              <w:left w:w="100" w:type="dxa"/>
              <w:bottom w:w="60" w:type="dxa"/>
              <w:right w:w="100" w:type="dxa"/>
            </w:tcMar>
            <w:vAlign w:val="center"/>
          </w:tcPr>
          <w:p w14:paraId="18725606" w14:textId="77777777" w:rsidR="00EA67D0" w:rsidRDefault="00C53FBD">
            <w:pPr>
              <w:jc w:val="center"/>
            </w:pPr>
            <w:r>
              <w:rPr>
                <w:sz w:val="18"/>
                <w:szCs w:val="18"/>
              </w:rPr>
              <w:t>17 (6.8%, +577%)</w:t>
            </w:r>
          </w:p>
        </w:tc>
        <w:tc>
          <w:tcPr>
            <w:tcW w:w="1880" w:type="dxa"/>
            <w:shd w:val="clear" w:color="auto" w:fill="F5F5F5"/>
            <w:tcMar>
              <w:top w:w="60" w:type="dxa"/>
              <w:left w:w="100" w:type="dxa"/>
              <w:bottom w:w="60" w:type="dxa"/>
              <w:right w:w="100" w:type="dxa"/>
            </w:tcMar>
            <w:vAlign w:val="center"/>
          </w:tcPr>
          <w:p w14:paraId="755AEA89" w14:textId="77777777" w:rsidR="00EA67D0" w:rsidRDefault="00C53FBD">
            <w:pPr>
              <w:jc w:val="center"/>
            </w:pPr>
            <w:r>
              <w:rPr>
                <w:sz w:val="18"/>
                <w:szCs w:val="18"/>
              </w:rPr>
              <w:t>13 (5.2%, +418%)</w:t>
            </w:r>
          </w:p>
        </w:tc>
      </w:tr>
      <w:tr w:rsidR="00EA67D0" w14:paraId="28722AA6" w14:textId="77777777">
        <w:tc>
          <w:tcPr>
            <w:tcW w:w="1960" w:type="dxa"/>
            <w:tcMar>
              <w:top w:w="60" w:type="dxa"/>
              <w:left w:w="100" w:type="dxa"/>
              <w:bottom w:w="60" w:type="dxa"/>
              <w:right w:w="100" w:type="dxa"/>
            </w:tcMar>
            <w:vAlign w:val="center"/>
          </w:tcPr>
          <w:p w14:paraId="47072460" w14:textId="77777777" w:rsidR="00EA67D0" w:rsidRDefault="00C53FBD">
            <w:r>
              <w:rPr>
                <w:sz w:val="18"/>
                <w:szCs w:val="18"/>
              </w:rPr>
              <w:t>Recovery (2023–2024)</w:t>
            </w:r>
          </w:p>
        </w:tc>
        <w:tc>
          <w:tcPr>
            <w:tcW w:w="770" w:type="dxa"/>
            <w:tcMar>
              <w:top w:w="60" w:type="dxa"/>
              <w:left w:w="100" w:type="dxa"/>
              <w:bottom w:w="60" w:type="dxa"/>
              <w:right w:w="100" w:type="dxa"/>
            </w:tcMar>
            <w:vAlign w:val="center"/>
          </w:tcPr>
          <w:p w14:paraId="780B64B7" w14:textId="77777777" w:rsidR="00EA67D0" w:rsidRDefault="00C53FBD">
            <w:pPr>
              <w:jc w:val="center"/>
            </w:pPr>
            <w:r>
              <w:rPr>
                <w:sz w:val="18"/>
                <w:szCs w:val="18"/>
              </w:rPr>
              <w:t>501</w:t>
            </w:r>
          </w:p>
        </w:tc>
        <w:tc>
          <w:tcPr>
            <w:tcW w:w="940" w:type="dxa"/>
            <w:tcMar>
              <w:top w:w="60" w:type="dxa"/>
              <w:left w:w="100" w:type="dxa"/>
              <w:bottom w:w="60" w:type="dxa"/>
              <w:right w:w="100" w:type="dxa"/>
            </w:tcMar>
            <w:vAlign w:val="center"/>
          </w:tcPr>
          <w:p w14:paraId="6823CB9F" w14:textId="77777777" w:rsidR="00EA67D0" w:rsidRDefault="00C53FBD">
            <w:pPr>
              <w:jc w:val="center"/>
            </w:pPr>
            <w:r>
              <w:rPr>
                <w:sz w:val="18"/>
                <w:szCs w:val="18"/>
              </w:rPr>
              <w:t>5.0</w:t>
            </w:r>
          </w:p>
        </w:tc>
        <w:tc>
          <w:tcPr>
            <w:tcW w:w="1880" w:type="dxa"/>
            <w:tcMar>
              <w:top w:w="60" w:type="dxa"/>
              <w:left w:w="100" w:type="dxa"/>
              <w:bottom w:w="60" w:type="dxa"/>
              <w:right w:w="100" w:type="dxa"/>
            </w:tcMar>
            <w:vAlign w:val="center"/>
          </w:tcPr>
          <w:p w14:paraId="40477871" w14:textId="77777777" w:rsidR="00EA67D0" w:rsidRDefault="00C53FBD">
            <w:pPr>
              <w:jc w:val="center"/>
            </w:pPr>
            <w:r>
              <w:rPr>
                <w:sz w:val="18"/>
                <w:szCs w:val="18"/>
              </w:rPr>
              <w:t>6 (1.2%, +20%)</w:t>
            </w:r>
          </w:p>
        </w:tc>
        <w:tc>
          <w:tcPr>
            <w:tcW w:w="1880" w:type="dxa"/>
            <w:tcMar>
              <w:top w:w="60" w:type="dxa"/>
              <w:left w:w="100" w:type="dxa"/>
              <w:bottom w:w="60" w:type="dxa"/>
              <w:right w:w="100" w:type="dxa"/>
            </w:tcMar>
            <w:vAlign w:val="center"/>
          </w:tcPr>
          <w:p w14:paraId="10E44D30" w14:textId="77777777" w:rsidR="00EA67D0" w:rsidRDefault="00C53FBD">
            <w:pPr>
              <w:jc w:val="center"/>
            </w:pPr>
            <w:r>
              <w:rPr>
                <w:sz w:val="18"/>
                <w:szCs w:val="18"/>
              </w:rPr>
              <w:t>6 (1.2%, +20%)</w:t>
            </w:r>
          </w:p>
        </w:tc>
        <w:tc>
          <w:tcPr>
            <w:tcW w:w="1880" w:type="dxa"/>
            <w:tcMar>
              <w:top w:w="60" w:type="dxa"/>
              <w:left w:w="100" w:type="dxa"/>
              <w:bottom w:w="60" w:type="dxa"/>
              <w:right w:w="100" w:type="dxa"/>
            </w:tcMar>
            <w:vAlign w:val="center"/>
          </w:tcPr>
          <w:p w14:paraId="2171DE84" w14:textId="77777777" w:rsidR="00EA67D0" w:rsidRDefault="00C53FBD">
            <w:pPr>
              <w:jc w:val="center"/>
            </w:pPr>
            <w:r>
              <w:rPr>
                <w:sz w:val="18"/>
                <w:szCs w:val="18"/>
              </w:rPr>
              <w:t>5 (1.0%, −0%)</w:t>
            </w:r>
          </w:p>
        </w:tc>
      </w:tr>
    </w:tbl>
    <w:p w14:paraId="3EDADABA" w14:textId="77777777" w:rsidR="00EA67D0" w:rsidRDefault="00C53FBD">
      <w:pPr>
        <w:spacing w:before="80" w:after="240"/>
      </w:pPr>
      <w:r>
        <w:rPr>
          <w:i/>
          <w:iCs/>
          <w:sz w:val="20"/>
          <w:szCs w:val="20"/>
        </w:rPr>
        <w:t>Note: HS = Historical Simulation; Param = Parametric (Normal). Excess (%) = (Actual − Expected) / Expected × 100. Violation counts across all five subperiods sum exactly to the full out-of-sample totals in Table 4 (HS: 1+8+1+10+6=26; Param: 4+14+3+17+6=44; Student-t: 1+8+1+13+5=28).</w:t>
      </w:r>
    </w:p>
    <w:p w14:paraId="0CC8FF34" w14:textId="74EB7A9C" w:rsidR="00863965" w:rsidRDefault="00863965" w:rsidP="00863965">
      <w:pPr>
        <w:spacing w:after="200" w:line="276" w:lineRule="auto"/>
        <w:jc w:val="both"/>
      </w:pPr>
      <w:r>
        <w:t>Here’s the real surprise: the 2022 Rate Hike Bear market produces even bigger proportional miss rates for all three models—up to 577% excess for Parametric, 418% for Student-t, and 298% for Historical Simulation. This is weird at first, since COVID seems, by almost any measure (see Table 1), like the more dramatic shock. But there’s a catch: COVID hit fast and hard, so a 250-day window filled up quickly with high-volatility days, letting models adapt. The 2022 cycle was drawn-out; much of the 250-day window kept including low-volatility observations from the 2021 bull run. So, the models kept trailing behind, leaning on stale calm data, and struggled to get on top of the new, choppier regime.</w:t>
      </w:r>
      <w:r w:rsidR="005039ED">
        <w:t xml:space="preserve"> </w:t>
      </w:r>
      <w:r>
        <w:t>For 2021 (the bull run) and the 2023–2024 “recovery,” all three models report violation rates at or below expectations, in line with genuinely quiet markets—not just models getting “lucky” because they were slow to react.</w:t>
      </w:r>
    </w:p>
    <w:p w14:paraId="6D05E2CA" w14:textId="6A9F8430" w:rsidR="00EA67D0" w:rsidRDefault="00863965" w:rsidP="00863965">
      <w:pPr>
        <w:spacing w:after="200" w:line="276" w:lineRule="auto"/>
        <w:jc w:val="both"/>
      </w:pPr>
      <w:r>
        <w:t>Overall, you see that these rolling, day-by-day VaR forecasts give a more demanding, honest read on model performance—and almost all the models, even the flexible ones, struggle to keep up with fast-moving or persistent regime changes. Static, retrospective tests just can’t spot those blind spots</w:t>
      </w:r>
      <w:r w:rsidR="00C53FBD">
        <w:t>.</w:t>
      </w:r>
    </w:p>
    <w:p w14:paraId="15DA5BB1" w14:textId="77777777" w:rsidR="00EA67D0" w:rsidRDefault="00C53FBD">
      <w:pPr>
        <w:pStyle w:val="Heading1"/>
      </w:pPr>
      <w:r>
        <w:lastRenderedPageBreak/>
        <w:t>7. SR 11-7 Implications and Practical Guidance</w:t>
      </w:r>
    </w:p>
    <w:p w14:paraId="74FC55F6" w14:textId="77777777" w:rsidR="00EA67D0" w:rsidRDefault="00C53FBD">
      <w:pPr>
        <w:pStyle w:val="Heading2"/>
      </w:pPr>
      <w:r>
        <w:t>7.1 Model Validation Requirements Under SR 11-7 and SR 26-2</w:t>
      </w:r>
    </w:p>
    <w:p w14:paraId="64245323" w14:textId="77777777" w:rsidR="00600D13" w:rsidRDefault="00600D13" w:rsidP="00600D13">
      <w:pPr>
        <w:spacing w:after="200" w:line="276" w:lineRule="auto"/>
        <w:jc w:val="both"/>
      </w:pPr>
      <w:r>
        <w:t>SR 11-7 tells validators to really dig into model performance, not just tick boxes. It wants a clear measure of how well a model works — and just as important, where it doesn’t. The results from Section 6 go straight at that, and they do more than just hand down a simple pass/fail grade. You walk away with some specifics.</w:t>
      </w:r>
    </w:p>
    <w:p w14:paraId="439845DB" w14:textId="14C29740" w:rsidR="00600D13" w:rsidRDefault="00600D13" w:rsidP="005039ED">
      <w:pPr>
        <w:spacing w:after="200" w:line="276" w:lineRule="auto"/>
        <w:jc w:val="both"/>
      </w:pPr>
      <w:r>
        <w:t xml:space="preserve">First, Parametric Normal VaR has some tough limitations at the 99% confidence level: its violation rate is almost three times what theory predicts, and its LR </w:t>
      </w:r>
      <w:r w:rsidR="00A778A0">
        <w:t>statistics are</w:t>
      </w:r>
      <w:r>
        <w:t xml:space="preserve"> four to six times higher than the alternatives. It’s also worse when the market’s stressed, not just in normal periods. That has to be in the validation record.</w:t>
      </w:r>
    </w:p>
    <w:p w14:paraId="43BCAB04" w14:textId="5FA98BF1" w:rsidR="00600D13" w:rsidRDefault="00600D13" w:rsidP="00600D13">
      <w:pPr>
        <w:spacing w:after="200" w:line="276" w:lineRule="auto"/>
        <w:jc w:val="both"/>
      </w:pPr>
      <w:r>
        <w:t>But it’s not as simple as just swapping Normal for Historical Simulation or Student-t. Both alternatives still fall short on unconditional coverage at 99% when you run a walk-forward backtest. And, if you look at the independence piece using the Christoffersen test, every model — even Student-t at 95</w:t>
      </w:r>
      <w:r w:rsidR="00A778A0">
        <w:t>%,</w:t>
      </w:r>
      <w:r>
        <w:t xml:space="preserve"> fails somewhere. So, “swap out Normal and you’re safe” misses a big part of the problem.</w:t>
      </w:r>
    </w:p>
    <w:p w14:paraId="7C70F8C9" w14:textId="77777777" w:rsidR="00600D13" w:rsidRDefault="00600D13" w:rsidP="00600D13">
      <w:pPr>
        <w:spacing w:after="200" w:line="276" w:lineRule="auto"/>
        <w:jc w:val="both"/>
      </w:pPr>
      <w:r>
        <w:t>Third, the kind of subperiod backtesting in Table 7 should be standard practice. Section 6.5’s main point — that the market’s 2022 regime shift showed even worse relative clustering than the COVID crisis — shows how much you’d miss if you only ran an aggregate, full-sample test. This is exactly the sort of regime-specific failure SR 11-7 wants to see flagged.</w:t>
      </w:r>
    </w:p>
    <w:p w14:paraId="0374FF6C" w14:textId="3D8EC907" w:rsidR="00600D13" w:rsidRDefault="00600D13" w:rsidP="00600D13">
      <w:pPr>
        <w:spacing w:after="200" w:line="276" w:lineRule="auto"/>
        <w:jc w:val="both"/>
      </w:pPr>
      <w:r>
        <w:t xml:space="preserve">Fourth, the Basel Traffic Light test (Table 6) says all three models land in the </w:t>
      </w:r>
      <w:r w:rsidR="00A778A0">
        <w:t>yellow</w:t>
      </w:r>
      <w:r>
        <w:t xml:space="preserve"> zone for the most recent 250 days, even though it wasn’t an especially wild year. For any bank still relying on one of these models — with no regime-detection or volatility overlay — that’s a real concern right now, not just a historical footnote.</w:t>
      </w:r>
    </w:p>
    <w:p w14:paraId="4C7802EA" w14:textId="015080B2" w:rsidR="00EA67D0" w:rsidRDefault="00600D13" w:rsidP="00600D13">
      <w:pPr>
        <w:spacing w:after="200" w:line="276" w:lineRule="auto"/>
        <w:jc w:val="both"/>
      </w:pPr>
      <w:r>
        <w:t>SR 26-2 still expects strong independent validation and ongoing checking — it just wants the amount of effort to scale to the model’s materiality and the bank’s risks. For a VaR model that feeds straight into capital, you can bet that still means thorough documentation and backtesting, just as before. Maybe the paperwork is more proportional for simpler or less important models now, but for core capital models, all the key findings still need to be front and center. The requirement to chase down and document violation clustering isn’t going away</w:t>
      </w:r>
      <w:r w:rsidR="00C53FBD">
        <w:t>.</w:t>
      </w:r>
    </w:p>
    <w:p w14:paraId="3314AF0A" w14:textId="77777777" w:rsidR="00EA67D0" w:rsidRDefault="00C53FBD">
      <w:pPr>
        <w:pStyle w:val="Heading2"/>
      </w:pPr>
      <w:r>
        <w:t>7.2 Toward AI-Augmented VaR Systems</w:t>
      </w:r>
    </w:p>
    <w:p w14:paraId="5923A313" w14:textId="0EFB54F5" w:rsidR="004B3ED9" w:rsidRDefault="004B3ED9" w:rsidP="004B3ED9">
      <w:pPr>
        <w:spacing w:after="200" w:line="276" w:lineRule="auto"/>
        <w:jc w:val="both"/>
      </w:pPr>
      <w:r>
        <w:t xml:space="preserve">Section 6.5’s finding is </w:t>
      </w:r>
      <w:r w:rsidR="00A778A0">
        <w:t>pointed</w:t>
      </w:r>
      <w:r>
        <w:t xml:space="preserve">: slow, ongoing regime changes are tougher on a fixed 250-day estimator than sudden shocks. All three models tested here use a fixed-length window, so they’re a step behind when a regime shifts — there’s nothing built in to notice a change until it’s already almost done. The Korvane ML-LiqVaR framework (Neupane, forthcoming) is designed to plug that gap. It uses a GARCH-Markov Switching piece to spot changes early, an XGBoost layer to </w:t>
      </w:r>
      <w:r>
        <w:lastRenderedPageBreak/>
        <w:t xml:space="preserve">pick up on nonlinear links between macro variables and the actual swings you see, and an LSTM to capture how violations tend to bunch up. Validators can break down each forecast with SHAP explainability — so it’s not a black box, which SR 11-7 and SR 26-2 both </w:t>
      </w:r>
      <w:r w:rsidR="00A778A0">
        <w:t>demands</w:t>
      </w:r>
      <w:r>
        <w:t>.</w:t>
      </w:r>
    </w:p>
    <w:p w14:paraId="7F0D7161" w14:textId="4DBD5B24" w:rsidR="00EA67D0" w:rsidRDefault="004B3ED9" w:rsidP="004B3ED9">
      <w:pPr>
        <w:spacing w:after="200" w:line="276" w:lineRule="auto"/>
        <w:jc w:val="both"/>
      </w:pPr>
      <w:r>
        <w:t xml:space="preserve">But more complexity doesn’t get you off the hook for validation. If anything, the bar goes up. The standard three-test framework here — Kupiec, Christoffersen, Basel Traffic Light — under a real walk-forward design (not some “in-sample” trick) is just the starting point. Any new regime-aware model out of the Korvane program gets checked first for whether it </w:t>
      </w:r>
      <w:r w:rsidR="00A778A0">
        <w:t>closes</w:t>
      </w:r>
      <w:r>
        <w:t xml:space="preserve"> the independence issue in Table 5, and second for whether it dulls the regime transition sensitivity in Table 7. Those are the real gaps, not just vague “not fat-tailed enough” complaints.</w:t>
      </w:r>
    </w:p>
    <w:p w14:paraId="41C3976A" w14:textId="77777777" w:rsidR="00EA67D0" w:rsidRDefault="00C53FBD">
      <w:pPr>
        <w:pStyle w:val="Heading1"/>
      </w:pPr>
      <w:r>
        <w:t>8. Conclusion</w:t>
      </w:r>
    </w:p>
    <w:p w14:paraId="6792D951" w14:textId="38418D85" w:rsidR="00213606" w:rsidRDefault="00213606" w:rsidP="00206846">
      <w:pPr>
        <w:spacing w:after="200" w:line="276" w:lineRule="auto"/>
        <w:jc w:val="both"/>
      </w:pPr>
      <w:r>
        <w:t>This study backtested three popular VaR methods — Historical Simulation, Parametric Normal, and Student-t — on S&amp;P 500 daily returns from 2018 to 2024. The design was a genuine walk-forward, with three tests: Kupiec, Christoffersen, and Basel’s Traffic Light. Here’s what stands out:</w:t>
      </w:r>
    </w:p>
    <w:p w14:paraId="07A7D3C4" w14:textId="7CA1BA3A" w:rsidR="00213606" w:rsidRDefault="00213606" w:rsidP="00213606">
      <w:pPr>
        <w:spacing w:after="200" w:line="276" w:lineRule="auto"/>
        <w:jc w:val="both"/>
      </w:pPr>
      <w:r>
        <w:t>1. All three models fail unconditional coverage at 99%, not just the Parametric Normal — though Normal’s the worst, with 44 violations when 15 were expected (LR = 36.92, p &lt; 0.0001). Historical Simulation had 26 (LR = 6.55), Student-t had 28 (LR = 8.91). At 95%, everyone passes. So, the trouble is at the extremes, where distributional assumptions matter most.</w:t>
      </w:r>
    </w:p>
    <w:p w14:paraId="11111E15" w14:textId="77777777" w:rsidR="00213606" w:rsidRDefault="00213606" w:rsidP="00213606">
      <w:pPr>
        <w:spacing w:after="200" w:line="276" w:lineRule="auto"/>
        <w:jc w:val="both"/>
      </w:pPr>
      <w:r>
        <w:t>2. Violation clustering is everywhere. Every model fails Christoffersen independence at 95%; only Student-t passes at 99%, and even that’s not enough, because its joint conditional coverage is still rejected. Passing one test doesn’t mean you’ve passed the other. A static, full-sample test can easily hide these gaps.</w:t>
      </w:r>
    </w:p>
    <w:p w14:paraId="35012798" w14:textId="60A96480" w:rsidR="00213606" w:rsidRDefault="00213606" w:rsidP="00213606">
      <w:pPr>
        <w:spacing w:after="200" w:line="276" w:lineRule="auto"/>
        <w:jc w:val="both"/>
      </w:pPr>
      <w:r>
        <w:t xml:space="preserve">3. When you break it up by subperiod, the </w:t>
      </w:r>
      <w:r w:rsidR="00A778A0">
        <w:t>slow burning</w:t>
      </w:r>
      <w:r>
        <w:t xml:space="preserve"> 2022 bear market saw more extra violations, model for model, than the sharp COVID crash. That’s surprising, given COVID was wilder by old-school metrics. The reason: fixed windows absorb shocks quickly, but chase regime shifts for much longer.</w:t>
      </w:r>
    </w:p>
    <w:p w14:paraId="5100D3FA" w14:textId="77777777" w:rsidR="00213606" w:rsidRDefault="00213606" w:rsidP="00213606">
      <w:pPr>
        <w:spacing w:after="200" w:line="276" w:lineRule="auto"/>
        <w:jc w:val="both"/>
      </w:pPr>
      <w:r>
        <w:t>4. Looking at just the latest 250 days — 2024, which wasn’t abnormally volatile — none of the models make it into Basel’s Green zone. That’s not an academic finding; it matters for any shop still using these specs with no overlay.</w:t>
      </w:r>
    </w:p>
    <w:p w14:paraId="14E55526" w14:textId="7A2C234E" w:rsidR="00213606" w:rsidRDefault="00213606" w:rsidP="00213606">
      <w:pPr>
        <w:spacing w:after="200" w:line="276" w:lineRule="auto"/>
        <w:jc w:val="both"/>
      </w:pPr>
      <w:r>
        <w:t>5.</w:t>
      </w:r>
      <w:r w:rsidR="004B551A">
        <w:t xml:space="preserve"> T</w:t>
      </w:r>
      <w:r w:rsidR="004D2CCE" w:rsidRPr="004D2CCE">
        <w:t>hese findings collectively motivate a specific, rather than generic, direction for model improvement: the failure mode common to all three models is not merely "insufficiently fat-tailed" but structurally an inability to detect a regime transition before it has substantially entered a fixed estimation window. I take up that specific gap directly in the next paper of this series, which introduces ML-LiqVaR, a regime-aware, machine-learning-augmented VaR model; the walk-forward, three-test methodology established here is intended to serve as its validation baseline</w:t>
      </w:r>
      <w:r>
        <w:t>.</w:t>
      </w:r>
    </w:p>
    <w:p w14:paraId="23C181D6" w14:textId="0BEFAEDC" w:rsidR="0032039D" w:rsidRDefault="00213606" w:rsidP="00213606">
      <w:pPr>
        <w:spacing w:after="200" w:line="276" w:lineRule="auto"/>
        <w:jc w:val="both"/>
      </w:pPr>
      <w:r>
        <w:lastRenderedPageBreak/>
        <w:t xml:space="preserve">One last point: How </w:t>
      </w:r>
      <w:r w:rsidR="00A778A0">
        <w:t>your</w:t>
      </w:r>
      <w:r>
        <w:t xml:space="preserve"> backtest matters. Static, full-sample VaR backtests can tell a very different story compared to walk-forward tests — even with the same data and tools. Most published work still goes the static route. That gap could </w:t>
      </w:r>
      <w:r w:rsidR="00752510">
        <w:t>be used</w:t>
      </w:r>
      <w:r>
        <w:t xml:space="preserve"> more attention. Down the road, this research group will push walk-forward methods to Expected Shortfall, multi-asset portfolios, and ML-augmented, regime-aware VaR systems</w:t>
      </w:r>
      <w:r w:rsidR="00C53FBD">
        <w:t>.</w:t>
      </w:r>
    </w:p>
    <w:p w14:paraId="2EC07B6D" w14:textId="77777777" w:rsidR="0032039D" w:rsidRDefault="0032039D" w:rsidP="0032039D">
      <w:pPr>
        <w:pStyle w:val="Heading1"/>
      </w:pPr>
      <w:r>
        <w:t>References</w:t>
      </w:r>
    </w:p>
    <w:p w14:paraId="363DD2C7" w14:textId="77777777" w:rsidR="0032039D" w:rsidRPr="00A9314A" w:rsidRDefault="0032039D" w:rsidP="0032039D">
      <w:pPr>
        <w:pStyle w:val="ListParagraph"/>
        <w:numPr>
          <w:ilvl w:val="0"/>
          <w:numId w:val="2"/>
        </w:numPr>
        <w:spacing w:after="200" w:line="276" w:lineRule="auto"/>
        <w:rPr>
          <w:sz w:val="22"/>
          <w:szCs w:val="22"/>
        </w:rPr>
      </w:pPr>
      <w:r w:rsidRPr="00A9314A">
        <w:rPr>
          <w:i/>
          <w:iCs/>
          <w:sz w:val="22"/>
          <w:szCs w:val="22"/>
        </w:rPr>
        <w:t>Artzner, P., Delbaen, F., Eber, J. M., &amp; Heath, D. (1999). Coherent measures of risk. Mathematical Finance, 9(3), 203–228.</w:t>
      </w:r>
    </w:p>
    <w:p w14:paraId="7CCBDE4D" w14:textId="77777777" w:rsidR="0032039D" w:rsidRPr="00A9314A" w:rsidRDefault="0032039D" w:rsidP="0032039D">
      <w:pPr>
        <w:pStyle w:val="ListParagraph"/>
        <w:numPr>
          <w:ilvl w:val="0"/>
          <w:numId w:val="2"/>
        </w:numPr>
        <w:spacing w:after="200" w:line="276" w:lineRule="auto"/>
        <w:rPr>
          <w:sz w:val="22"/>
          <w:szCs w:val="22"/>
        </w:rPr>
      </w:pPr>
      <w:r w:rsidRPr="00A9314A">
        <w:rPr>
          <w:i/>
          <w:iCs/>
          <w:sz w:val="22"/>
          <w:szCs w:val="22"/>
        </w:rPr>
        <w:t>Basel Committee on Banking Supervision. (1996). Supervisory framework for the use of "backtesting" in conjunction with the internal models approach to market risk capital requirements. Bank for International Settlements.</w:t>
      </w:r>
    </w:p>
    <w:p w14:paraId="1ACFC869"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Basel Committee on Banking Supervision. (2019). Minimum capital requirements for market risk. Bank for International Settlements.</w:t>
      </w:r>
    </w:p>
    <w:p w14:paraId="5C66D761" w14:textId="0FDF9352"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Blattberg, R. C., &amp; Gonedes, N. J. (1974). A comparison of the stable and Student distributions as statistical models for stock prices. Journal of Business, 47(2), 244–280</w:t>
      </w:r>
    </w:p>
    <w:p w14:paraId="706190CF"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Board of Governors of the Federal Reserve System. (2011). Supervisory guidance on model risk management (SR 11-7). Federal Reserve.</w:t>
      </w:r>
    </w:p>
    <w:p w14:paraId="69FD369B"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Board of Governors of the Federal Reserve System, Office of the Comptroller of the Currency, &amp; Federal Deposit Insurance Corporation. (2026). Revised guidance on model risk management (SR 26-2). Federal Reserve. https://www.federalreserve.gov/supervisionreg/srletters/SR2602.htm</w:t>
      </w:r>
    </w:p>
    <w:p w14:paraId="3224B73E"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Christoffersen, P. F. (1998). Evaluating interval forecasts. International Economic Review, 39(4), 841–862.</w:t>
      </w:r>
    </w:p>
    <w:p w14:paraId="4596A4AF"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Christoffersen, P. F. (2012). Elements of financial risk management (2nd ed.). Academic Press.</w:t>
      </w:r>
    </w:p>
    <w:p w14:paraId="3F389B46"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Fama, E. F. (1965). The behavior of stock-market prices. Journal of Business, 38(1), 34–105.</w:t>
      </w:r>
    </w:p>
    <w:p w14:paraId="79A9B421"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Fruzzetti, M., Nasti, D., &amp; Orlandi, M. (2023). The backtesting of value-at-risk and expected shortfall: Evidence from the Bank of Italy's foreign reserves portfolio. In Evolving Practices in Public Investment Management: Proceedings of the Eighth Public Investors Conference (pp. 211–226). Bank for International Settlements.</w:t>
      </w:r>
    </w:p>
    <w:p w14:paraId="7E703ECF"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Haas, M. (2001). New methods in backtesting. Financial Engineering Research Center, Caesar, Bonn.</w:t>
      </w:r>
    </w:p>
    <w:p w14:paraId="33268FE6"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Halilbegovic, S., Celebic, N., Arapovic, A., &amp; Vehabovic, M. (2019). Back-testing the effectiveness of value at risk model. Romanian Journal of Economics, 48(1), 5–33.</w:t>
      </w:r>
    </w:p>
    <w:p w14:paraId="696B3867"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lastRenderedPageBreak/>
        <w:t>Jorion, P. (2006). Value at risk: The new benchmark for managing financial risk (3rd ed.). McGraw-Hill.</w:t>
      </w:r>
    </w:p>
    <w:p w14:paraId="515FBD0E"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Kupiec, P. H. (1995). Techniques for verifying the accuracy of risk measurement models. Journal of Derivatives, 3(2), 73–84.</w:t>
      </w:r>
    </w:p>
    <w:p w14:paraId="60E4A2AB"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Mandelbrot, B. (1963). The variation of certain speculative prices. Journal of Business, 36(4), 394–419.</w:t>
      </w:r>
    </w:p>
    <w:p w14:paraId="3E415921"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McNeil, A. J., Frey, R., &amp; Embrechts, P. (2015). Quantitative risk management: Concepts, techniques, and tools (Revised ed.). Princeton University Press.</w:t>
      </w:r>
    </w:p>
    <w:p w14:paraId="6C052D1D"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Neupane, Niraj. (forthcoming). ML-augmented liquidity-adjusted value-at-risk: A GARCH-Markov switching and XGBoost-LSTM framework with SHAP explainability for US equity markets.</w:t>
      </w:r>
    </w:p>
    <w:p w14:paraId="1DA0A17B" w14:textId="77777777" w:rsidR="00A9314A" w:rsidRPr="00A9314A" w:rsidRDefault="00A9314A" w:rsidP="00A9314A">
      <w:pPr>
        <w:pStyle w:val="ListParagraph"/>
        <w:numPr>
          <w:ilvl w:val="0"/>
          <w:numId w:val="2"/>
        </w:numPr>
        <w:spacing w:after="200" w:line="276" w:lineRule="auto"/>
        <w:rPr>
          <w:sz w:val="22"/>
          <w:szCs w:val="22"/>
        </w:rPr>
      </w:pPr>
      <w:r w:rsidRPr="00A9314A">
        <w:rPr>
          <w:i/>
          <w:iCs/>
          <w:sz w:val="22"/>
          <w:szCs w:val="22"/>
        </w:rPr>
        <w:t>Zhang, Y., &amp; Nadarajah, S. (2017). A review of backtesting for value at risk. Communications in Statistics — Theory and Methods, 46(22), 1–24. https://doi.org/10.1080/03610926.2017.1361984</w:t>
      </w:r>
    </w:p>
    <w:p w14:paraId="365FAD8C" w14:textId="77777777" w:rsidR="00A9314A" w:rsidRDefault="00A9314A" w:rsidP="00A9314A">
      <w:pPr>
        <w:jc w:val="center"/>
      </w:pPr>
    </w:p>
    <w:p w14:paraId="2E6A8655" w14:textId="77777777" w:rsidR="00A9314A" w:rsidRDefault="00A9314A" w:rsidP="00A9314A"/>
    <w:p w14:paraId="47B04504" w14:textId="77777777" w:rsidR="00A9314A" w:rsidRDefault="00A9314A" w:rsidP="00A9314A">
      <w:pPr>
        <w:jc w:val="center"/>
      </w:pPr>
    </w:p>
    <w:p w14:paraId="3277BA96" w14:textId="36C47238" w:rsidR="0032039D" w:rsidRPr="00F15CF4" w:rsidRDefault="00BF0E5A" w:rsidP="00BA169F">
      <w:pPr>
        <w:jc w:val="center"/>
        <w:rPr>
          <w:b/>
          <w:bCs/>
          <w:sz w:val="22"/>
          <w:szCs w:val="22"/>
        </w:rPr>
      </w:pPr>
      <w:r>
        <w:rPr>
          <w:b/>
          <w:bCs/>
        </w:rPr>
        <w:t>***</w:t>
      </w:r>
    </w:p>
    <w:sectPr w:rsidR="0032039D" w:rsidRPr="00F15CF4" w:rsidSect="00CC14E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8788" w14:textId="77777777" w:rsidR="003A2EAE" w:rsidRDefault="003A2EAE">
      <w:r>
        <w:separator/>
      </w:r>
    </w:p>
  </w:endnote>
  <w:endnote w:type="continuationSeparator" w:id="0">
    <w:p w14:paraId="1FB546DD" w14:textId="77777777" w:rsidR="003A2EAE" w:rsidRDefault="003A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04AE" w14:textId="77777777" w:rsidR="008233ED" w:rsidRDefault="00823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998D" w14:textId="77777777" w:rsidR="00EA67D0" w:rsidRDefault="00C53FBD">
    <w:pPr>
      <w:jc w:val="center"/>
    </w:pPr>
    <w:r>
      <w:rPr>
        <w:sz w:val="20"/>
        <w:szCs w:val="20"/>
      </w:rPr>
      <w:fldChar w:fldCharType="begin"/>
    </w:r>
    <w:r>
      <w:rPr>
        <w:sz w:val="20"/>
        <w:szCs w:val="20"/>
      </w:rPr>
      <w:instrText>PAGE</w:instrText>
    </w:r>
    <w:r>
      <w:rPr>
        <w:sz w:val="20"/>
        <w:szCs w:val="20"/>
      </w:rPr>
      <w:fldChar w:fldCharType="separate"/>
    </w:r>
    <w:r w:rsidR="002F6623">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82D5" w14:textId="77777777" w:rsidR="008233ED" w:rsidRDefault="00823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F501" w14:textId="77777777" w:rsidR="003A2EAE" w:rsidRDefault="003A2EAE">
      <w:r>
        <w:separator/>
      </w:r>
    </w:p>
  </w:footnote>
  <w:footnote w:type="continuationSeparator" w:id="0">
    <w:p w14:paraId="34DB71A2" w14:textId="77777777" w:rsidR="003A2EAE" w:rsidRDefault="003A2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ABA4" w14:textId="77777777" w:rsidR="008233ED" w:rsidRDefault="008233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9342" w14:textId="77777777" w:rsidR="008233ED" w:rsidRDefault="008233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6368" w14:textId="77777777" w:rsidR="00CC14E2" w:rsidRPr="003E2913" w:rsidRDefault="00CC14E2" w:rsidP="003E2913">
    <w:pPr>
      <w:jc w:val="center"/>
      <w:rPr>
        <w:b/>
        <w:bCs/>
      </w:rPr>
    </w:pPr>
    <w:r w:rsidRPr="003E2913">
      <w:rPr>
        <w:b/>
        <w:bCs/>
      </w:rPr>
      <w:t>Backtesting Value-at-Risk Models Under SR 11-7:</w:t>
    </w:r>
  </w:p>
  <w:p w14:paraId="14B05517" w14:textId="77777777" w:rsidR="00CC14E2" w:rsidRPr="003E2913" w:rsidRDefault="00CC14E2" w:rsidP="003E2913">
    <w:pPr>
      <w:jc w:val="center"/>
      <w:rPr>
        <w:b/>
        <w:bCs/>
      </w:rPr>
    </w:pPr>
    <w:r w:rsidRPr="003E2913">
      <w:rPr>
        <w:b/>
        <w:bCs/>
      </w:rPr>
      <w:t>A Comparative Analysis of Kupiec, Christoffersen, and Basel Traffic-Light Tests</w:t>
    </w:r>
  </w:p>
  <w:p w14:paraId="4FCF4F33" w14:textId="60916110" w:rsidR="00CC14E2" w:rsidRDefault="00CC14E2" w:rsidP="003E2913">
    <w:pPr>
      <w:jc w:val="center"/>
      <w:rPr>
        <w:b/>
        <w:bCs/>
      </w:rPr>
    </w:pPr>
    <w:r w:rsidRPr="003E2913">
      <w:rPr>
        <w:b/>
        <w:bCs/>
      </w:rPr>
      <w:t>Applied to S&amp;P 500 Returns (2018–2024)</w:t>
    </w:r>
  </w:p>
  <w:p w14:paraId="1F4879F5" w14:textId="77777777" w:rsidR="00835397" w:rsidRDefault="00835397" w:rsidP="00D25485">
    <w:pPr>
      <w:jc w:val="center"/>
      <w:rPr>
        <w:b/>
        <w:bCs/>
        <w:sz w:val="22"/>
        <w:szCs w:val="22"/>
      </w:rPr>
    </w:pPr>
  </w:p>
  <w:p w14:paraId="3123959C" w14:textId="1F2D1341" w:rsidR="00D25485" w:rsidRPr="00835397" w:rsidRDefault="00D25485" w:rsidP="00D25485">
    <w:pPr>
      <w:jc w:val="center"/>
      <w:rPr>
        <w:sz w:val="22"/>
        <w:szCs w:val="22"/>
      </w:rPr>
    </w:pPr>
    <w:r w:rsidRPr="00835397">
      <w:rPr>
        <w:sz w:val="22"/>
        <w:szCs w:val="22"/>
      </w:rPr>
      <w:t>Niraj Neupane</w:t>
    </w:r>
  </w:p>
  <w:p w14:paraId="5FB1499C" w14:textId="7808F44E" w:rsidR="00037813" w:rsidRDefault="002E2BFB" w:rsidP="00D25485">
    <w:pPr>
      <w:jc w:val="center"/>
      <w:rPr>
        <w:sz w:val="22"/>
        <w:szCs w:val="22"/>
      </w:rPr>
    </w:pPr>
    <w:r w:rsidRPr="00835397">
      <w:rPr>
        <w:sz w:val="22"/>
        <w:szCs w:val="22"/>
      </w:rPr>
      <w:t xml:space="preserve">Founder &amp; </w:t>
    </w:r>
    <w:r w:rsidR="00D25485" w:rsidRPr="00835397">
      <w:rPr>
        <w:sz w:val="22"/>
        <w:szCs w:val="22"/>
      </w:rPr>
      <w:t>Quantitative Developer</w:t>
    </w:r>
    <w:r w:rsidR="007C18E6" w:rsidRPr="00835397">
      <w:rPr>
        <w:sz w:val="22"/>
        <w:szCs w:val="22"/>
      </w:rPr>
      <w:t>,</w:t>
    </w:r>
    <w:r w:rsidRPr="00835397">
      <w:rPr>
        <w:sz w:val="22"/>
        <w:szCs w:val="22"/>
      </w:rPr>
      <w:t xml:space="preserve"> Korvane</w:t>
    </w:r>
  </w:p>
  <w:p w14:paraId="0B8ACD0B" w14:textId="514A3406" w:rsidR="00174612" w:rsidRDefault="00174612" w:rsidP="00174612">
    <w:pPr>
      <w:jc w:val="center"/>
      <w:rPr>
        <w:sz w:val="22"/>
        <w:szCs w:val="22"/>
      </w:rPr>
    </w:pPr>
    <w:r w:rsidRPr="00835397">
      <w:rPr>
        <w:sz w:val="22"/>
        <w:szCs w:val="22"/>
      </w:rPr>
      <w:t>MS Financial Economics, University of Wisconsin–Madison</w:t>
    </w:r>
  </w:p>
  <w:p w14:paraId="3D2F6002" w14:textId="6226FE1B" w:rsidR="00D25485" w:rsidRDefault="00D25485" w:rsidP="00D25485">
    <w:pPr>
      <w:jc w:val="center"/>
      <w:rPr>
        <w:sz w:val="22"/>
        <w:szCs w:val="22"/>
      </w:rPr>
    </w:pPr>
    <w:r w:rsidRPr="00835397">
      <w:rPr>
        <w:sz w:val="22"/>
        <w:szCs w:val="22"/>
      </w:rPr>
      <w:t>Chartered Accountant (</w:t>
    </w:r>
    <w:r w:rsidR="00037813">
      <w:rPr>
        <w:sz w:val="22"/>
        <w:szCs w:val="22"/>
      </w:rPr>
      <w:t>CA), I</w:t>
    </w:r>
    <w:r w:rsidR="00AD67A5">
      <w:rPr>
        <w:sz w:val="22"/>
        <w:szCs w:val="22"/>
      </w:rPr>
      <w:t>CAI</w:t>
    </w:r>
  </w:p>
  <w:p w14:paraId="4DBC222C" w14:textId="3C8D8723" w:rsidR="000D3124" w:rsidRPr="00835397" w:rsidRDefault="000548ED" w:rsidP="00D25485">
    <w:pPr>
      <w:jc w:val="center"/>
      <w:rPr>
        <w:sz w:val="22"/>
        <w:szCs w:val="22"/>
      </w:rPr>
    </w:pPr>
    <w:r>
      <w:rPr>
        <w:sz w:val="22"/>
        <w:szCs w:val="22"/>
      </w:rPr>
      <w:t>nirajneupane17@gmail.com</w:t>
    </w:r>
  </w:p>
  <w:p w14:paraId="61AFD24C" w14:textId="3208206F" w:rsidR="00D25485" w:rsidRPr="00835397" w:rsidRDefault="00D25485" w:rsidP="007C18E6">
    <w:pPr>
      <w:jc w:val="center"/>
      <w:rPr>
        <w:sz w:val="22"/>
        <w:szCs w:val="22"/>
      </w:rPr>
    </w:pPr>
    <w:r w:rsidRPr="00835397">
      <w:rPr>
        <w:sz w:val="22"/>
        <w:szCs w:val="22"/>
      </w:rPr>
      <w:t>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179E4"/>
    <w:multiLevelType w:val="hybridMultilevel"/>
    <w:tmpl w:val="C22EF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0944D2"/>
    <w:multiLevelType w:val="hybridMultilevel"/>
    <w:tmpl w:val="022A51AA"/>
    <w:lvl w:ilvl="0" w:tplc="35AA0ACE">
      <w:start w:val="1"/>
      <w:numFmt w:val="bullet"/>
      <w:lvlText w:val="•"/>
      <w:lvlJc w:val="left"/>
      <w:pPr>
        <w:ind w:left="720" w:hanging="360"/>
      </w:pPr>
    </w:lvl>
    <w:lvl w:ilvl="1" w:tplc="E9DE92C2">
      <w:numFmt w:val="decimal"/>
      <w:lvlText w:val=""/>
      <w:lvlJc w:val="left"/>
    </w:lvl>
    <w:lvl w:ilvl="2" w:tplc="88409C40">
      <w:numFmt w:val="decimal"/>
      <w:lvlText w:val=""/>
      <w:lvlJc w:val="left"/>
    </w:lvl>
    <w:lvl w:ilvl="3" w:tplc="AFD62206">
      <w:numFmt w:val="decimal"/>
      <w:lvlText w:val=""/>
      <w:lvlJc w:val="left"/>
    </w:lvl>
    <w:lvl w:ilvl="4" w:tplc="A9B2AA90">
      <w:numFmt w:val="decimal"/>
      <w:lvlText w:val=""/>
      <w:lvlJc w:val="left"/>
    </w:lvl>
    <w:lvl w:ilvl="5" w:tplc="E1F413B8">
      <w:numFmt w:val="decimal"/>
      <w:lvlText w:val=""/>
      <w:lvlJc w:val="left"/>
    </w:lvl>
    <w:lvl w:ilvl="6" w:tplc="E5BE25EE">
      <w:numFmt w:val="decimal"/>
      <w:lvlText w:val=""/>
      <w:lvlJc w:val="left"/>
    </w:lvl>
    <w:lvl w:ilvl="7" w:tplc="91E8F5D8">
      <w:numFmt w:val="decimal"/>
      <w:lvlText w:val=""/>
      <w:lvlJc w:val="left"/>
    </w:lvl>
    <w:lvl w:ilvl="8" w:tplc="E624AFC2">
      <w:numFmt w:val="decimal"/>
      <w:lvlText w:val=""/>
      <w:lvlJc w:val="left"/>
    </w:lvl>
  </w:abstractNum>
  <w:abstractNum w:abstractNumId="2" w15:restartNumberingAfterBreak="0">
    <w:nsid w:val="711C0239"/>
    <w:multiLevelType w:val="hybridMultilevel"/>
    <w:tmpl w:val="C32E7416"/>
    <w:lvl w:ilvl="0" w:tplc="D89C6F04">
      <w:start w:val="1"/>
      <w:numFmt w:val="bullet"/>
      <w:lvlText w:val="●"/>
      <w:lvlJc w:val="left"/>
      <w:pPr>
        <w:ind w:left="720" w:hanging="360"/>
      </w:pPr>
    </w:lvl>
    <w:lvl w:ilvl="1" w:tplc="4BC2B96E">
      <w:start w:val="1"/>
      <w:numFmt w:val="bullet"/>
      <w:lvlText w:val="○"/>
      <w:lvlJc w:val="left"/>
      <w:pPr>
        <w:ind w:left="1440" w:hanging="360"/>
      </w:pPr>
    </w:lvl>
    <w:lvl w:ilvl="2" w:tplc="61323768">
      <w:start w:val="1"/>
      <w:numFmt w:val="bullet"/>
      <w:lvlText w:val="■"/>
      <w:lvlJc w:val="left"/>
      <w:pPr>
        <w:ind w:left="2160" w:hanging="360"/>
      </w:pPr>
    </w:lvl>
    <w:lvl w:ilvl="3" w:tplc="DDE8B538">
      <w:start w:val="1"/>
      <w:numFmt w:val="bullet"/>
      <w:lvlText w:val="●"/>
      <w:lvlJc w:val="left"/>
      <w:pPr>
        <w:ind w:left="2880" w:hanging="360"/>
      </w:pPr>
    </w:lvl>
    <w:lvl w:ilvl="4" w:tplc="AB848D02">
      <w:start w:val="1"/>
      <w:numFmt w:val="bullet"/>
      <w:lvlText w:val="○"/>
      <w:lvlJc w:val="left"/>
      <w:pPr>
        <w:ind w:left="3600" w:hanging="360"/>
      </w:pPr>
    </w:lvl>
    <w:lvl w:ilvl="5" w:tplc="24CE44D2">
      <w:start w:val="1"/>
      <w:numFmt w:val="bullet"/>
      <w:lvlText w:val="■"/>
      <w:lvlJc w:val="left"/>
      <w:pPr>
        <w:ind w:left="4320" w:hanging="360"/>
      </w:pPr>
    </w:lvl>
    <w:lvl w:ilvl="6" w:tplc="8B8CFB7E">
      <w:start w:val="1"/>
      <w:numFmt w:val="bullet"/>
      <w:lvlText w:val="●"/>
      <w:lvlJc w:val="left"/>
      <w:pPr>
        <w:ind w:left="5040" w:hanging="360"/>
      </w:pPr>
    </w:lvl>
    <w:lvl w:ilvl="7" w:tplc="D65AEA94">
      <w:start w:val="1"/>
      <w:numFmt w:val="bullet"/>
      <w:lvlText w:val="●"/>
      <w:lvlJc w:val="left"/>
      <w:pPr>
        <w:ind w:left="5760" w:hanging="360"/>
      </w:pPr>
    </w:lvl>
    <w:lvl w:ilvl="8" w:tplc="C36CAB12">
      <w:start w:val="1"/>
      <w:numFmt w:val="bullet"/>
      <w:lvlText w:val="●"/>
      <w:lvlJc w:val="left"/>
      <w:pPr>
        <w:ind w:left="6480" w:hanging="360"/>
      </w:pPr>
    </w:lvl>
  </w:abstractNum>
  <w:num w:numId="1" w16cid:durableId="84812933">
    <w:abstractNumId w:val="2"/>
    <w:lvlOverride w:ilvl="0">
      <w:startOverride w:val="1"/>
    </w:lvlOverride>
  </w:num>
  <w:num w:numId="2" w16cid:durableId="12473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7D0"/>
    <w:rsid w:val="00001564"/>
    <w:rsid w:val="00006AE5"/>
    <w:rsid w:val="00037813"/>
    <w:rsid w:val="00044EB7"/>
    <w:rsid w:val="000548ED"/>
    <w:rsid w:val="00056BE7"/>
    <w:rsid w:val="000A05E5"/>
    <w:rsid w:val="000D3124"/>
    <w:rsid w:val="00137AF3"/>
    <w:rsid w:val="00174612"/>
    <w:rsid w:val="00184FE8"/>
    <w:rsid w:val="00191B96"/>
    <w:rsid w:val="001C5B66"/>
    <w:rsid w:val="001D019C"/>
    <w:rsid w:val="002058B8"/>
    <w:rsid w:val="00206846"/>
    <w:rsid w:val="00213606"/>
    <w:rsid w:val="002225CF"/>
    <w:rsid w:val="00240EB0"/>
    <w:rsid w:val="0025448B"/>
    <w:rsid w:val="00281267"/>
    <w:rsid w:val="00283727"/>
    <w:rsid w:val="00295747"/>
    <w:rsid w:val="002D2C64"/>
    <w:rsid w:val="002E2BFB"/>
    <w:rsid w:val="002F6623"/>
    <w:rsid w:val="0032039D"/>
    <w:rsid w:val="00334AF3"/>
    <w:rsid w:val="00351485"/>
    <w:rsid w:val="003A2EAE"/>
    <w:rsid w:val="003E2913"/>
    <w:rsid w:val="0041559D"/>
    <w:rsid w:val="00475BC4"/>
    <w:rsid w:val="004B3ED9"/>
    <w:rsid w:val="004B551A"/>
    <w:rsid w:val="004D2CCE"/>
    <w:rsid w:val="005039ED"/>
    <w:rsid w:val="00526432"/>
    <w:rsid w:val="00581218"/>
    <w:rsid w:val="005D7833"/>
    <w:rsid w:val="00600D13"/>
    <w:rsid w:val="006636A6"/>
    <w:rsid w:val="006658D5"/>
    <w:rsid w:val="006B7DBB"/>
    <w:rsid w:val="0070308F"/>
    <w:rsid w:val="00744873"/>
    <w:rsid w:val="00752510"/>
    <w:rsid w:val="007560B7"/>
    <w:rsid w:val="007B6AB8"/>
    <w:rsid w:val="007C18E6"/>
    <w:rsid w:val="007E4353"/>
    <w:rsid w:val="00814907"/>
    <w:rsid w:val="008233ED"/>
    <w:rsid w:val="00835397"/>
    <w:rsid w:val="0083751A"/>
    <w:rsid w:val="00837E45"/>
    <w:rsid w:val="008457A2"/>
    <w:rsid w:val="00863965"/>
    <w:rsid w:val="008A1775"/>
    <w:rsid w:val="00905CA4"/>
    <w:rsid w:val="00953800"/>
    <w:rsid w:val="00981467"/>
    <w:rsid w:val="00985C4F"/>
    <w:rsid w:val="00A23F36"/>
    <w:rsid w:val="00A778A0"/>
    <w:rsid w:val="00A87D76"/>
    <w:rsid w:val="00A9314A"/>
    <w:rsid w:val="00AD67A5"/>
    <w:rsid w:val="00B057A7"/>
    <w:rsid w:val="00B62CFF"/>
    <w:rsid w:val="00B66FAC"/>
    <w:rsid w:val="00B922BA"/>
    <w:rsid w:val="00BA169F"/>
    <w:rsid w:val="00BF0E5A"/>
    <w:rsid w:val="00C2224C"/>
    <w:rsid w:val="00C53FBD"/>
    <w:rsid w:val="00C557EA"/>
    <w:rsid w:val="00C67E5A"/>
    <w:rsid w:val="00C74847"/>
    <w:rsid w:val="00CA1A9F"/>
    <w:rsid w:val="00CC14E2"/>
    <w:rsid w:val="00CF6E0D"/>
    <w:rsid w:val="00D20531"/>
    <w:rsid w:val="00D25485"/>
    <w:rsid w:val="00D3666B"/>
    <w:rsid w:val="00D4003D"/>
    <w:rsid w:val="00DE633A"/>
    <w:rsid w:val="00E03ADB"/>
    <w:rsid w:val="00E07538"/>
    <w:rsid w:val="00E35DC2"/>
    <w:rsid w:val="00EA3470"/>
    <w:rsid w:val="00EA67D0"/>
    <w:rsid w:val="00EC5FFB"/>
    <w:rsid w:val="00F15CF4"/>
    <w:rsid w:val="00F92EB5"/>
    <w:rsid w:val="00FB5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04C2B"/>
  <w15:docId w15:val="{498D1920-ED47-4B13-A55E-A611BA690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300" w:after="16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14E2"/>
    <w:pPr>
      <w:tabs>
        <w:tab w:val="center" w:pos="4680"/>
        <w:tab w:val="right" w:pos="9360"/>
      </w:tabs>
    </w:pPr>
  </w:style>
  <w:style w:type="character" w:customStyle="1" w:styleId="HeaderChar">
    <w:name w:val="Header Char"/>
    <w:basedOn w:val="DefaultParagraphFont"/>
    <w:link w:val="Header"/>
    <w:uiPriority w:val="99"/>
    <w:rsid w:val="00CC14E2"/>
  </w:style>
  <w:style w:type="paragraph" w:styleId="Footer">
    <w:name w:val="footer"/>
    <w:basedOn w:val="Normal"/>
    <w:link w:val="FooterChar"/>
    <w:uiPriority w:val="99"/>
    <w:unhideWhenUsed/>
    <w:rsid w:val="00CC14E2"/>
    <w:pPr>
      <w:tabs>
        <w:tab w:val="center" w:pos="4680"/>
        <w:tab w:val="right" w:pos="9360"/>
      </w:tabs>
    </w:pPr>
  </w:style>
  <w:style w:type="character" w:customStyle="1" w:styleId="FooterChar">
    <w:name w:val="Footer Char"/>
    <w:basedOn w:val="DefaultParagraphFont"/>
    <w:link w:val="Footer"/>
    <w:uiPriority w:val="99"/>
    <w:rsid w:val="00CC1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6319</Words>
  <Characters>35643</Characters>
  <Application>Microsoft Office Word</Application>
  <DocSecurity>0</DocSecurity>
  <Lines>727</Lines>
  <Paragraphs>403</Paragraphs>
  <ScaleCrop>false</ScaleCrop>
  <Company/>
  <LinksUpToDate>false</LinksUpToDate>
  <CharactersWithSpaces>41559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Niraj Neupane</cp:lastModifiedBy>
  <cp:revision>5</cp:revision>
  <cp:lastPrinted>2026-07-23T23:13:00Z</cp:lastPrinted>
  <dcterms:created xsi:type="dcterms:W3CDTF">2026-07-23T23:11:00Z</dcterms:created>
  <dcterms:modified xsi:type="dcterms:W3CDTF">2026-07-23T23:14:00Z</dcterms:modified>
</cp:coreProperties>
</file>