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BOTH repos confirmed. DESIGNER: api/.secret.local gitignored, 0 commits touch it. LANDING: .env* gitignored (only .env.example tracked = placeholders MY_GEMINI_API_KEY/MY_APP_URL, no real secrets); no secret/key/serviceaccount files tracked.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3 services now on dedicated least-privilege SAs. api + stripe-webhook = cloud-run-runtime@. landing NOW = landing-runtime@ (created 2026-07-16, secretmanager.secretAccessor on ONLY gemini-api-key + gmail-app-password, plus logWriter/metricWriter). Verified landing makes no privileged GCP IAM calls (uses @google/genai API key + Gmail SMTP, no firebase-admin/@google-cloud SDKs). Canary-deployed (--no-traffic tag lpsa), verified 200 + endpoints, then migrated 100% traffic to rev landing-00016-yaz. Off default compute SA.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 enabled in Firebase Auth -&gt; Settings -&gt; User actions -&gt; Email enumeration protection (recommended). Save greyed out = already active.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prhomzai.com apex LIVE via Firebase Hosting multi-site rewrite to Cloud Run landing service (not a raw Cloud Run domain mapping). HTTPS 200, cert provisioned, x-cloud-trace-context confirms it hits Cloud Run. www.prhomzai.com now LIVE too (see 2.6). Cosmetic: landing &lt;title&gt; still 'My Google AI Studio App' - stakeholder to rebrand. LANDING REBRAND (v7, rev landing-00015-6jz): &lt;title&gt; now 'PRHOMZ AI | Redesign Your Home with AI' + meta description + OG/Twitter cards + canonical. FAVICON + OG:IMAGE DONE (v9, rev landing-00018-xnc): stakeholder brand logo wired - favicon 16/32/180, og-image 1200x630 social card. Fixed Dockerfile to COPY public/ (was 404ing). Tiny 16px tab icon is full wordmark (blurry small) - optional future swap for a square monogram.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4 Designer CTA links updated to https://designer.prhomzai.com/ (App.tsx x3 + PricingSubscription.tsx x1) - not just line 116. Landing rebuilt v6, deployed (rev landing-00014-g4p), verified: live bundle has 4 designer.prhomzai.com refs, 0 old prhomzmvp-nonprod refs.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BOTH designer.prhomzai.com AND prhomzai.com apex (both verified serving 200 on 2026-07-16).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www.prhomzai.com LIVE: HTTPS 200, valid Google Trust Services cert (CN=www.prhomzai.com, valid Jul 16-Oct 14 2026), serves landing page. All 3 domains live: apex, www, designer. www SERVES landing (same as apex), not a 301 redirect - fine for launch; strict canonical www-&gt;apex redirect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Live-mode Customer Portal configured: cancellation at end of billing period; switch plans ON with all 3 products (Basic/Advanced/Designer); prorated charges/credits; payment-method + invoice history on. Saved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 dispute/chargeback alerts go to the Stripe account email, which Niraj confirmed is a monitored inbox. No separate forwarding needed.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 (link branding deferred, documented)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DECISION 2026-07-19: KEEP SendGrid custom SMTP (noreply@prhomzai.com, tested in-inbox). Verification/reset email BODY link stays https://prhomzmvp-nonprod.firebaseapp.com/__/auth/action (functional; cosmetic). WHY not branded: Firebase only brands the action-link domain via the 'Custom domain for email templates' wizard, which (a) REPLACES custom SMTP with Firebase-native sending (firebasemail.com SPF/DKIM) - would abandon tested SendGrid deliverability 6 days pre-launch, and (b) requires TXT records on designer.prhomzai.com which is a CNAME (hosting) -&gt; hard DNS conflict. Not worth risking deliverability + hosting for a cosmetic link. POST-LAUNCH option: Firebase-native custom-domain email on a NON-CNAME domain (e.g. mail.prhomzai.com), migrated off SendGrid with deliverability testing. Sender/signature branding already DONE.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niraj.sriwastava@gmail.com set to role=Admin (uid gf0dnIfMo5akjm3SLICa6CDgQRN2) via admin SDK. Admin nav tab + dashboard now available on that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 ('Firestore backups &amp; restore'). Automated daily backup schedule + 7-day retention already live (firestore.tf); verified 1 backup READY (snapshot 2026-07-16). Procedure covers: list schedules/backups, restore-to-new-DB (incident recovery), manual GCS export/import for longer retention.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DONE (documented procedure)</w:t>
            </w:r>
          </w:p>
        </w:tc>
        <w:tc>
          <w:tcPr>
            <w:tcW w:type="dxa" w:w="2520"/>
          </w:tcPr>
          <w:p>
            <w:r>
              <w:t>Monthly refresh procedure documented in RUNBOOK.md ('Monthly maintenance' section): rebuild api via api/cloudbuild.yaml (re-downloads latest GeoLite2 from maxmind-license-key secret) + redeploy + verify /geo. Set a monthly calendar reminder. Full unattended Scheduler-&gt;Build auto-redeploy of core api intentionally deferred (risk of unattended auto-deploy &gt; benefit; geofence fails open). Country data drifts slowly so monthly manual is ample.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Sentry React project created (prhomz-designer); DSN wired in services/sentry.ts, env-gated on VITE_SENTRY_DSN. Live in designer app bundle + deployed. Session replay on error, source-mapped. Landing site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Refund policy FINALISED: no refund for the current billing period (as stated in T&amp;C). Confirmed by Niraj 2026-07-16 as the final policy.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 (reviewed, adequate)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Reviewed gs://prhomzmvp-nonprod-gallery: existing lifecycle rule Delete@age=30d applies to whole gallery/ prefix, so full images AND _thumb.jpg thumbnails are both auto-deleted at 30d -&gt; no orphaned-thumbnail accumulation. No object versioning (no noncurrent bloat). Combined with hourly expire-old-images job, storage growth bounded. No change needed.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