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DONE (v9, rev landing-00018-xnc): stakeholder brand logo wired - favicon 16/32/180, og-image 1200x630 social card. Fixed Dockerfile to COPY public/ (was 404ing). Tiny 16px tab icon is full wordmark (blurry small) - optional future swap for a square monogram.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DEFINITIVE DIAGNOSIS 2026-07-19: email action-URL (callbackUri) CANNOT be set to custom domain designer.prhomzai.com - Firebase rejects with EMAIL_TEMPLATE_UPDATE_NOT_ALLOWED. Proven: callbackUri accepts ONLY Firebase-default domains (*.web.app/*.firebaseapp.com set fine); custom domains require the separate 'custom domain for email action links' DNS-verification flow (dnsInfo.customDomainState=NOT_STARTED). NOT a time cooldown (persisted 40h+) and NOT email-privacy (disabling didn't help; restored). Template subject/sender edits DO work. Consequence: verification emails show prhomzmvp-nonprod.firebaseapp.com (exposes 'nonprod' since prod = same project). Template body/sender/signature branding already done (SendGrid noreply@prhomzai.com). DECISION PENDING: accept for launch vs pursue custom-domain-for-email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 ('Firestore backups &amp; restore'). Automated daily backup schedule + 7-day retention already live (firestore.tf); verified 1 backup READY (snapshot 2026-07-16). Procedure covers: list schedules/backups, restore-to-new-DB (incident recovery), manual GCS export/import for longer retention.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(reviewed, adequate)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Reviewed gs://prhomzmvp-nonprod-gallery: existing lifecycle rule Delete@age=30d applies to whole gallery/ prefix, so full images AND _thumb.jpg thumbnails are both auto-deleted at 30d -&gt; no orphaned-thumbnail accumulation. No object versioning (no noncurrent bloat). Combined with hourly expire-old-images job, storage growth bounded. No change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