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DONE (v9, rev landing-00018-xnc): stakeholder brand logo wired - favicon 16/32/180, og-image 1200x630 social card. Fixed Dockerfile to COPY public/ (was 404ing). Tiny 16px tab icon is full wordmark (blurry small) - optional future swap for a square monogram.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 EMAIL LINK DOMAIN: verification/reset/change email links still show prhomzmvp-nonprod.firebaseapp.com. Fix identified = set notification.sendEmail.callbackUri to https://designer.prhomzai.com/__/auth/action (designer domain authorized + handler returns 200, value validated). BLOCKED by Firebase EMAIL_TEMPLATE_UPDATE_NOT_ALLOWED (24h anti-abuse cooldown from recent template edits) - fails via BOTH console and API. Auto-retry (self-healing) scheduled for 2026-07-18 eve; fallback = re-run one-command API PATCH after cooldown. NOT launch-blocking (links work, cosmetic only).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(reviewed, adequate)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Reviewed gs://prhomzmvp-nonprod-gallery: existing lifecycle rule Delete@age=30d applies to whole gallery/ prefix, so full images AND _thumb.jpg thumbnails are both auto-deleted at 30d -&gt; no orphaned-thumbnail accumulation. No object versioning (no noncurrent bloat). Combined with hourly expire-old-images job, storage growth bounded. No change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