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PARTIAL</w:t>
            </w:r>
          </w:p>
        </w:tc>
        <w:tc>
          <w:tcPr>
            <w:tcW w:type="dxa" w:w="3600"/>
          </w:tcPr>
          <w:p>
            <w:r>
              <w:t>DESIGNER repo confirmed: api/.secret.local is gitignored and 0 commits touch it. Still verify PRHOMZ-AI-LANDING repo.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+ stripe-webhook run as dedicated least-privilege SA cloud-run-runtime@ (NOT default compute). REMAINING: landing service still on default compute SA (352112669414-compute) — needs a minimal SA once we confirm landing makes no privileged GCP calls.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 (apex; www pending)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prhomzai.com apex LIVE via Firebase Hosting multi-site rewrite to Cloud Run landing service (not a raw Cloud Run domain mapping). HTTPS 200, cert provisioned, x-cloud-trace-context confirms it hits Cloud Run. www.prhomzai.com redirect still to add (see 2.6). Cosmetic: landing &lt;title&gt; still 'My Google AI Studio App' - stakeholder to rebrand.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One-line change. Redeploy as v3.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BOTH designer.prhomzai.com AND prhomzai.com apex (both verified serving 200 on 2026-07-16).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canonical host.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Defaults to Stripe account email.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Currently T&amp;C says 'no refund for current period'.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