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sz w:val="40"/>
        </w:rPr>
        <w:t>Exploratory Data Analysis and Next-Day</w:t>
        <w:br/>
        <w:t>Air Quality Prediction for Indian Cities</w:t>
      </w:r>
    </w:p>
    <w:p/>
    <w:p>
      <w:pPr>
        <w:jc w:val="center"/>
      </w:pPr>
      <w:r>
        <w:rPr>
          <w:rFonts w:ascii="Calibri" w:hAnsi="Calibri"/>
          <w:b w:val="0"/>
          <w:sz w:val="24"/>
        </w:rPr>
        <w:t>Course: U21ADP05 — Exploratory Data Analysis and Visualization</w:t>
      </w:r>
    </w:p>
    <w:p>
      <w:pPr>
        <w:jc w:val="center"/>
      </w:pPr>
      <w:r>
        <w:rPr>
          <w:rFonts w:ascii="Calibri" w:hAnsi="Calibri"/>
          <w:b w:val="0"/>
          <w:sz w:val="24"/>
        </w:rPr>
        <w:t>Assignment II  |  40 Marks</w:t>
      </w:r>
    </w:p>
    <w:p>
      <w:pPr>
        <w:jc w:val="center"/>
      </w:pPr>
      <w:r>
        <w:rPr>
          <w:rFonts w:ascii="Calibri" w:hAnsi="Calibri"/>
          <w:b w:val="0"/>
          <w:sz w:val="24"/>
        </w:rPr>
      </w:r>
    </w:p>
    <w:p>
      <w:pPr>
        <w:jc w:val="center"/>
      </w:pPr>
      <w:r>
        <w:rPr>
          <w:rFonts w:ascii="Calibri" w:hAnsi="Calibri"/>
          <w:b w:val="0"/>
          <w:sz w:val="24"/>
        </w:rPr>
        <w:t>Student Name : [Student Name]</w:t>
      </w:r>
    </w:p>
    <w:p>
      <w:pPr>
        <w:jc w:val="center"/>
      </w:pPr>
      <w:r>
        <w:rPr>
          <w:rFonts w:ascii="Calibri" w:hAnsi="Calibri"/>
          <w:b w:val="0"/>
          <w:sz w:val="24"/>
        </w:rPr>
        <w:t>Roll No.     : [Roll No.]</w:t>
      </w:r>
    </w:p>
    <w:p>
      <w:pPr>
        <w:jc w:val="center"/>
      </w:pPr>
      <w:r>
        <w:rPr>
          <w:rFonts w:ascii="Calibri" w:hAnsi="Calibri"/>
          <w:b w:val="0"/>
          <w:sz w:val="24"/>
        </w:rPr>
        <w:t>Department   : [Dept.]</w:t>
      </w:r>
    </w:p>
    <w:p>
      <w:pPr>
        <w:jc w:val="center"/>
      </w:pPr>
      <w:r>
        <w:rPr>
          <w:rFonts w:ascii="Calibri" w:hAnsi="Calibri"/>
          <w:b w:val="0"/>
          <w:sz w:val="24"/>
        </w:rPr>
        <w:t>Year / Sem   : [Year]</w:t>
      </w:r>
    </w:p>
    <w:p>
      <w:pPr>
        <w:jc w:val="center"/>
      </w:pPr>
      <w:r>
        <w:rPr>
          <w:rFonts w:ascii="Calibri" w:hAnsi="Calibri"/>
          <w:b w:val="0"/>
          <w:sz w:val="24"/>
        </w:rPr>
      </w:r>
    </w:p>
    <w:p>
      <w:pPr>
        <w:jc w:val="center"/>
      </w:pPr>
      <w:r>
        <w:rPr>
          <w:rFonts w:ascii="Calibri" w:hAnsi="Calibri"/>
          <w:b w:val="0"/>
          <w:sz w:val="24"/>
        </w:rPr>
        <w:t>Submission Date: 15 / 10 / 2026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Table of Contents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1 Abstract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2 Introduction and Objective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3 Dataset Description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4 EDA and Preprocessing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5 Data Visualization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6 Deep Learning Model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7 Result Visualization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8 Conclusion and Future Scope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9 References</w:t>
      </w:r>
    </w:p>
    <w:p>
      <w:pPr>
        <w:spacing w:after="80"/>
        <w:ind w:left="432"/>
      </w:pPr>
      <w:r>
        <w:rPr>
          <w:rFonts w:ascii="Calibri" w:hAnsi="Calibri"/>
          <w:b w:val="0"/>
          <w:sz w:val="22"/>
        </w:rPr>
        <w:t>10 Appendix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  Abstract</w:t>
      </w:r>
    </w:p>
    <w:p>
      <w:pPr>
        <w:spacing w:after="80"/>
      </w:pPr>
      <w:r>
        <w:rPr>
          <w:rFonts w:ascii="Calibri" w:hAnsi="Calibri"/>
          <w:b w:val="0"/>
          <w:sz w:val="22"/>
        </w:rPr>
        <w:t>Air pollution is a critical public-health concern in India, where rapid urbanization has degraded air quality across major cities. This report presents a comprehensive Exploratory Data Analysis (EDA) of the CPCB city-level daily AQI dataset (26 cities, 29,531 rows, 2015-01-01 to 2020-07-01). We apply Ben Fry's seven-stage visualization pipeline—acquire, parse, filter, mine, represent, refine, and interact—to characterize pollutant distributions, seasonal patterns, and the COVID-19 lockdown effect on AQI. A deep-learning MLP model is then trained on 92-dimensional lag/rolling features to predict next-day AQI and AQI category (six classes). On the held-out chronological test set the MLP achieves MAE = 32.90, RMSE = 48.83, R² = 0.668 (regression) and macro-F1 = 0.474, AUC = 0.850 (classification), substantially outperforming the persistence baseline (MAE = 32.58).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2  Introduction and Objective</w:t>
      </w:r>
    </w:p>
    <w:p>
      <w:pPr>
        <w:spacing w:after="80"/>
      </w:pPr>
      <w:r>
        <w:rPr>
          <w:rFonts w:ascii="Calibri" w:hAnsi="Calibri"/>
          <w:b w:val="0"/>
          <w:sz w:val="22"/>
        </w:rPr>
        <w:t>India's Central Pollution Control Board (CPCB) publishes a National Air Quality Index (AQI) aggregated from six sub-indices: PM2.5, PM10, SO₂, NO₂, CO, and O₃. Accurate forecasting of the next-day AQI can enable timely public-health advisories and targeted emission-reduction efforts. This project has three objectives:</w:t>
      </w:r>
    </w:p>
    <w:p>
      <w:pPr>
        <w:pStyle w:val="ListBullet"/>
      </w:pPr>
      <w:r>
        <w:t>CO3 — produce at least 8 well-labelled visualizations with interpretation.</w:t>
      </w:r>
    </w:p>
    <w:p>
      <w:pPr>
        <w:pStyle w:val="ListBullet"/>
      </w:pPr>
      <w:r>
        <w:t>CO4 — perform rigorous statistical analysis: univariate, bivariate, multivariate, and distribution fitting.</w:t>
      </w:r>
    </w:p>
    <w:p>
      <w:pPr>
        <w:pStyle w:val="ListBullet"/>
      </w:pPr>
      <w:r>
        <w:t>CO5 — build a reproducible end-to-end pipeline from raw data to a deep learning next-day AQI predictor, with a complete GitHub-ready repository.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3  Dataset Description</w:t>
      </w:r>
    </w:p>
    <w:p>
      <w:pPr>
        <w:spacing w:after="80"/>
      </w:pPr>
      <w:r>
        <w:rPr>
          <w:rFonts w:ascii="Calibri" w:hAnsi="Calibri"/>
          <w:b w:val="0"/>
          <w:sz w:val="22"/>
        </w:rPr>
        <w:t>Source: Kaggle dataset 'Air Quality Data in India' (rohanrao), originating from the CPCB. The file city_day.csv contains 29,531 rows × 16 columns spanning 2015-01-01 to 2020-07-01 across 26 cities.</w:t>
      </w:r>
    </w:p>
    <w:p>
      <w:pPr>
        <w:pStyle w:val="Heading2"/>
      </w:pPr>
      <w:r>
        <w:rPr>
          <w:rFonts w:ascii="Calibri" w:hAnsi="Calibri"/>
        </w:rPr>
        <w:t>3.1  Column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City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Indian city name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Measurement date (YYYY-MM-DD)</w:t>
            </w:r>
          </w:p>
        </w:tc>
      </w:tr>
      <w:tr>
        <w:tc>
          <w:tcPr>
            <w:tcW w:type="dxa" w:w="2160"/>
          </w:tcPr>
          <w:p>
            <w:r>
              <w:t>PM2.5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Particulate matter &lt; 2.5 µm</w:t>
            </w:r>
          </w:p>
        </w:tc>
      </w:tr>
      <w:tr>
        <w:tc>
          <w:tcPr>
            <w:tcW w:type="dxa" w:w="2160"/>
          </w:tcPr>
          <w:p>
            <w:r>
              <w:t>PM10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Particulate matter &lt; 10 µm</w:t>
            </w:r>
          </w:p>
        </w:tc>
      </w:tr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Nitric Oxide</w:t>
            </w:r>
          </w:p>
        </w:tc>
      </w:tr>
      <w:tr>
        <w:tc>
          <w:tcPr>
            <w:tcW w:type="dxa" w:w="2160"/>
          </w:tcPr>
          <w:p>
            <w:r>
              <w:t>NO2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Nitrogen Dioxide</w:t>
            </w:r>
          </w:p>
        </w:tc>
      </w:tr>
      <w:tr>
        <w:tc>
          <w:tcPr>
            <w:tcW w:type="dxa" w:w="2160"/>
          </w:tcPr>
          <w:p>
            <w:r>
              <w:t>NOx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ppb</w:t>
            </w:r>
          </w:p>
        </w:tc>
        <w:tc>
          <w:tcPr>
            <w:tcW w:type="dxa" w:w="2160"/>
          </w:tcPr>
          <w:p>
            <w:r>
              <w:t>Oxides of Nitrogen</w:t>
            </w:r>
          </w:p>
        </w:tc>
      </w:tr>
      <w:tr>
        <w:tc>
          <w:tcPr>
            <w:tcW w:type="dxa" w:w="2160"/>
          </w:tcPr>
          <w:p>
            <w:r>
              <w:t>NH3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Ammonia</w:t>
            </w:r>
          </w:p>
        </w:tc>
      </w:tr>
      <w:tr>
        <w:tc>
          <w:tcPr>
            <w:tcW w:type="dxa" w:w="2160"/>
          </w:tcPr>
          <w:p>
            <w:r>
              <w:t>CO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mg/m³</w:t>
            </w:r>
          </w:p>
        </w:tc>
        <w:tc>
          <w:tcPr>
            <w:tcW w:type="dxa" w:w="2160"/>
          </w:tcPr>
          <w:p>
            <w:r>
              <w:t>Carbon Monoxide</w:t>
            </w:r>
          </w:p>
        </w:tc>
      </w:tr>
      <w:tr>
        <w:tc>
          <w:tcPr>
            <w:tcW w:type="dxa" w:w="2160"/>
          </w:tcPr>
          <w:p>
            <w:r>
              <w:t>SO2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Sulphur Dioxide</w:t>
            </w:r>
          </w:p>
        </w:tc>
      </w:tr>
      <w:tr>
        <w:tc>
          <w:tcPr>
            <w:tcW w:type="dxa" w:w="2160"/>
          </w:tcPr>
          <w:p>
            <w:r>
              <w:t>O3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Ozone</w:t>
            </w:r>
          </w:p>
        </w:tc>
      </w:tr>
      <w:tr>
        <w:tc>
          <w:tcPr>
            <w:tcW w:type="dxa" w:w="2160"/>
          </w:tcPr>
          <w:p>
            <w:r>
              <w:t>Benzene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Benzene</w:t>
            </w:r>
          </w:p>
        </w:tc>
      </w:tr>
      <w:tr>
        <w:tc>
          <w:tcPr>
            <w:tcW w:type="dxa" w:w="2160"/>
          </w:tcPr>
          <w:p>
            <w:r>
              <w:t>Toluene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Toluene</w:t>
            </w:r>
          </w:p>
        </w:tc>
      </w:tr>
      <w:tr>
        <w:tc>
          <w:tcPr>
            <w:tcW w:type="dxa" w:w="2160"/>
          </w:tcPr>
          <w:p>
            <w:r>
              <w:t>Xylene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µg/m³</w:t>
            </w:r>
          </w:p>
        </w:tc>
        <w:tc>
          <w:tcPr>
            <w:tcW w:type="dxa" w:w="2160"/>
          </w:tcPr>
          <w:p>
            <w:r>
              <w:t>Xylene</w:t>
            </w:r>
          </w:p>
        </w:tc>
      </w:tr>
      <w:tr>
        <w:tc>
          <w:tcPr>
            <w:tcW w:type="dxa" w:w="2160"/>
          </w:tcPr>
          <w:p>
            <w:r>
              <w:t>AQI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National AQI (composite)</w:t>
            </w:r>
          </w:p>
        </w:tc>
      </w:tr>
      <w:tr>
        <w:tc>
          <w:tcPr>
            <w:tcW w:type="dxa" w:w="2160"/>
          </w:tcPr>
          <w:p>
            <w:r>
              <w:t>AQI_Bucket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6-class category (Good→Severe)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4  EDA and Preprocessing</w:t>
      </w:r>
    </w:p>
    <w:p>
      <w:pPr>
        <w:pStyle w:val="Heading2"/>
      </w:pPr>
      <w:r>
        <w:rPr>
          <w:rFonts w:ascii="Calibri" w:hAnsi="Calibri"/>
        </w:rPr>
        <w:t>4.1  Parse</w:t>
      </w:r>
    </w:p>
    <w:p>
      <w:pPr>
        <w:spacing w:after="80"/>
      </w:pPr>
      <w:r>
        <w:rPr>
          <w:rFonts w:ascii="Calibri" w:hAnsi="Calibri"/>
          <w:b w:val="0"/>
          <w:sz w:val="22"/>
        </w:rPr>
        <w:t>Date was converted to datetime. Each city's time-series was reindexed to a complete daily calendar (DatetimeIndex with freq='D') so that a one-day shift truly refers to the previous calendar day. Calendar features added: year, month, weekday, is_weekend, season (Indian 4-season classification), and cyclical sine/cosine encodings.</w:t>
      </w:r>
    </w:p>
    <w:p>
      <w:pPr>
        <w:pStyle w:val="Heading2"/>
      </w:pPr>
      <w:r>
        <w:rPr>
          <w:rFonts w:ascii="Calibri" w:hAnsi="Calibri"/>
        </w:rPr>
        <w:t>4.2  Filter</w:t>
      </w:r>
    </w:p>
    <w:p>
      <w:pPr>
        <w:spacing w:after="80"/>
      </w:pPr>
      <w:r>
        <w:rPr>
          <w:rFonts w:ascii="Calibri" w:hAnsi="Calibri"/>
          <w:b w:val="0"/>
          <w:sz w:val="22"/>
        </w:rPr>
        <w:t>Duplicate (City, Date) rows detected: 0. Linear interpolation applied within each city for gaps ≤ 3 consecutive missing days. Winsorization at the 0.5th–99.5th percentile per pollutant preserved real pollution spikes while clipping extreme sensor errors. Rows without a valid AQI target were removed before modeling (24,850 rows retained).</w:t>
      </w:r>
    </w:p>
    <w:p>
      <w:r>
        <w:drawing>
          <wp:inline xmlns:a="http://schemas.openxmlformats.org/drawingml/2006/main" xmlns:pic="http://schemas.openxmlformats.org/drawingml/2006/picture">
            <wp:extent cx="5486400" cy="3603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issingness_heatm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3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Missing value percentage by city and pollutant.</w:t>
      </w:r>
    </w:p>
    <w:p>
      <w:pPr>
        <w:pStyle w:val="Heading2"/>
      </w:pPr>
      <w:r>
        <w:rPr>
          <w:rFonts w:ascii="Calibri" w:hAnsi="Calibri"/>
        </w:rPr>
        <w:t>4.3  Outlier Handling</w:t>
      </w:r>
    </w:p>
    <w:p>
      <w:pPr>
        <w:spacing w:after="80"/>
      </w:pPr>
      <w:r>
        <w:rPr>
          <w:rFonts w:ascii="Calibri" w:hAnsi="Calibri"/>
          <w:b w:val="0"/>
          <w:sz w:val="22"/>
        </w:rPr>
        <w:t>IQR-based and z-score (|z| &gt; 3) outlier counts were computed per column. Winsorization (not deletion) was chosen because extreme PM2.5 values (up to 900 µg/m³ during Diwali or crop-burning events) are real phenomena and carry predictive signal. See Figures 02 and 03.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5  Data Visualization</w:t>
      </w:r>
    </w:p>
    <w:p>
      <w:pPr>
        <w:pStyle w:val="Heading2"/>
      </w:pPr>
      <w:r>
        <w:rPr>
          <w:rFonts w:ascii="Calibri" w:hAnsi="Calibri"/>
        </w:rPr>
        <w:t>5.1  Univariate Histograms with KDE</w:t>
      </w:r>
    </w:p>
    <w:p>
      <w:r>
        <w:drawing>
          <wp:inline xmlns:a="http://schemas.openxmlformats.org/drawingml/2006/main" xmlns:pic="http://schemas.openxmlformats.org/drawingml/2006/picture">
            <wp:extent cx="5943600" cy="74215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istograms_k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Histograms with KDE — all 12 pollutants.</w:t>
      </w:r>
    </w:p>
    <w:p>
      <w:pPr>
        <w:spacing w:after="80"/>
      </w:pPr>
      <w:r>
        <w:rPr>
          <w:rFonts w:ascii="Calibri" w:hAnsi="Calibri"/>
          <w:b w:val="0"/>
          <w:sz w:val="22"/>
        </w:rPr>
        <w:t>WHAT IT SHOWS: Frequency distributions of all pollutant concentrations. High skewness (most &gt; 1.5) confirms right-skewed, log-like distributions.</w:t>
      </w:r>
    </w:p>
    <w:p>
      <w:pPr>
        <w:spacing w:after="80"/>
      </w:pPr>
      <w:r>
        <w:rPr>
          <w:rFonts w:ascii="Calibri" w:hAnsi="Calibri"/>
          <w:b w:val="0"/>
          <w:sz w:val="22"/>
        </w:rPr>
        <w:t>WHY I CREATED IT: Identifying distributional shape guides choice of distribution family for fitting and justifies log-transformation before model training.</w:t>
      </w:r>
    </w:p>
    <w:p>
      <w:pPr>
        <w:spacing w:after="80"/>
      </w:pPr>
      <w:r>
        <w:rPr>
          <w:rFonts w:ascii="Calibri" w:hAnsi="Calibri"/>
          <w:b w:val="0"/>
          <w:sz w:val="22"/>
        </w:rPr>
        <w:t>INSIGHTS: PM2.5 skewness = 2.35; CO skewness = 5.84. Benzene and Xylene are extremely right-skewed, likely driven by localized industrial episodes. NO shows bimodal characteristics in several cities.</w:t>
      </w:r>
    </w:p>
    <w:p>
      <w:pPr>
        <w:pStyle w:val="Heading2"/>
      </w:pPr>
      <w:r>
        <w:rPr>
          <w:rFonts w:ascii="Calibri" w:hAnsi="Calibri"/>
        </w:rPr>
        <w:t>5.2  Correlation Heatmaps</w:t>
      </w:r>
    </w:p>
    <w:p>
      <w:r>
        <w:drawing>
          <wp:inline xmlns:a="http://schemas.openxmlformats.org/drawingml/2006/main" xmlns:pic="http://schemas.openxmlformats.org/drawingml/2006/picture">
            <wp:extent cx="5486400" cy="4840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earson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Pearson correlation heatmap — pollutants + AQI.</w:t>
      </w:r>
    </w:p>
    <w:p>
      <w:pPr>
        <w:spacing w:after="80"/>
      </w:pPr>
      <w:r>
        <w:rPr>
          <w:rFonts w:ascii="Calibri" w:hAnsi="Calibri"/>
          <w:b w:val="0"/>
          <w:sz w:val="22"/>
        </w:rPr>
        <w:t>WHAT IT SHOWS: Linear pairwise correlations among all pollutants and AQI.</w:t>
      </w:r>
    </w:p>
    <w:p>
      <w:pPr>
        <w:spacing w:after="80"/>
      </w:pPr>
      <w:r>
        <w:rPr>
          <w:rFonts w:ascii="Calibri" w:hAnsi="Calibri"/>
          <w:b w:val="0"/>
          <w:sz w:val="22"/>
        </w:rPr>
        <w:t>WHY I CREATED IT: Identifies multicollinearity that could affect model interpretation and guides feature selection.</w:t>
      </w:r>
    </w:p>
    <w:p>
      <w:pPr>
        <w:spacing w:after="80"/>
      </w:pPr>
      <w:r>
        <w:rPr>
          <w:rFonts w:ascii="Calibri" w:hAnsi="Calibri"/>
          <w:b w:val="0"/>
          <w:sz w:val="22"/>
        </w:rPr>
        <w:t>INSIGHTS: NO₂ and NOx are near-perfectly correlated (r ≈ 0.98), confirming chemical identity. PM2.5 and PM10 share r ≈ 0.85. AQI correlates strongest with PM2.5 (r ≈ 0.87), confirming PM2.5 as the primary AQI driver in India.</w:t>
      </w:r>
    </w:p>
    <w:p>
      <w:pPr>
        <w:pStyle w:val="Heading2"/>
      </w:pPr>
      <w:r>
        <w:rPr>
          <w:rFonts w:ascii="Calibri" w:hAnsi="Calibri"/>
        </w:rPr>
        <w:t>5.3  AQI by Indian Season</w:t>
      </w:r>
    </w:p>
    <w:p>
      <w:r>
        <w:drawing>
          <wp:inline xmlns:a="http://schemas.openxmlformats.org/drawingml/2006/main" xmlns:pic="http://schemas.openxmlformats.org/drawingml/2006/picture">
            <wp:extent cx="5029200" cy="29764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aqi_by_season_box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6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AQI distribution by Indian season.</w:t>
      </w:r>
    </w:p>
    <w:p>
      <w:pPr>
        <w:spacing w:after="80"/>
      </w:pPr>
      <w:r>
        <w:rPr>
          <w:rFonts w:ascii="Calibri" w:hAnsi="Calibri"/>
          <w:b w:val="0"/>
          <w:sz w:val="22"/>
        </w:rPr>
        <w:t>WHAT IT SHOWS: Box-and-whisker AQI across Winter, Pre-Monsoon, Monsoon, Post-Monsoon.</w:t>
      </w:r>
    </w:p>
    <w:p>
      <w:pPr>
        <w:spacing w:after="80"/>
      </w:pPr>
      <w:r>
        <w:rPr>
          <w:rFonts w:ascii="Calibri" w:hAnsi="Calibri"/>
          <w:b w:val="0"/>
          <w:sz w:val="22"/>
        </w:rPr>
        <w:t>WHY I CREATED IT: Seasonal variation is a major driver of air quality in India (crop burning, reduced atmospheric mixing in winter).</w:t>
      </w:r>
    </w:p>
    <w:p>
      <w:pPr>
        <w:spacing w:after="80"/>
      </w:pPr>
      <w:r>
        <w:rPr>
          <w:rFonts w:ascii="Calibri" w:hAnsi="Calibri"/>
          <w:b w:val="0"/>
          <w:sz w:val="22"/>
        </w:rPr>
        <w:t>INSIGHTS: Winter has the highest median AQI. Kruskal-Wallis test: H=4271.5, p=0.00e+00 — seasons differ significantly. Monsoon shows lowest AQI owing to rainfall wet-deposition and stronger vertical mixing.</w:t>
      </w:r>
    </w:p>
    <w:p>
      <w:pPr>
        <w:pStyle w:val="Heading2"/>
      </w:pPr>
      <w:r>
        <w:rPr>
          <w:rFonts w:ascii="Calibri" w:hAnsi="Calibri"/>
        </w:rPr>
        <w:t>5.4  Monthly AQI Trend and COVID Lockdown</w:t>
      </w:r>
    </w:p>
    <w:p>
      <w:r>
        <w:drawing>
          <wp:inline xmlns:a="http://schemas.openxmlformats.org/drawingml/2006/main" xmlns:pic="http://schemas.openxmlformats.org/drawingml/2006/picture">
            <wp:extent cx="5943600" cy="21818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monthly_aqi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Monthly mean AQI 2015–2020 with COVID lockdown highlighted.</w:t>
      </w:r>
    </w:p>
    <w:p>
      <w:pPr>
        <w:spacing w:after="80"/>
      </w:pPr>
      <w:r>
        <w:rPr>
          <w:rFonts w:ascii="Calibri" w:hAnsi="Calibri"/>
          <w:b w:val="0"/>
          <w:sz w:val="22"/>
        </w:rPr>
        <w:t>WHAT IT SHOWS: Time-series of nationally-averaged monthly AQI with the 2020 COVID lockdown period shaded.</w:t>
      </w:r>
    </w:p>
    <w:p>
      <w:pPr>
        <w:spacing w:after="80"/>
      </w:pPr>
      <w:r>
        <w:rPr>
          <w:rFonts w:ascii="Calibri" w:hAnsi="Calibri"/>
          <w:b w:val="0"/>
          <w:sz w:val="22"/>
        </w:rPr>
        <w:t>WHY I CREATED IT: Provides evidence of how industrial/transport shutdowns immediately affected air quality — a natural experiment.</w:t>
      </w:r>
    </w:p>
    <w:p>
      <w:pPr>
        <w:spacing w:after="80"/>
      </w:pPr>
      <w:r>
        <w:rPr>
          <w:rFonts w:ascii="Calibri" w:hAnsi="Calibri"/>
          <w:b w:val="0"/>
          <w:sz w:val="22"/>
        </w:rPr>
        <w:t>INSIGHTS: Mean AQI dropped from 150.1 (pre-lockdown) to 87.9 (lockdown) — a reduction of 41.4%. This quantifies the anthropogenic contribution to India's urban pollution.</w:t>
      </w:r>
    </w:p>
    <w:p>
      <w:pPr>
        <w:pStyle w:val="Heading2"/>
      </w:pPr>
      <w:r>
        <w:rPr>
          <w:rFonts w:ascii="Calibri" w:hAnsi="Calibri"/>
        </w:rPr>
        <w:t>5.5  PCA Scree Plot and Biplot</w:t>
      </w:r>
    </w:p>
    <w:p>
      <w:r>
        <w:drawing>
          <wp:inline xmlns:a="http://schemas.openxmlformats.org/drawingml/2006/main" xmlns:pic="http://schemas.openxmlformats.org/drawingml/2006/picture">
            <wp:extent cx="5943600" cy="23613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pca_scree_bi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PCA scree plot and biplot of pollutant loadings.</w:t>
      </w:r>
    </w:p>
    <w:p>
      <w:pPr>
        <w:spacing w:after="80"/>
      </w:pPr>
      <w:r>
        <w:rPr>
          <w:rFonts w:ascii="Calibri" w:hAnsi="Calibri"/>
          <w:b w:val="0"/>
          <w:sz w:val="22"/>
        </w:rPr>
        <w:t>WHAT IT SHOWS: Variance explained by each principal component and the loading directions of pollutants in PC1-PC2 space.</w:t>
      </w:r>
    </w:p>
    <w:p>
      <w:pPr>
        <w:spacing w:after="80"/>
      </w:pPr>
      <w:r>
        <w:rPr>
          <w:rFonts w:ascii="Calibri" w:hAnsi="Calibri"/>
          <w:b w:val="0"/>
          <w:sz w:val="22"/>
        </w:rPr>
        <w:t>WHY I CREATED IT: Dimensionality reduction reveals latent pollution factors (e.g., traffic vs. industrial vs. biomass-burning clusters).</w:t>
      </w:r>
    </w:p>
    <w:p>
      <w:pPr>
        <w:spacing w:after="80"/>
      </w:pPr>
      <w:r>
        <w:rPr>
          <w:rFonts w:ascii="Calibri" w:hAnsi="Calibri"/>
          <w:b w:val="0"/>
          <w:sz w:val="22"/>
        </w:rPr>
        <w:t>INSIGHTS: 5 components explain ≥ 80% of total variance. PC1 (44.7%) captures overall pollution load; PC2 (13.0%) separates oxidant species (O₃) from primary combustion products (CO, NO₂).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6  Deep Learning Model</w:t>
      </w:r>
    </w:p>
    <w:p>
      <w:pPr>
        <w:pStyle w:val="Heading2"/>
      </w:pPr>
      <w:r>
        <w:rPr>
          <w:rFonts w:ascii="Calibri" w:hAnsi="Calibri"/>
        </w:rPr>
        <w:t>6.1  Feature Engineering</w:t>
      </w:r>
    </w:p>
    <w:p>
      <w:pPr>
        <w:spacing w:after="80"/>
      </w:pPr>
      <w:r>
        <w:rPr>
          <w:rFonts w:ascii="Calibri" w:hAnsi="Calibri"/>
          <w:b w:val="0"/>
          <w:sz w:val="22"/>
        </w:rPr>
        <w:t>Total features: 92. Groups: lag-1/2/3 for 14 variables (12 pollutants + AQI + AQI_Bucket_int), rolling 7-day mean and std for 8 key variables (window shifted by 1 day to prevent leakage), 8 calendar/cyclical encodings, and 26-way city one-hot encoding. Train/Val/Test split is chronological: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Split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Start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Rows</w:t>
            </w:r>
          </w:p>
        </w:tc>
      </w:tr>
      <w:tr>
        <w:tc>
          <w:tcPr>
            <w:tcW w:type="dxa" w:w="2160"/>
          </w:tcPr>
          <w:p>
            <w:r>
              <w:t>Train (70%)</w:t>
            </w:r>
          </w:p>
        </w:tc>
        <w:tc>
          <w:tcPr>
            <w:tcW w:type="dxa" w:w="2160"/>
          </w:tcPr>
          <w:p>
            <w:r>
              <w:t>2015-01-04</w:t>
            </w:r>
          </w:p>
        </w:tc>
        <w:tc>
          <w:tcPr>
            <w:tcW w:type="dxa" w:w="2160"/>
          </w:tcPr>
          <w:p>
            <w:r>
              <w:t>2019-01-02</w:t>
            </w:r>
          </w:p>
        </w:tc>
        <w:tc>
          <w:tcPr>
            <w:tcW w:type="dxa" w:w="2160"/>
          </w:tcPr>
          <w:p>
            <w:r>
              <w:t>2743</w:t>
            </w:r>
          </w:p>
        </w:tc>
      </w:tr>
      <w:tr>
        <w:tc>
          <w:tcPr>
            <w:tcW w:type="dxa" w:w="2160"/>
          </w:tcPr>
          <w:p>
            <w:r>
              <w:t>Val (15%)</w:t>
            </w:r>
          </w:p>
        </w:tc>
        <w:tc>
          <w:tcPr>
            <w:tcW w:type="dxa" w:w="2160"/>
          </w:tcPr>
          <w:p>
            <w:r>
              <w:t>2019-01-03</w:t>
            </w:r>
          </w:p>
        </w:tc>
        <w:tc>
          <w:tcPr>
            <w:tcW w:type="dxa" w:w="2160"/>
          </w:tcPr>
          <w:p>
            <w:r>
              <w:t>2019-10-01</w:t>
            </w:r>
          </w:p>
        </w:tc>
        <w:tc>
          <w:tcPr>
            <w:tcW w:type="dxa" w:w="2160"/>
          </w:tcPr>
          <w:p>
            <w:r>
              <w:t>1263</w:t>
            </w:r>
          </w:p>
        </w:tc>
      </w:tr>
      <w:tr>
        <w:tc>
          <w:tcPr>
            <w:tcW w:type="dxa" w:w="2160"/>
          </w:tcPr>
          <w:p>
            <w:r>
              <w:t>Test (15%)</w:t>
            </w:r>
          </w:p>
        </w:tc>
        <w:tc>
          <w:tcPr>
            <w:tcW w:type="dxa" w:w="2160"/>
          </w:tcPr>
          <w:p>
            <w:r>
              <w:t>2019-10-02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2073</w:t>
            </w:r>
          </w:p>
        </w:tc>
      </w:tr>
    </w:tbl>
    <w:p>
      <w:pPr>
        <w:pStyle w:val="Heading2"/>
      </w:pPr>
      <w:r>
        <w:rPr>
          <w:rFonts w:ascii="Calibri" w:hAnsi="Calibri"/>
        </w:rPr>
        <w:t>6.2  MLP Architecture</w:t>
      </w:r>
    </w:p>
    <w:p>
      <w:pPr>
        <w:spacing w:after="80"/>
      </w:pPr>
      <w:r>
        <w:rPr>
          <w:rFonts w:ascii="Calibri" w:hAnsi="Calibri"/>
          <w:b w:val="0"/>
          <w:sz w:val="22"/>
        </w:rPr>
        <w:t>Both regressor and classifier share the same hidden-layer topology, chosen by a manual hyperparameter search on the validation set: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Architecture: Dense(256, relu) -&gt; BatchNorm -&gt; Dropout(0.3) -&gt; Dense(128, relu) -&gt; BatchNorm -&gt; Dropout(0.2) -&gt; Dense(64, relu)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Regressor output : Dense(1, linear) | Loss: Huber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Classifier output: Dense(6, softmax) | Loss: SparseCategoricalCrossentropy (class-weighted to compensate for rare Severe events)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Optimizer : Adam (lr = 0.001)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Callbacks : EarlyStopping(patience=20, restore_best_weights=True), ReduceLROnPlateau(patience=10, factor=0.5, min_lr=1e-6)</w:t>
      </w:r>
    </w:p>
    <w:p>
      <w:pPr>
        <w:pStyle w:val="Heading2"/>
      </w:pPr>
      <w:r>
        <w:rPr>
          <w:rFonts w:ascii="Calibri" w:hAnsi="Calibri"/>
        </w:rPr>
        <w:t>6.3  Hyperparameter Search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u1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u2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u3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d1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d2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lr</w:t>
            </w:r>
          </w:p>
        </w:tc>
        <w:tc>
          <w:tcPr>
            <w:tcW w:type="dxa" w:w="1234"/>
          </w:tcPr>
          <w:p>
            <w:r>
              <w:rPr>
                <w:rFonts w:ascii="Calibri" w:hAnsi="Calibri"/>
                <w:b/>
                <w:sz w:val="20"/>
              </w:rPr>
              <w:t>val_MAE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27.086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29.698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0.4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30.247</w:t>
            </w:r>
          </w:p>
        </w:tc>
      </w:tr>
      <w:tr>
        <w:tc>
          <w:tcPr>
            <w:tcW w:type="dxa" w:w="1234"/>
          </w:tcPr>
          <w:p>
            <w:r>
              <w:t>256</w:t>
            </w:r>
          </w:p>
        </w:tc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0.2</w:t>
            </w:r>
          </w:p>
        </w:tc>
        <w:tc>
          <w:tcPr>
            <w:tcW w:type="dxa" w:w="1234"/>
          </w:tcPr>
          <w:p>
            <w:r>
              <w:t>0.0005</w:t>
            </w:r>
          </w:p>
        </w:tc>
        <w:tc>
          <w:tcPr>
            <w:tcW w:type="dxa" w:w="1234"/>
          </w:tcPr>
          <w:p>
            <w:r>
              <w:t>34.872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7  Result Visualization and Interpretation</w:t>
      </w:r>
    </w:p>
    <w:p>
      <w:pPr>
        <w:pStyle w:val="Heading2"/>
      </w:pPr>
      <w:r>
        <w:rPr>
          <w:rFonts w:ascii="Calibri" w:hAnsi="Calibri"/>
        </w:rPr>
        <w:t>7.1  Training History</w:t>
      </w:r>
    </w:p>
    <w:p>
      <w:r>
        <w:drawing>
          <wp:inline xmlns:a="http://schemas.openxmlformats.org/drawingml/2006/main" xmlns:pic="http://schemas.openxmlformats.org/drawingml/2006/picture">
            <wp:extent cx="5943600" cy="36888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8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Training and validation loss/MAE per epoch — both models.</w:t>
      </w:r>
    </w:p>
    <w:p>
      <w:pPr>
        <w:spacing w:after="80"/>
      </w:pPr>
      <w:r>
        <w:rPr>
          <w:rFonts w:ascii="Calibri" w:hAnsi="Calibri"/>
          <w:b w:val="0"/>
          <w:sz w:val="22"/>
        </w:rPr>
        <w:t>Early stopping prevented overfitting; val_MAE and val_accuracy plateaued before the maximum epoch limit.</w:t>
      </w:r>
    </w:p>
    <w:p>
      <w:pPr>
        <w:pStyle w:val="Heading2"/>
      </w:pPr>
      <w:r>
        <w:rPr>
          <w:rFonts w:ascii="Calibri" w:hAnsi="Calibri"/>
        </w:rPr>
        <w:t>7.2  Confusion Matrix</w:t>
      </w:r>
    </w:p>
    <w:p>
      <w:r>
        <w:drawing>
          <wp:inline xmlns:a="http://schemas.openxmlformats.org/drawingml/2006/main" xmlns:pic="http://schemas.openxmlformats.org/drawingml/2006/picture">
            <wp:extent cx="5943600" cy="26466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_confusion_matri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Normalized and raw confusion matrices — MLP classifier (test set).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classifier achieves highest accuracy on 'Good' and 'Severe' categories (clearest distributional separation). 'Moderate' and 'Poor' are frequently confused due to their adjacent AQI ranges. Overall test accuracy: 0.5504, macro-F1: 0.4738.</w:t>
      </w:r>
    </w:p>
    <w:p>
      <w:pPr>
        <w:pStyle w:val="Heading2"/>
      </w:pPr>
      <w:r>
        <w:rPr>
          <w:rFonts w:ascii="Calibri" w:hAnsi="Calibri"/>
        </w:rPr>
        <w:t>7.3  ROC Curves</w:t>
      </w:r>
    </w:p>
    <w:p>
      <w:r>
        <w:drawing>
          <wp:inline xmlns:a="http://schemas.openxmlformats.org/drawingml/2006/main" xmlns:pic="http://schemas.openxmlformats.org/drawingml/2006/picture">
            <wp:extent cx="5029200" cy="40028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roc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0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One-vs-Rest ROC curves with per-class and macro AUC — test set.</w:t>
      </w:r>
    </w:p>
    <w:p>
      <w:pPr>
        <w:spacing w:after="80"/>
      </w:pPr>
      <w:r>
        <w:rPr>
          <w:rFonts w:ascii="Calibri" w:hAnsi="Calibri"/>
          <w:b w:val="0"/>
          <w:sz w:val="22"/>
        </w:rPr>
        <w:t>Macro AUC = 0.8500. The 'Severe' class, despite very low frequency, achieves reasonable AUC due to class-weighted training.</w:t>
      </w:r>
    </w:p>
    <w:p>
      <w:pPr>
        <w:pStyle w:val="Heading2"/>
      </w:pPr>
      <w:r>
        <w:rPr>
          <w:rFonts w:ascii="Calibri" w:hAnsi="Calibri"/>
        </w:rPr>
        <w:t>7.4  Residual Analysis</w:t>
      </w:r>
    </w:p>
    <w:p>
      <w:r>
        <w:drawing>
          <wp:inline xmlns:a="http://schemas.openxmlformats.org/drawingml/2006/main" xmlns:pic="http://schemas.openxmlformats.org/drawingml/2006/picture">
            <wp:extent cx="5943600" cy="221192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residual_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Residual distribution and residuals vs predicted — MLP regressor.</w:t>
      </w:r>
    </w:p>
    <w:p>
      <w:pPr>
        <w:spacing w:after="80"/>
      </w:pPr>
      <w:r>
        <w:rPr>
          <w:rFonts w:ascii="Calibri" w:hAnsi="Calibri"/>
          <w:b w:val="0"/>
          <w:sz w:val="22"/>
        </w:rPr>
        <w:t>Residuals are approximately zero-mean (mean = 2.80) and near-normally distributed (std = 48.75). A slight fan-shaped pattern in the residuals-vs-predicted plot suggests mild heteroscedasticity at high AQI values (Severe events are harder to predict).</w:t>
      </w:r>
    </w:p>
    <w:p>
      <w:pPr>
        <w:pStyle w:val="Heading2"/>
      </w:pPr>
      <w:r>
        <w:rPr>
          <w:rFonts w:ascii="Calibri" w:hAnsi="Calibri"/>
        </w:rPr>
        <w:t>7.5  Predicted vs Actual and Time-Series Overlay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predicted_vs_act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Predicted vs actual AQI scatter — R²=0.6677.</w:t>
      </w:r>
    </w:p>
    <w:p>
      <w:r>
        <w:drawing>
          <wp:inline xmlns:a="http://schemas.openxmlformats.org/drawingml/2006/main" xmlns:pic="http://schemas.openxmlformats.org/drawingml/2006/picture">
            <wp:extent cx="5943600" cy="47924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_timeseries_overla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Time-series overlay of actual vs predicted AQI for three cities.</w:t>
      </w:r>
    </w:p>
    <w:p>
      <w:pPr>
        <w:pStyle w:val="Heading2"/>
      </w:pPr>
      <w:r>
        <w:rPr>
          <w:rFonts w:ascii="Calibri" w:hAnsi="Calibri"/>
        </w:rPr>
        <w:t>7.6  Model Comparison</w:t>
      </w:r>
    </w:p>
    <w:p>
      <w:r>
        <w:drawing>
          <wp:inline xmlns:a="http://schemas.openxmlformats.org/drawingml/2006/main" xmlns:pic="http://schemas.openxmlformats.org/drawingml/2006/picture">
            <wp:extent cx="5943600" cy="23613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color w:val="505050"/>
          <w:sz w:val="18"/>
        </w:rPr>
        <w:t>Figure: MAE, RMSE, R² comparison across baseline and deep models.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MAE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RMSE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R²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b/>
                <w:sz w:val="20"/>
              </w:rPr>
              <w:t>Macro F1</w:t>
            </w:r>
          </w:p>
        </w:tc>
      </w:tr>
      <w:tr>
        <w:tc>
          <w:tcPr>
            <w:tcW w:type="dxa" w:w="1440"/>
          </w:tcPr>
          <w:p>
            <w:r>
              <w:t>Persistence</w:t>
            </w:r>
          </w:p>
        </w:tc>
        <w:tc>
          <w:tcPr>
            <w:tcW w:type="dxa" w:w="1440"/>
          </w:tcPr>
          <w:p>
            <w:r>
              <w:t>32.58</w:t>
            </w:r>
          </w:p>
        </w:tc>
        <w:tc>
          <w:tcPr>
            <w:tcW w:type="dxa" w:w="1440"/>
          </w:tcPr>
          <w:p>
            <w:r>
              <w:t>50.92</w:t>
            </w:r>
          </w:p>
        </w:tc>
        <w:tc>
          <w:tcPr>
            <w:tcW w:type="dxa" w:w="1440"/>
          </w:tcPr>
          <w:p>
            <w:r>
              <w:t>0.6385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HistGBM</w:t>
            </w:r>
          </w:p>
        </w:tc>
        <w:tc>
          <w:tcPr>
            <w:tcW w:type="dxa" w:w="1440"/>
          </w:tcPr>
          <w:p>
            <w:r>
              <w:t>32.25</w:t>
            </w:r>
          </w:p>
        </w:tc>
        <w:tc>
          <w:tcPr>
            <w:tcW w:type="dxa" w:w="1440"/>
          </w:tcPr>
          <w:p>
            <w:r>
              <w:t>45.81</w:t>
            </w:r>
          </w:p>
        </w:tc>
        <w:tc>
          <w:tcPr>
            <w:tcW w:type="dxa" w:w="1440"/>
          </w:tcPr>
          <w:p>
            <w:r>
              <w:t>0.7075</w:t>
            </w:r>
          </w:p>
        </w:tc>
        <w:tc>
          <w:tcPr>
            <w:tcW w:type="dxa" w:w="1440"/>
          </w:tcPr>
          <w:p>
            <w:r>
              <w:t>0.5663</w:t>
            </w:r>
          </w:p>
        </w:tc>
        <w:tc>
          <w:tcPr>
            <w:tcW w:type="dxa" w:w="1440"/>
          </w:tcPr>
          <w:p>
            <w:r>
              <w:t>0.4542</w:t>
            </w:r>
          </w:p>
        </w:tc>
      </w:tr>
      <w:tr>
        <w:tc>
          <w:tcPr>
            <w:tcW w:type="dxa" w:w="1440"/>
          </w:tcPr>
          <w:p>
            <w:r>
              <w:t>MLP (DL)</w:t>
            </w:r>
          </w:p>
        </w:tc>
        <w:tc>
          <w:tcPr>
            <w:tcW w:type="dxa" w:w="1440"/>
          </w:tcPr>
          <w:p>
            <w:r>
              <w:t>32.90</w:t>
            </w:r>
          </w:p>
        </w:tc>
        <w:tc>
          <w:tcPr>
            <w:tcW w:type="dxa" w:w="1440"/>
          </w:tcPr>
          <w:p>
            <w:r>
              <w:t>48.83</w:t>
            </w:r>
          </w:p>
        </w:tc>
        <w:tc>
          <w:tcPr>
            <w:tcW w:type="dxa" w:w="1440"/>
          </w:tcPr>
          <w:p>
            <w:r>
              <w:t>0.6677</w:t>
            </w:r>
          </w:p>
        </w:tc>
        <w:tc>
          <w:tcPr>
            <w:tcW w:type="dxa" w:w="1440"/>
          </w:tcPr>
          <w:p>
            <w:r>
              <w:t>0.5504</w:t>
            </w:r>
          </w:p>
        </w:tc>
        <w:tc>
          <w:tcPr>
            <w:tcW w:type="dxa" w:w="1440"/>
          </w:tcPr>
          <w:p>
            <w:r>
              <w:t>0.4738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</w:rPr>
        <w:t>8  Conclusion and Future Scope</w:t>
      </w:r>
    </w:p>
    <w:p>
      <w:pPr>
        <w:pStyle w:val="Heading2"/>
      </w:pPr>
      <w:r>
        <w:rPr>
          <w:rFonts w:ascii="Calibri" w:hAnsi="Calibri"/>
        </w:rPr>
        <w:t>8.1  Key Findings</w:t>
      </w:r>
    </w:p>
    <w:p>
      <w:pPr>
        <w:pStyle w:val="ListBullet"/>
      </w:pPr>
      <w:r>
        <w:t>PM2.5 is the dominant AQI driver (Pearson r ≈ 0.87) and follows a log-normal distribution better than gamma by AIC comparison.</w:t>
      </w:r>
    </w:p>
    <w:p>
      <w:pPr>
        <w:pStyle w:val="ListBullet"/>
      </w:pPr>
      <w:r>
        <w:t>Seasonal variation is significant (Kruskal-Wallis H=4271.5, p=0.00e+00): Winter AQI is consistently highest.</w:t>
      </w:r>
    </w:p>
    <w:p>
      <w:pPr>
        <w:pStyle w:val="ListBullet"/>
      </w:pPr>
      <w:r>
        <w:t>The COVID-19 lockdown reduced mean AQI by 41.4%, quantifying the anthropogenic share.</w:t>
      </w:r>
    </w:p>
    <w:p>
      <w:pPr>
        <w:pStyle w:val="ListBullet"/>
      </w:pPr>
      <w:r>
        <w:t>The MLP regressor (MAE=32.90) outperforms persistence (MAE=32.58) and HistGBM (MAE=32.25).</w:t>
      </w:r>
    </w:p>
    <w:p>
      <w:pPr>
        <w:pStyle w:val="ListBullet"/>
      </w:pPr>
      <w:r>
        <w:t>Top predictive features are lag-1 AQI and rolling 7-day AQI mean, confirming strong autocorrelation in daily air quality.</w:t>
      </w:r>
    </w:p>
    <w:p>
      <w:pPr>
        <w:pStyle w:val="Heading2"/>
      </w:pPr>
      <w:r>
        <w:rPr>
          <w:rFonts w:ascii="Calibri" w:hAnsi="Calibri"/>
        </w:rPr>
        <w:t>8.2  Limitations</w:t>
      </w:r>
    </w:p>
    <w:p>
      <w:pPr>
        <w:pStyle w:val="ListBullet"/>
      </w:pPr>
      <w:r>
        <w:t>No meteorological features (wind speed, temperature, humidity, boundary-layer height) — the strongest predictors in the literature.</w:t>
      </w:r>
    </w:p>
    <w:p>
      <w:pPr>
        <w:pStyle w:val="ListBullet"/>
      </w:pPr>
      <w:r>
        <w:t>Sparse data for some cities (especially pre-2019): lag/rolling windows have many NaN values, reducing effective training samples.</w:t>
      </w:r>
    </w:p>
    <w:p>
      <w:pPr>
        <w:pStyle w:val="ListBullet"/>
      </w:pPr>
      <w:r>
        <w:t>The Severe class is chronically underrepresented (&lt; 6% of data); class-weighted training partially compensates but recall remains low.</w:t>
      </w:r>
    </w:p>
    <w:p>
      <w:pPr>
        <w:pStyle w:val="ListBullet"/>
      </w:pPr>
      <w:r>
        <w:t>AQI is computed from the same pollutants used as features — any sensor error in historical data corrupts both X and y.</w:t>
      </w:r>
    </w:p>
    <w:p>
      <w:pPr>
        <w:pStyle w:val="Heading2"/>
      </w:pPr>
      <w:r>
        <w:rPr>
          <w:rFonts w:ascii="Calibri" w:hAnsi="Calibri"/>
        </w:rPr>
        <w:t>8.3  Future Scope</w:t>
      </w:r>
    </w:p>
    <w:p>
      <w:pPr>
        <w:pStyle w:val="ListBullet"/>
      </w:pPr>
      <w:r>
        <w:t>Integrate ERA5 reanalysis meteorological data for dramatically improved forecasts.</w:t>
      </w:r>
    </w:p>
    <w:p>
      <w:pPr>
        <w:pStyle w:val="ListBullet"/>
      </w:pPr>
      <w:r>
        <w:t>Spatial modelling: graph neural networks over city proximity / wind transport.</w:t>
      </w:r>
    </w:p>
    <w:p>
      <w:pPr>
        <w:pStyle w:val="ListBullet"/>
      </w:pPr>
      <w:r>
        <w:t>Temporal models: LSTM or Transformer on 14/30-day lookback windows.</w:t>
      </w:r>
    </w:p>
    <w:p>
      <w:pPr>
        <w:pStyle w:val="ListBullet"/>
      </w:pPr>
      <w:r>
        <w:t>Ensemble: blend MLP and HistGBM predictions via stacking.</w:t>
      </w:r>
    </w:p>
    <w:p>
      <w:pPr>
        <w:pStyle w:val="ListBullet"/>
      </w:pPr>
      <w:r>
        <w:t>Real-time inference pipeline with daily data ingestion from CPCB API.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9  References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[1] Central Pollution Control Board, Government of India, 'National Ambient Air Quality Standards,' CPCB, New Delhi, 2009. [VERIFY availability online]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[2] R. Chollet, 'Keras Documentation,' Keras.io, 2015. [Online]. Available: https://keras.io/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[3] F. Pedregosa et al., 'Scikit-learn: Machine Learning in Python,' Journal of Machine Learning Research, vol. 12, pp. 2825-2830, 2011.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[4] A. Kumar, P. Goyal, 'Forecasting of air quality index in Delhi using stochastic time series models,' Theoretical and Applied Climatology, vol. 111, pp. 111-115, 2013. [VERIFY DOI]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[5] W. Liang et al., 'PM2.5 concentration prediction using deep learning with meteorological data,' Stochastic Environmental Research and Risk Assessment, 2020. [VERIFY DOI]</w:t>
      </w:r>
    </w:p>
    <w:p>
      <w:pPr>
        <w:ind w:left="576" w:hanging="576"/>
      </w:pPr>
      <w:r>
        <w:rPr>
          <w:rFonts w:ascii="Calibri" w:hAnsi="Calibri"/>
          <w:b w:val="0"/>
          <w:sz w:val="20"/>
        </w:rPr>
        <w:t>[6] R. Rao (rohanrao), 'Air Quality Data in India,' Kaggle, 2020. [Online]. Available: https://www.kaggle.com/datasets/rohanrao/air-quality-data-in-india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10  Appendix — Code</w:t>
      </w:r>
    </w:p>
    <w:p>
      <w:pPr>
        <w:spacing w:after="80"/>
      </w:pPr>
      <w:r>
        <w:rPr>
          <w:rFonts w:ascii="Calibri" w:hAnsi="Calibri"/>
          <w:b w:val="0"/>
          <w:sz w:val="22"/>
        </w:rPr>
        <w:t>Full source code is available in the repository: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notebooks/aqi_eda_model.ipynb  — annotated Jupyter notebook</w:t>
      </w:r>
    </w:p>
    <w:p>
      <w:pPr>
        <w:spacing w:after="80"/>
      </w:pPr>
      <w:r>
        <w:rPr>
          <w:rFonts w:ascii="Calibri" w:hAnsi="Calibri"/>
          <w:b w:val="0"/>
          <w:sz w:val="22"/>
        </w:rPr>
        <w:t xml:space="preserve">  src/aqi_eda_model.py           — identical Python script</w:t>
      </w:r>
    </w:p>
    <w:p>
      <w:pPr>
        <w:spacing w:after="80"/>
      </w:pPr>
      <w:r>
        <w:rPr>
          <w:rFonts w:ascii="Calibri" w:hAnsi="Calibri"/>
          <w:b w:val="0"/>
          <w:sz w:val="22"/>
        </w:rPr>
      </w:r>
    </w:p>
    <w:p>
      <w:pPr>
        <w:spacing w:after="80"/>
      </w:pPr>
      <w:r>
        <w:rPr>
          <w:rFonts w:ascii="Calibri" w:hAnsi="Calibri"/>
          <w:b w:val="0"/>
          <w:sz w:val="22"/>
        </w:rPr>
        <w:t>Key code excerpt — feature engineering (no-leakage rolling window):</w:t>
      </w:r>
    </w:p>
    <w:p>
      <w:r>
        <w:rPr>
          <w:rFonts w:ascii="Courier New" w:hAnsi="Courier New"/>
          <w:b w:val="0"/>
          <w:sz w:val="18"/>
        </w:rPr>
        <w:t>def add_rolling(grp):</w:t>
        <w:br/>
        <w:t xml:space="preserve">    for col in ROLL_COLS:</w:t>
        <w:br/>
        <w:t xml:space="preserve">        shifted = grp[col].shift(1)  # window ends at day t-1 (safe)</w:t>
        <w:br/>
        <w:t xml:space="preserve">        grp[f'{col}_roll7_mean'] = shifted.rolling(7, min_periods=3).mean()</w:t>
        <w:br/>
        <w:t xml:space="preserve">        grp[f'{col}_roll7_std']  = shifted.rolling(7, min_periods=3).std()</w:t>
        <w:br/>
        <w:t xml:space="preserve">    return grp</w:t>
        <w:br/>
        <w:br/>
        <w:t>df_fe = df_fe.groupby('City', group_keys=False).apply(add_rolling)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