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3555" w14:textId="77777777" w:rsidR="006C2400" w:rsidRDefault="00000000">
      <w:pPr>
        <w:pStyle w:val="Heading1"/>
      </w:pPr>
      <w:r>
        <w:t>Comprehensive EDA Summary – BDD100K Object Detection</w:t>
      </w:r>
    </w:p>
    <w:p w14:paraId="686ADE89" w14:textId="77777777" w:rsidR="006C2400" w:rsidRDefault="00000000">
      <w:pPr>
        <w:pStyle w:val="Heading2"/>
      </w:pPr>
      <w:r>
        <w:t>1. Introduction</w:t>
      </w:r>
    </w:p>
    <w:p w14:paraId="66E813BF" w14:textId="77777777" w:rsidR="006C2400" w:rsidRDefault="00000000">
      <w:r>
        <w:t>This document presents an extensive, production-grade exploratory data analysis (EDA) of the BDD100K Object Detection dataset. The analysis is designed to support end-to-end decision making—from dataset understanding to model architecture selection, augmentation strategy design, training, evaluation methodology, and deployment considerations.</w:t>
      </w:r>
    </w:p>
    <w:p w14:paraId="704A6864" w14:textId="77777777" w:rsidR="006C2400" w:rsidRDefault="00000000">
      <w:r>
        <w:t>BDD100K is a large, richly diverse autonomous driving dataset with real-world imperfections: long-tailed class frequencies, small-object dominance, heavy night/day imbalance, varying levels of occlusion and truncation, annotation inconsistencies, strong spatial priors, and metadata-driven domain shifts. This EDA dissects each of these factors in detail and explains how they influence downstream modeling decisions.</w:t>
      </w:r>
    </w:p>
    <w:p w14:paraId="7193B4A5" w14:textId="77777777" w:rsidR="006C2400" w:rsidRDefault="00000000">
      <w:pPr>
        <w:pStyle w:val="Heading2"/>
      </w:pPr>
      <w:r>
        <w:t>2. Dataset Composition &amp; Structure</w:t>
      </w:r>
    </w:p>
    <w:p w14:paraId="4A860292" w14:textId="77777777" w:rsidR="006C2400" w:rsidRDefault="00000000">
      <w:r>
        <w:t>BDD100K consists of 100,000 images captured across varying geographic locations, lighting conditions, weather environments and road types. For the object detection task, 10 classes are annotated using bounding boxes: car, bus, truck, person, rider, bike, motor, traffic light, traffic sign, and train.</w:t>
      </w:r>
    </w:p>
    <w:p w14:paraId="121D72C9" w14:textId="77777777" w:rsidR="006C2400" w:rsidRDefault="00000000">
      <w:r>
        <w:t>The dataset also contains metadata such as weather, time of day, and scene type. These metadata dimensions introduce systematic biases—e.g., night-time images have reduced visibility; rainy scenes have motion blur or glass reflections; highway scenes have fewer pedestrians than city scenes. All these factors influence how a model perceives and detects objects.</w:t>
      </w:r>
    </w:p>
    <w:p w14:paraId="0EC93109" w14:textId="77777777" w:rsidR="006C2400" w:rsidRDefault="00000000">
      <w:pPr>
        <w:pStyle w:val="Heading2"/>
      </w:pPr>
      <w:r>
        <w:t>3. Class Distribution Analysis</w:t>
      </w:r>
    </w:p>
    <w:p w14:paraId="576AD998" w14:textId="756B0113" w:rsidR="006C2400" w:rsidRDefault="00000000" w:rsidP="007B16E0">
      <w:r>
        <w:t>The dataset exhibits a severe long-tail distribution. 'Car' alone accounts for more than half of all bounding boxes. The next most common classes—traffic signs and traffic lights—are an order of magnitude lower. Rare classes like train, rider, bike, and motor contribute less than 1% of total bounding boxes.</w:t>
      </w:r>
      <w:r w:rsidR="007B16E0">
        <w:br/>
      </w:r>
      <w:r w:rsidR="007B16E0">
        <w:lastRenderedPageBreak/>
        <w:br/>
      </w:r>
      <w:r w:rsidR="007B16E0" w:rsidRPr="007B16E0">
        <w:drawing>
          <wp:inline distT="0" distB="0" distL="0" distR="0" wp14:anchorId="49A5F7F3" wp14:editId="05665047">
            <wp:extent cx="5486400" cy="3256915"/>
            <wp:effectExtent l="0" t="0" r="0" b="635"/>
            <wp:docPr id="117884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46516" name=""/>
                    <pic:cNvPicPr/>
                  </pic:nvPicPr>
                  <pic:blipFill>
                    <a:blip r:embed="rId6"/>
                    <a:stretch>
                      <a:fillRect/>
                    </a:stretch>
                  </pic:blipFill>
                  <pic:spPr>
                    <a:xfrm>
                      <a:off x="0" y="0"/>
                      <a:ext cx="5486400" cy="3256915"/>
                    </a:xfrm>
                    <a:prstGeom prst="rect">
                      <a:avLst/>
                    </a:prstGeom>
                  </pic:spPr>
                </pic:pic>
              </a:graphicData>
            </a:graphic>
          </wp:inline>
        </w:drawing>
      </w:r>
    </w:p>
    <w:p w14:paraId="3D503D32" w14:textId="7A09FC41" w:rsidR="007B16E0" w:rsidRDefault="00000000">
      <w:r>
        <w:t>This level of imbalance directly impacts learning: models quickly optimize for high-frequency classes while failing to learn meaningful representations for rare classes. It also affects mAP stability on rare categories.</w:t>
      </w:r>
      <w:r w:rsidR="00B65809">
        <w:t xml:space="preserve"> The accurate counts &amp; percentage for each class is given below:</w:t>
      </w:r>
      <w:r w:rsidR="007B16E0">
        <w:br/>
      </w:r>
    </w:p>
    <w:tbl>
      <w:tblPr>
        <w:tblW w:w="4300" w:type="dxa"/>
        <w:jc w:val="center"/>
        <w:tblLook w:val="04A0" w:firstRow="1" w:lastRow="0" w:firstColumn="1" w:lastColumn="0" w:noHBand="0" w:noVBand="1"/>
      </w:tblPr>
      <w:tblGrid>
        <w:gridCol w:w="1620"/>
        <w:gridCol w:w="1280"/>
        <w:gridCol w:w="1400"/>
      </w:tblGrid>
      <w:tr w:rsidR="007B16E0" w:rsidRPr="007B16E0" w14:paraId="11957528" w14:textId="77777777" w:rsidTr="007B16E0">
        <w:trPr>
          <w:trHeight w:val="345"/>
          <w:jc w:val="center"/>
        </w:trPr>
        <w:tc>
          <w:tcPr>
            <w:tcW w:w="1620" w:type="dxa"/>
            <w:tcBorders>
              <w:top w:val="single" w:sz="4" w:space="0" w:color="000000"/>
              <w:left w:val="single" w:sz="4" w:space="0" w:color="000000"/>
              <w:bottom w:val="single" w:sz="4" w:space="0" w:color="000000"/>
              <w:right w:val="single" w:sz="4" w:space="0" w:color="000000"/>
            </w:tcBorders>
            <w:shd w:val="clear" w:color="000000" w:fill="000000"/>
            <w:vAlign w:val="center"/>
            <w:hideMark/>
          </w:tcPr>
          <w:p w14:paraId="4A4879CF" w14:textId="77777777" w:rsidR="007B16E0" w:rsidRPr="007B16E0" w:rsidRDefault="007B16E0" w:rsidP="007B16E0">
            <w:pPr>
              <w:spacing w:after="0" w:line="240" w:lineRule="auto"/>
              <w:jc w:val="center"/>
              <w:rPr>
                <w:rFonts w:ascii="Segoe UI" w:eastAsia="Times New Roman" w:hAnsi="Segoe UI" w:cs="Segoe UI"/>
                <w:b/>
                <w:bCs/>
                <w:color w:val="FFFFFF"/>
                <w:sz w:val="24"/>
                <w:szCs w:val="24"/>
                <w:lang w:val="en-IN" w:eastAsia="en-IN"/>
              </w:rPr>
            </w:pPr>
            <w:r w:rsidRPr="007B16E0">
              <w:rPr>
                <w:rFonts w:ascii="Segoe UI" w:eastAsia="Times New Roman" w:hAnsi="Segoe UI" w:cs="Segoe UI"/>
                <w:b/>
                <w:bCs/>
                <w:color w:val="FFFFFF"/>
                <w:sz w:val="24"/>
                <w:szCs w:val="24"/>
                <w:lang w:val="en-IN" w:eastAsia="en-IN"/>
              </w:rPr>
              <w:t>category</w:t>
            </w:r>
          </w:p>
        </w:tc>
        <w:tc>
          <w:tcPr>
            <w:tcW w:w="1280" w:type="dxa"/>
            <w:tcBorders>
              <w:top w:val="single" w:sz="4" w:space="0" w:color="000000"/>
              <w:left w:val="single" w:sz="4" w:space="0" w:color="000000"/>
              <w:bottom w:val="single" w:sz="4" w:space="0" w:color="000000"/>
              <w:right w:val="single" w:sz="4" w:space="0" w:color="000000"/>
            </w:tcBorders>
            <w:shd w:val="clear" w:color="000000" w:fill="000000"/>
            <w:vAlign w:val="center"/>
            <w:hideMark/>
          </w:tcPr>
          <w:p w14:paraId="5975E173" w14:textId="77777777" w:rsidR="007B16E0" w:rsidRPr="007B16E0" w:rsidRDefault="007B16E0" w:rsidP="007B16E0">
            <w:pPr>
              <w:spacing w:after="0" w:line="240" w:lineRule="auto"/>
              <w:jc w:val="center"/>
              <w:rPr>
                <w:rFonts w:ascii="Segoe UI" w:eastAsia="Times New Roman" w:hAnsi="Segoe UI" w:cs="Segoe UI"/>
                <w:b/>
                <w:bCs/>
                <w:color w:val="FFFFFF"/>
                <w:sz w:val="24"/>
                <w:szCs w:val="24"/>
                <w:lang w:val="en-IN" w:eastAsia="en-IN"/>
              </w:rPr>
            </w:pPr>
            <w:r w:rsidRPr="007B16E0">
              <w:rPr>
                <w:rFonts w:ascii="Segoe UI" w:eastAsia="Times New Roman" w:hAnsi="Segoe UI" w:cs="Segoe UI"/>
                <w:b/>
                <w:bCs/>
                <w:color w:val="FFFFFF"/>
                <w:sz w:val="24"/>
                <w:szCs w:val="24"/>
                <w:lang w:val="en-IN" w:eastAsia="en-IN"/>
              </w:rPr>
              <w:t>count</w:t>
            </w:r>
          </w:p>
        </w:tc>
        <w:tc>
          <w:tcPr>
            <w:tcW w:w="1400" w:type="dxa"/>
            <w:tcBorders>
              <w:top w:val="single" w:sz="4" w:space="0" w:color="000000"/>
              <w:left w:val="single" w:sz="4" w:space="0" w:color="000000"/>
              <w:bottom w:val="single" w:sz="4" w:space="0" w:color="000000"/>
              <w:right w:val="single" w:sz="4" w:space="0" w:color="000000"/>
            </w:tcBorders>
            <w:shd w:val="clear" w:color="000000" w:fill="000000"/>
            <w:vAlign w:val="center"/>
            <w:hideMark/>
          </w:tcPr>
          <w:p w14:paraId="1A56DE28" w14:textId="77777777" w:rsidR="007B16E0" w:rsidRPr="007B16E0" w:rsidRDefault="007B16E0" w:rsidP="007B16E0">
            <w:pPr>
              <w:spacing w:after="0" w:line="240" w:lineRule="auto"/>
              <w:jc w:val="center"/>
              <w:rPr>
                <w:rFonts w:ascii="Segoe UI" w:eastAsia="Times New Roman" w:hAnsi="Segoe UI" w:cs="Segoe UI"/>
                <w:b/>
                <w:bCs/>
                <w:color w:val="FFFFFF"/>
                <w:sz w:val="24"/>
                <w:szCs w:val="24"/>
                <w:lang w:val="en-IN" w:eastAsia="en-IN"/>
              </w:rPr>
            </w:pPr>
            <w:r w:rsidRPr="007B16E0">
              <w:rPr>
                <w:rFonts w:ascii="Segoe UI" w:eastAsia="Times New Roman" w:hAnsi="Segoe UI" w:cs="Segoe UI"/>
                <w:b/>
                <w:bCs/>
                <w:color w:val="FFFFFF"/>
                <w:sz w:val="24"/>
                <w:szCs w:val="24"/>
                <w:lang w:val="en-IN" w:eastAsia="en-IN"/>
              </w:rPr>
              <w:t>percent</w:t>
            </w:r>
          </w:p>
        </w:tc>
      </w:tr>
      <w:tr w:rsidR="007B16E0" w:rsidRPr="007B16E0" w14:paraId="555138DE" w14:textId="77777777" w:rsidTr="007B16E0">
        <w:trPr>
          <w:trHeight w:val="345"/>
          <w:jc w:val="center"/>
        </w:trPr>
        <w:tc>
          <w:tcPr>
            <w:tcW w:w="162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DBC4418"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car</w:t>
            </w:r>
          </w:p>
        </w:tc>
        <w:tc>
          <w:tcPr>
            <w:tcW w:w="128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A8D07EA"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815717</w:t>
            </w:r>
          </w:p>
        </w:tc>
        <w:tc>
          <w:tcPr>
            <w:tcW w:w="14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F756283"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55.4</w:t>
            </w:r>
          </w:p>
        </w:tc>
      </w:tr>
      <w:tr w:rsidR="007B16E0" w:rsidRPr="007B16E0" w14:paraId="5B13FD09" w14:textId="77777777" w:rsidTr="007B16E0">
        <w:trPr>
          <w:trHeight w:val="345"/>
          <w:jc w:val="center"/>
        </w:trPr>
        <w:tc>
          <w:tcPr>
            <w:tcW w:w="1620" w:type="dxa"/>
            <w:tcBorders>
              <w:top w:val="single" w:sz="4" w:space="0" w:color="000000"/>
              <w:left w:val="single" w:sz="4" w:space="0" w:color="000000"/>
              <w:bottom w:val="single" w:sz="4" w:space="0" w:color="000000"/>
              <w:right w:val="single" w:sz="4" w:space="0" w:color="000000"/>
            </w:tcBorders>
            <w:vAlign w:val="center"/>
            <w:hideMark/>
          </w:tcPr>
          <w:p w14:paraId="27FF9177"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traffic sign</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127C3C87"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274594</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432AC6A8"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18.65</w:t>
            </w:r>
          </w:p>
        </w:tc>
      </w:tr>
      <w:tr w:rsidR="007B16E0" w:rsidRPr="007B16E0" w14:paraId="4900A4FA" w14:textId="77777777" w:rsidTr="007B16E0">
        <w:trPr>
          <w:trHeight w:val="345"/>
          <w:jc w:val="center"/>
        </w:trPr>
        <w:tc>
          <w:tcPr>
            <w:tcW w:w="162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8DF3297"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traffic light</w:t>
            </w:r>
          </w:p>
        </w:tc>
        <w:tc>
          <w:tcPr>
            <w:tcW w:w="128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5A4890D"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213002</w:t>
            </w:r>
          </w:p>
        </w:tc>
        <w:tc>
          <w:tcPr>
            <w:tcW w:w="14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642A620E"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14.47</w:t>
            </w:r>
          </w:p>
        </w:tc>
      </w:tr>
      <w:tr w:rsidR="007B16E0" w:rsidRPr="007B16E0" w14:paraId="0E48C4A3" w14:textId="77777777" w:rsidTr="007B16E0">
        <w:trPr>
          <w:trHeight w:val="345"/>
          <w:jc w:val="center"/>
        </w:trPr>
        <w:tc>
          <w:tcPr>
            <w:tcW w:w="1620" w:type="dxa"/>
            <w:tcBorders>
              <w:top w:val="single" w:sz="4" w:space="0" w:color="000000"/>
              <w:left w:val="single" w:sz="4" w:space="0" w:color="000000"/>
              <w:bottom w:val="single" w:sz="4" w:space="0" w:color="000000"/>
              <w:right w:val="single" w:sz="4" w:space="0" w:color="000000"/>
            </w:tcBorders>
            <w:vAlign w:val="center"/>
            <w:hideMark/>
          </w:tcPr>
          <w:p w14:paraId="38C5E842"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person</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1B6BF2DC"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104611</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1750B552"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7.1</w:t>
            </w:r>
          </w:p>
        </w:tc>
      </w:tr>
      <w:tr w:rsidR="007B16E0" w:rsidRPr="007B16E0" w14:paraId="0C2C8295" w14:textId="77777777" w:rsidTr="007B16E0">
        <w:trPr>
          <w:trHeight w:val="345"/>
          <w:jc w:val="center"/>
        </w:trPr>
        <w:tc>
          <w:tcPr>
            <w:tcW w:w="162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18AC5D63"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truck</w:t>
            </w:r>
          </w:p>
        </w:tc>
        <w:tc>
          <w:tcPr>
            <w:tcW w:w="128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7874CF9"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34216</w:t>
            </w:r>
          </w:p>
        </w:tc>
        <w:tc>
          <w:tcPr>
            <w:tcW w:w="14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CA0B42B"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2.32</w:t>
            </w:r>
          </w:p>
        </w:tc>
      </w:tr>
      <w:tr w:rsidR="007B16E0" w:rsidRPr="007B16E0" w14:paraId="42D01A01" w14:textId="77777777" w:rsidTr="007B16E0">
        <w:trPr>
          <w:trHeight w:val="345"/>
          <w:jc w:val="center"/>
        </w:trPr>
        <w:tc>
          <w:tcPr>
            <w:tcW w:w="1620" w:type="dxa"/>
            <w:tcBorders>
              <w:top w:val="single" w:sz="4" w:space="0" w:color="000000"/>
              <w:left w:val="single" w:sz="4" w:space="0" w:color="000000"/>
              <w:bottom w:val="single" w:sz="4" w:space="0" w:color="000000"/>
              <w:right w:val="single" w:sz="4" w:space="0" w:color="000000"/>
            </w:tcBorders>
            <w:vAlign w:val="center"/>
            <w:hideMark/>
          </w:tcPr>
          <w:p w14:paraId="229A4102"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bus</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12BCAA05"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13269</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6AD32F72"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0.9</w:t>
            </w:r>
          </w:p>
        </w:tc>
      </w:tr>
      <w:tr w:rsidR="007B16E0" w:rsidRPr="007B16E0" w14:paraId="12D8FCBD" w14:textId="77777777" w:rsidTr="007B16E0">
        <w:trPr>
          <w:trHeight w:val="345"/>
          <w:jc w:val="center"/>
        </w:trPr>
        <w:tc>
          <w:tcPr>
            <w:tcW w:w="162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4482804A"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bike</w:t>
            </w:r>
          </w:p>
        </w:tc>
        <w:tc>
          <w:tcPr>
            <w:tcW w:w="128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5D806E3F"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8217</w:t>
            </w:r>
          </w:p>
        </w:tc>
        <w:tc>
          <w:tcPr>
            <w:tcW w:w="14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23125F26"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0.56</w:t>
            </w:r>
          </w:p>
        </w:tc>
      </w:tr>
      <w:tr w:rsidR="007B16E0" w:rsidRPr="007B16E0" w14:paraId="47649537" w14:textId="77777777" w:rsidTr="007B16E0">
        <w:trPr>
          <w:trHeight w:val="345"/>
          <w:jc w:val="center"/>
        </w:trPr>
        <w:tc>
          <w:tcPr>
            <w:tcW w:w="1620" w:type="dxa"/>
            <w:tcBorders>
              <w:top w:val="single" w:sz="4" w:space="0" w:color="000000"/>
              <w:left w:val="single" w:sz="4" w:space="0" w:color="000000"/>
              <w:bottom w:val="single" w:sz="4" w:space="0" w:color="000000"/>
              <w:right w:val="single" w:sz="4" w:space="0" w:color="000000"/>
            </w:tcBorders>
            <w:vAlign w:val="center"/>
            <w:hideMark/>
          </w:tcPr>
          <w:p w14:paraId="2964A086"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rider</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146F018F"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5166</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019B8C5E"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0.35</w:t>
            </w:r>
          </w:p>
        </w:tc>
      </w:tr>
      <w:tr w:rsidR="007B16E0" w:rsidRPr="007B16E0" w14:paraId="28A2D1A8" w14:textId="77777777" w:rsidTr="007B16E0">
        <w:trPr>
          <w:trHeight w:val="345"/>
          <w:jc w:val="center"/>
        </w:trPr>
        <w:tc>
          <w:tcPr>
            <w:tcW w:w="162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78BD391E"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motor</w:t>
            </w:r>
          </w:p>
        </w:tc>
        <w:tc>
          <w:tcPr>
            <w:tcW w:w="128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E452CE9"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3454</w:t>
            </w:r>
          </w:p>
        </w:tc>
        <w:tc>
          <w:tcPr>
            <w:tcW w:w="1400" w:type="dxa"/>
            <w:tcBorders>
              <w:top w:val="single" w:sz="4" w:space="0" w:color="000000"/>
              <w:left w:val="single" w:sz="4" w:space="0" w:color="000000"/>
              <w:bottom w:val="single" w:sz="4" w:space="0" w:color="000000"/>
              <w:right w:val="single" w:sz="4" w:space="0" w:color="000000"/>
            </w:tcBorders>
            <w:shd w:val="clear" w:color="D9D9D9" w:fill="D9D9D9"/>
            <w:vAlign w:val="center"/>
            <w:hideMark/>
          </w:tcPr>
          <w:p w14:paraId="0ED8A79C"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0.23</w:t>
            </w:r>
          </w:p>
        </w:tc>
      </w:tr>
      <w:tr w:rsidR="007B16E0" w:rsidRPr="007B16E0" w14:paraId="350A72DD" w14:textId="77777777" w:rsidTr="007B16E0">
        <w:trPr>
          <w:trHeight w:val="345"/>
          <w:jc w:val="center"/>
        </w:trPr>
        <w:tc>
          <w:tcPr>
            <w:tcW w:w="1620" w:type="dxa"/>
            <w:tcBorders>
              <w:top w:val="single" w:sz="4" w:space="0" w:color="000000"/>
              <w:left w:val="single" w:sz="4" w:space="0" w:color="000000"/>
              <w:bottom w:val="single" w:sz="4" w:space="0" w:color="000000"/>
              <w:right w:val="single" w:sz="4" w:space="0" w:color="000000"/>
            </w:tcBorders>
            <w:vAlign w:val="center"/>
            <w:hideMark/>
          </w:tcPr>
          <w:p w14:paraId="0951E689"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train</w:t>
            </w:r>
          </w:p>
        </w:tc>
        <w:tc>
          <w:tcPr>
            <w:tcW w:w="1280" w:type="dxa"/>
            <w:tcBorders>
              <w:top w:val="single" w:sz="4" w:space="0" w:color="000000"/>
              <w:left w:val="single" w:sz="4" w:space="0" w:color="000000"/>
              <w:bottom w:val="single" w:sz="4" w:space="0" w:color="000000"/>
              <w:right w:val="single" w:sz="4" w:space="0" w:color="000000"/>
            </w:tcBorders>
            <w:vAlign w:val="center"/>
            <w:hideMark/>
          </w:tcPr>
          <w:p w14:paraId="2605DAB5"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151</w:t>
            </w:r>
          </w:p>
        </w:tc>
        <w:tc>
          <w:tcPr>
            <w:tcW w:w="1400" w:type="dxa"/>
            <w:tcBorders>
              <w:top w:val="single" w:sz="4" w:space="0" w:color="000000"/>
              <w:left w:val="single" w:sz="4" w:space="0" w:color="000000"/>
              <w:bottom w:val="single" w:sz="4" w:space="0" w:color="000000"/>
              <w:right w:val="single" w:sz="4" w:space="0" w:color="000000"/>
            </w:tcBorders>
            <w:vAlign w:val="center"/>
            <w:hideMark/>
          </w:tcPr>
          <w:p w14:paraId="49A4096D" w14:textId="77777777" w:rsidR="007B16E0" w:rsidRPr="007B16E0" w:rsidRDefault="007B16E0" w:rsidP="007B16E0">
            <w:pPr>
              <w:spacing w:after="0" w:line="240" w:lineRule="auto"/>
              <w:jc w:val="center"/>
              <w:rPr>
                <w:rFonts w:ascii="Segoe UI" w:eastAsia="Times New Roman" w:hAnsi="Segoe UI" w:cs="Segoe UI"/>
                <w:sz w:val="24"/>
                <w:szCs w:val="24"/>
                <w:lang w:val="en-IN" w:eastAsia="en-IN"/>
              </w:rPr>
            </w:pPr>
            <w:r w:rsidRPr="007B16E0">
              <w:rPr>
                <w:rFonts w:ascii="Segoe UI" w:eastAsia="Times New Roman" w:hAnsi="Segoe UI" w:cs="Segoe UI"/>
                <w:sz w:val="24"/>
                <w:szCs w:val="24"/>
                <w:lang w:val="en-IN" w:eastAsia="en-IN"/>
              </w:rPr>
              <w:t>0.01</w:t>
            </w:r>
          </w:p>
        </w:tc>
      </w:tr>
    </w:tbl>
    <w:p w14:paraId="392A8651" w14:textId="145FE13A" w:rsidR="006C2400" w:rsidRDefault="007B16E0">
      <w:r>
        <w:br/>
      </w:r>
    </w:p>
    <w:p w14:paraId="6B3513EC" w14:textId="77777777" w:rsidR="006C2400" w:rsidRDefault="00000000">
      <w:pPr>
        <w:pStyle w:val="Heading2"/>
      </w:pPr>
      <w:r>
        <w:lastRenderedPageBreak/>
        <w:t>4. Bounding Box Geometry: Scale, Area &amp; Aspect Ratio</w:t>
      </w:r>
    </w:p>
    <w:p w14:paraId="6E4A3DE4" w14:textId="77777777" w:rsidR="006C2400" w:rsidRDefault="00000000">
      <w:r>
        <w:t>A key characteristic of BDD100K is the extremely large number of small objects. Traffic lights and signs often occupy tiny regions (sometimes &lt;0.5% of image area). Pedestrians and riders appear small when far away. Vehicles vary in size depending on distance, angle, and occlusion.</w:t>
      </w:r>
    </w:p>
    <w:p w14:paraId="31354918" w14:textId="77777777" w:rsidR="006C2400" w:rsidRDefault="00000000">
      <w:r>
        <w:t>Aspect ratio patterns map well to semantic expectations: pedestrians are tall and slender, cars are wide, traffic signs are near-square, and trucks/buses are large rectangular structures. These geometric trends affect detector performance, influencing decisions such as anchor design or choosing anchor-free models.</w:t>
      </w:r>
    </w:p>
    <w:p w14:paraId="6441DB88" w14:textId="522EDE26" w:rsidR="006C2400" w:rsidRDefault="00A3006D">
      <w:r w:rsidRPr="00A3006D">
        <w:drawing>
          <wp:inline distT="0" distB="0" distL="0" distR="0" wp14:anchorId="6B0D390F" wp14:editId="7552EBCF">
            <wp:extent cx="5153025" cy="5238750"/>
            <wp:effectExtent l="0" t="0" r="9525" b="0"/>
            <wp:docPr id="124790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05324" name=""/>
                    <pic:cNvPicPr/>
                  </pic:nvPicPr>
                  <pic:blipFill>
                    <a:blip r:embed="rId7"/>
                    <a:stretch>
                      <a:fillRect/>
                    </a:stretch>
                  </pic:blipFill>
                  <pic:spPr>
                    <a:xfrm>
                      <a:off x="0" y="0"/>
                      <a:ext cx="5153025" cy="5238750"/>
                    </a:xfrm>
                    <a:prstGeom prst="rect">
                      <a:avLst/>
                    </a:prstGeom>
                  </pic:spPr>
                </pic:pic>
              </a:graphicData>
            </a:graphic>
          </wp:inline>
        </w:drawing>
      </w:r>
    </w:p>
    <w:p w14:paraId="4D8FEAFD" w14:textId="77777777" w:rsidR="006C2400" w:rsidRDefault="00000000">
      <w:pPr>
        <w:pStyle w:val="Heading2"/>
      </w:pPr>
      <w:r>
        <w:t>5. Per-Class Size Variability</w:t>
      </w:r>
    </w:p>
    <w:p w14:paraId="2536CC0C" w14:textId="77777777" w:rsidR="006C2400" w:rsidRDefault="00000000">
      <w:r>
        <w:t xml:space="preserve">Certain classes show extreme intra-class size variability. Buses and trucks can appear very large when nearby or very small when distant. Pedestrians may appear tiny or medium depending on </w:t>
      </w:r>
      <w:r>
        <w:lastRenderedPageBreak/>
        <w:t>the scene. Traffic lights show low variability since they appear consistently high and distant in the frame.</w:t>
      </w:r>
    </w:p>
    <w:p w14:paraId="423E9D8F" w14:textId="77777777" w:rsidR="006C2400" w:rsidRDefault="00000000">
      <w:r>
        <w:t>Understanding this variability is essential for designing a model that can generalize across distance-induced scale changes. It also partially explains AP differences between classes.</w:t>
      </w:r>
    </w:p>
    <w:tbl>
      <w:tblPr>
        <w:tblW w:w="6700" w:type="dxa"/>
        <w:tblInd w:w="113" w:type="dxa"/>
        <w:tblLook w:val="04A0" w:firstRow="1" w:lastRow="0" w:firstColumn="1" w:lastColumn="0" w:noHBand="0" w:noVBand="1"/>
      </w:tblPr>
      <w:tblGrid>
        <w:gridCol w:w="1204"/>
        <w:gridCol w:w="1759"/>
        <w:gridCol w:w="2018"/>
        <w:gridCol w:w="1719"/>
      </w:tblGrid>
      <w:tr w:rsidR="00F860DE" w:rsidRPr="00F860DE" w14:paraId="3ABAC2C4" w14:textId="77777777" w:rsidTr="00F860DE">
        <w:trPr>
          <w:trHeight w:val="345"/>
        </w:trPr>
        <w:tc>
          <w:tcPr>
            <w:tcW w:w="1200" w:type="dxa"/>
            <w:tcBorders>
              <w:top w:val="single" w:sz="4" w:space="0" w:color="000000"/>
              <w:left w:val="single" w:sz="4" w:space="0" w:color="000000"/>
              <w:bottom w:val="single" w:sz="4" w:space="0" w:color="000000"/>
              <w:right w:val="single" w:sz="4" w:space="0" w:color="000000"/>
            </w:tcBorders>
            <w:shd w:val="clear" w:color="000000" w:fill="000000"/>
            <w:vAlign w:val="center"/>
            <w:hideMark/>
          </w:tcPr>
          <w:p w14:paraId="24AD334B" w14:textId="77777777" w:rsidR="00F860DE" w:rsidRPr="00F860DE" w:rsidRDefault="00F860DE" w:rsidP="00F860DE">
            <w:pPr>
              <w:spacing w:after="0" w:line="240" w:lineRule="auto"/>
              <w:jc w:val="center"/>
              <w:rPr>
                <w:rFonts w:ascii="Segoe UI" w:eastAsia="Times New Roman" w:hAnsi="Segoe UI" w:cs="Segoe UI"/>
                <w:b/>
                <w:bCs/>
                <w:color w:val="FFFFFF"/>
                <w:sz w:val="24"/>
                <w:szCs w:val="24"/>
                <w:lang w:val="en-IN" w:eastAsia="en-IN"/>
              </w:rPr>
            </w:pPr>
            <w:r w:rsidRPr="00F860DE">
              <w:rPr>
                <w:rFonts w:ascii="Segoe UI" w:eastAsia="Times New Roman" w:hAnsi="Segoe UI" w:cs="Segoe UI"/>
                <w:b/>
                <w:bCs/>
                <w:color w:val="FFFFFF"/>
                <w:sz w:val="24"/>
                <w:szCs w:val="24"/>
                <w:lang w:val="en-IN" w:eastAsia="en-IN"/>
              </w:rPr>
              <w:t>category</w:t>
            </w:r>
          </w:p>
        </w:tc>
        <w:tc>
          <w:tcPr>
            <w:tcW w:w="1760" w:type="dxa"/>
            <w:tcBorders>
              <w:top w:val="single" w:sz="4" w:space="0" w:color="000000"/>
              <w:left w:val="nil"/>
              <w:bottom w:val="single" w:sz="4" w:space="0" w:color="000000"/>
              <w:right w:val="single" w:sz="4" w:space="0" w:color="000000"/>
            </w:tcBorders>
            <w:shd w:val="clear" w:color="000000" w:fill="000000"/>
            <w:vAlign w:val="center"/>
            <w:hideMark/>
          </w:tcPr>
          <w:p w14:paraId="239586B6" w14:textId="77777777" w:rsidR="00F860DE" w:rsidRPr="00F860DE" w:rsidRDefault="00F860DE" w:rsidP="00F860DE">
            <w:pPr>
              <w:spacing w:after="0" w:line="240" w:lineRule="auto"/>
              <w:jc w:val="center"/>
              <w:rPr>
                <w:rFonts w:ascii="Segoe UI" w:eastAsia="Times New Roman" w:hAnsi="Segoe UI" w:cs="Segoe UI"/>
                <w:b/>
                <w:bCs/>
                <w:color w:val="FFFFFF"/>
                <w:sz w:val="24"/>
                <w:szCs w:val="24"/>
                <w:lang w:val="en-IN" w:eastAsia="en-IN"/>
              </w:rPr>
            </w:pPr>
            <w:proofErr w:type="spellStart"/>
            <w:r w:rsidRPr="00F860DE">
              <w:rPr>
                <w:rFonts w:ascii="Segoe UI" w:eastAsia="Times New Roman" w:hAnsi="Segoe UI" w:cs="Segoe UI"/>
                <w:b/>
                <w:bCs/>
                <w:color w:val="FFFFFF"/>
                <w:sz w:val="24"/>
                <w:szCs w:val="24"/>
                <w:lang w:val="en-IN" w:eastAsia="en-IN"/>
              </w:rPr>
              <w:t>width_norm</w:t>
            </w:r>
            <w:proofErr w:type="spellEnd"/>
          </w:p>
        </w:tc>
        <w:tc>
          <w:tcPr>
            <w:tcW w:w="2020" w:type="dxa"/>
            <w:tcBorders>
              <w:top w:val="single" w:sz="4" w:space="0" w:color="000000"/>
              <w:left w:val="nil"/>
              <w:bottom w:val="single" w:sz="4" w:space="0" w:color="000000"/>
              <w:right w:val="single" w:sz="4" w:space="0" w:color="000000"/>
            </w:tcBorders>
            <w:shd w:val="clear" w:color="000000" w:fill="000000"/>
            <w:vAlign w:val="center"/>
            <w:hideMark/>
          </w:tcPr>
          <w:p w14:paraId="3A5DAC04" w14:textId="77777777" w:rsidR="00F860DE" w:rsidRPr="00F860DE" w:rsidRDefault="00F860DE" w:rsidP="00F860DE">
            <w:pPr>
              <w:spacing w:after="0" w:line="240" w:lineRule="auto"/>
              <w:jc w:val="center"/>
              <w:rPr>
                <w:rFonts w:ascii="Segoe UI" w:eastAsia="Times New Roman" w:hAnsi="Segoe UI" w:cs="Segoe UI"/>
                <w:b/>
                <w:bCs/>
                <w:color w:val="FFFFFF"/>
                <w:sz w:val="24"/>
                <w:szCs w:val="24"/>
                <w:lang w:val="en-IN" w:eastAsia="en-IN"/>
              </w:rPr>
            </w:pPr>
            <w:proofErr w:type="spellStart"/>
            <w:r w:rsidRPr="00F860DE">
              <w:rPr>
                <w:rFonts w:ascii="Segoe UI" w:eastAsia="Times New Roman" w:hAnsi="Segoe UI" w:cs="Segoe UI"/>
                <w:b/>
                <w:bCs/>
                <w:color w:val="FFFFFF"/>
                <w:sz w:val="24"/>
                <w:szCs w:val="24"/>
                <w:lang w:val="en-IN" w:eastAsia="en-IN"/>
              </w:rPr>
              <w:t>height_norm</w:t>
            </w:r>
            <w:proofErr w:type="spellEnd"/>
          </w:p>
        </w:tc>
        <w:tc>
          <w:tcPr>
            <w:tcW w:w="1720" w:type="dxa"/>
            <w:tcBorders>
              <w:top w:val="single" w:sz="4" w:space="0" w:color="000000"/>
              <w:left w:val="nil"/>
              <w:bottom w:val="single" w:sz="4" w:space="0" w:color="000000"/>
              <w:right w:val="single" w:sz="4" w:space="0" w:color="000000"/>
            </w:tcBorders>
            <w:shd w:val="clear" w:color="000000" w:fill="000000"/>
            <w:vAlign w:val="center"/>
            <w:hideMark/>
          </w:tcPr>
          <w:p w14:paraId="369CDC43" w14:textId="77777777" w:rsidR="00F860DE" w:rsidRPr="00F860DE" w:rsidRDefault="00F860DE" w:rsidP="00F860DE">
            <w:pPr>
              <w:spacing w:after="0" w:line="240" w:lineRule="auto"/>
              <w:jc w:val="center"/>
              <w:rPr>
                <w:rFonts w:ascii="Segoe UI" w:eastAsia="Times New Roman" w:hAnsi="Segoe UI" w:cs="Segoe UI"/>
                <w:b/>
                <w:bCs/>
                <w:color w:val="FFFFFF"/>
                <w:sz w:val="24"/>
                <w:szCs w:val="24"/>
                <w:lang w:val="en-IN" w:eastAsia="en-IN"/>
              </w:rPr>
            </w:pPr>
            <w:proofErr w:type="spellStart"/>
            <w:r w:rsidRPr="00F860DE">
              <w:rPr>
                <w:rFonts w:ascii="Segoe UI" w:eastAsia="Times New Roman" w:hAnsi="Segoe UI" w:cs="Segoe UI"/>
                <w:b/>
                <w:bCs/>
                <w:color w:val="FFFFFF"/>
                <w:sz w:val="24"/>
                <w:szCs w:val="24"/>
                <w:lang w:val="en-IN" w:eastAsia="en-IN"/>
              </w:rPr>
              <w:t>aspect_ratio</w:t>
            </w:r>
            <w:proofErr w:type="spellEnd"/>
          </w:p>
        </w:tc>
      </w:tr>
      <w:tr w:rsidR="00F860DE" w:rsidRPr="00F860DE" w14:paraId="7AF68F35" w14:textId="77777777" w:rsidTr="00F860DE">
        <w:trPr>
          <w:trHeight w:val="345"/>
        </w:trPr>
        <w:tc>
          <w:tcPr>
            <w:tcW w:w="1200" w:type="dxa"/>
            <w:tcBorders>
              <w:top w:val="nil"/>
              <w:left w:val="single" w:sz="4" w:space="0" w:color="000000"/>
              <w:bottom w:val="single" w:sz="4" w:space="0" w:color="000000"/>
              <w:right w:val="single" w:sz="4" w:space="0" w:color="000000"/>
            </w:tcBorders>
            <w:shd w:val="clear" w:color="D9D9D9" w:fill="D9D9D9"/>
            <w:vAlign w:val="center"/>
            <w:hideMark/>
          </w:tcPr>
          <w:p w14:paraId="29CEBD89"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train</w:t>
            </w:r>
          </w:p>
        </w:tc>
        <w:tc>
          <w:tcPr>
            <w:tcW w:w="1760" w:type="dxa"/>
            <w:tcBorders>
              <w:top w:val="nil"/>
              <w:left w:val="nil"/>
              <w:bottom w:val="single" w:sz="4" w:space="0" w:color="000000"/>
              <w:right w:val="single" w:sz="4" w:space="0" w:color="000000"/>
            </w:tcBorders>
            <w:shd w:val="clear" w:color="D9D9D9" w:fill="D9D9D9"/>
            <w:vAlign w:val="center"/>
            <w:hideMark/>
          </w:tcPr>
          <w:p w14:paraId="7B49EC8F"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0.2103</w:t>
            </w:r>
          </w:p>
        </w:tc>
        <w:tc>
          <w:tcPr>
            <w:tcW w:w="2020" w:type="dxa"/>
            <w:tcBorders>
              <w:top w:val="nil"/>
              <w:left w:val="nil"/>
              <w:bottom w:val="single" w:sz="4" w:space="0" w:color="000000"/>
              <w:right w:val="single" w:sz="4" w:space="0" w:color="000000"/>
            </w:tcBorders>
            <w:shd w:val="clear" w:color="D9D9D9" w:fill="D9D9D9"/>
            <w:vAlign w:val="center"/>
            <w:hideMark/>
          </w:tcPr>
          <w:p w14:paraId="5E052834"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0.1163</w:t>
            </w:r>
          </w:p>
        </w:tc>
        <w:tc>
          <w:tcPr>
            <w:tcW w:w="1720" w:type="dxa"/>
            <w:tcBorders>
              <w:top w:val="nil"/>
              <w:left w:val="nil"/>
              <w:bottom w:val="single" w:sz="4" w:space="0" w:color="000000"/>
              <w:right w:val="single" w:sz="4" w:space="0" w:color="000000"/>
            </w:tcBorders>
            <w:shd w:val="clear" w:color="D9D9D9" w:fill="D9D9D9"/>
            <w:vAlign w:val="center"/>
            <w:hideMark/>
          </w:tcPr>
          <w:p w14:paraId="06E42F48"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2.179</w:t>
            </w:r>
          </w:p>
        </w:tc>
      </w:tr>
      <w:tr w:rsidR="00F860DE" w:rsidRPr="00F860DE" w14:paraId="59A82C09" w14:textId="77777777" w:rsidTr="00F860DE">
        <w:trPr>
          <w:trHeight w:val="345"/>
        </w:trPr>
        <w:tc>
          <w:tcPr>
            <w:tcW w:w="1200" w:type="dxa"/>
            <w:tcBorders>
              <w:top w:val="nil"/>
              <w:left w:val="single" w:sz="4" w:space="0" w:color="000000"/>
              <w:bottom w:val="single" w:sz="4" w:space="0" w:color="000000"/>
              <w:right w:val="single" w:sz="4" w:space="0" w:color="000000"/>
            </w:tcBorders>
            <w:vAlign w:val="center"/>
            <w:hideMark/>
          </w:tcPr>
          <w:p w14:paraId="5FE0CAFB"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bus</w:t>
            </w:r>
          </w:p>
        </w:tc>
        <w:tc>
          <w:tcPr>
            <w:tcW w:w="1760" w:type="dxa"/>
            <w:tcBorders>
              <w:top w:val="nil"/>
              <w:left w:val="nil"/>
              <w:bottom w:val="single" w:sz="4" w:space="0" w:color="000000"/>
              <w:right w:val="single" w:sz="4" w:space="0" w:color="000000"/>
            </w:tcBorders>
            <w:vAlign w:val="center"/>
            <w:hideMark/>
          </w:tcPr>
          <w:p w14:paraId="4DD7DA39"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0.1136</w:t>
            </w:r>
          </w:p>
        </w:tc>
        <w:tc>
          <w:tcPr>
            <w:tcW w:w="2020" w:type="dxa"/>
            <w:tcBorders>
              <w:top w:val="nil"/>
              <w:left w:val="nil"/>
              <w:bottom w:val="single" w:sz="4" w:space="0" w:color="000000"/>
              <w:right w:val="single" w:sz="4" w:space="0" w:color="000000"/>
            </w:tcBorders>
            <w:vAlign w:val="center"/>
            <w:hideMark/>
          </w:tcPr>
          <w:p w14:paraId="6CDB8AC8"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0.1763</w:t>
            </w:r>
          </w:p>
        </w:tc>
        <w:tc>
          <w:tcPr>
            <w:tcW w:w="1720" w:type="dxa"/>
            <w:tcBorders>
              <w:top w:val="nil"/>
              <w:left w:val="nil"/>
              <w:bottom w:val="single" w:sz="4" w:space="0" w:color="000000"/>
              <w:right w:val="single" w:sz="4" w:space="0" w:color="000000"/>
            </w:tcBorders>
            <w:vAlign w:val="center"/>
            <w:hideMark/>
          </w:tcPr>
          <w:p w14:paraId="3D67FED6"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0.802</w:t>
            </w:r>
          </w:p>
        </w:tc>
      </w:tr>
      <w:tr w:rsidR="00F860DE" w:rsidRPr="00F860DE" w14:paraId="7D37B09B" w14:textId="77777777" w:rsidTr="00F860DE">
        <w:trPr>
          <w:trHeight w:val="345"/>
        </w:trPr>
        <w:tc>
          <w:tcPr>
            <w:tcW w:w="1200" w:type="dxa"/>
            <w:tcBorders>
              <w:top w:val="nil"/>
              <w:left w:val="single" w:sz="4" w:space="0" w:color="000000"/>
              <w:bottom w:val="single" w:sz="4" w:space="0" w:color="000000"/>
              <w:right w:val="single" w:sz="4" w:space="0" w:color="000000"/>
            </w:tcBorders>
            <w:shd w:val="clear" w:color="D9D9D9" w:fill="D9D9D9"/>
            <w:vAlign w:val="center"/>
            <w:hideMark/>
          </w:tcPr>
          <w:p w14:paraId="23AE3C5F"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truck</w:t>
            </w:r>
          </w:p>
        </w:tc>
        <w:tc>
          <w:tcPr>
            <w:tcW w:w="1760" w:type="dxa"/>
            <w:tcBorders>
              <w:top w:val="nil"/>
              <w:left w:val="nil"/>
              <w:bottom w:val="single" w:sz="4" w:space="0" w:color="000000"/>
              <w:right w:val="single" w:sz="4" w:space="0" w:color="000000"/>
            </w:tcBorders>
            <w:shd w:val="clear" w:color="D9D9D9" w:fill="D9D9D9"/>
            <w:vAlign w:val="center"/>
            <w:hideMark/>
          </w:tcPr>
          <w:p w14:paraId="6E4EDFF3"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0.0995</w:t>
            </w:r>
          </w:p>
        </w:tc>
        <w:tc>
          <w:tcPr>
            <w:tcW w:w="2020" w:type="dxa"/>
            <w:tcBorders>
              <w:top w:val="nil"/>
              <w:left w:val="nil"/>
              <w:bottom w:val="single" w:sz="4" w:space="0" w:color="000000"/>
              <w:right w:val="single" w:sz="4" w:space="0" w:color="000000"/>
            </w:tcBorders>
            <w:shd w:val="clear" w:color="D9D9D9" w:fill="D9D9D9"/>
            <w:vAlign w:val="center"/>
            <w:hideMark/>
          </w:tcPr>
          <w:p w14:paraId="62F26C81"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0.1597</w:t>
            </w:r>
          </w:p>
        </w:tc>
        <w:tc>
          <w:tcPr>
            <w:tcW w:w="1720" w:type="dxa"/>
            <w:tcBorders>
              <w:top w:val="nil"/>
              <w:left w:val="nil"/>
              <w:bottom w:val="single" w:sz="4" w:space="0" w:color="000000"/>
              <w:right w:val="single" w:sz="4" w:space="0" w:color="000000"/>
            </w:tcBorders>
            <w:shd w:val="clear" w:color="D9D9D9" w:fill="D9D9D9"/>
            <w:vAlign w:val="center"/>
            <w:hideMark/>
          </w:tcPr>
          <w:p w14:paraId="09397B31"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0.7295</w:t>
            </w:r>
          </w:p>
        </w:tc>
      </w:tr>
      <w:tr w:rsidR="00F860DE" w:rsidRPr="00F860DE" w14:paraId="61C62601" w14:textId="77777777" w:rsidTr="00F860DE">
        <w:trPr>
          <w:trHeight w:val="345"/>
        </w:trPr>
        <w:tc>
          <w:tcPr>
            <w:tcW w:w="1200" w:type="dxa"/>
            <w:tcBorders>
              <w:top w:val="nil"/>
              <w:left w:val="single" w:sz="4" w:space="0" w:color="000000"/>
              <w:bottom w:val="single" w:sz="4" w:space="0" w:color="000000"/>
              <w:right w:val="single" w:sz="4" w:space="0" w:color="000000"/>
            </w:tcBorders>
            <w:vAlign w:val="center"/>
            <w:hideMark/>
          </w:tcPr>
          <w:p w14:paraId="5C7F3825"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car</w:t>
            </w:r>
          </w:p>
        </w:tc>
        <w:tc>
          <w:tcPr>
            <w:tcW w:w="1760" w:type="dxa"/>
            <w:tcBorders>
              <w:top w:val="nil"/>
              <w:left w:val="nil"/>
              <w:bottom w:val="single" w:sz="4" w:space="0" w:color="000000"/>
              <w:right w:val="single" w:sz="4" w:space="0" w:color="000000"/>
            </w:tcBorders>
            <w:vAlign w:val="center"/>
            <w:hideMark/>
          </w:tcPr>
          <w:p w14:paraId="1799DDCD"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0.0583</w:t>
            </w:r>
          </w:p>
        </w:tc>
        <w:tc>
          <w:tcPr>
            <w:tcW w:w="2020" w:type="dxa"/>
            <w:tcBorders>
              <w:top w:val="nil"/>
              <w:left w:val="nil"/>
              <w:bottom w:val="single" w:sz="4" w:space="0" w:color="000000"/>
              <w:right w:val="single" w:sz="4" w:space="0" w:color="000000"/>
            </w:tcBorders>
            <w:vAlign w:val="center"/>
            <w:hideMark/>
          </w:tcPr>
          <w:p w14:paraId="04DECCB4"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0.0806</w:t>
            </w:r>
          </w:p>
        </w:tc>
        <w:tc>
          <w:tcPr>
            <w:tcW w:w="1720" w:type="dxa"/>
            <w:tcBorders>
              <w:top w:val="nil"/>
              <w:left w:val="nil"/>
              <w:bottom w:val="single" w:sz="4" w:space="0" w:color="000000"/>
              <w:right w:val="single" w:sz="4" w:space="0" w:color="000000"/>
            </w:tcBorders>
            <w:vAlign w:val="center"/>
            <w:hideMark/>
          </w:tcPr>
          <w:p w14:paraId="725FD6F3"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0.7578</w:t>
            </w:r>
          </w:p>
        </w:tc>
      </w:tr>
      <w:tr w:rsidR="00F860DE" w:rsidRPr="00F860DE" w14:paraId="5E36D1B3" w14:textId="77777777" w:rsidTr="00F860DE">
        <w:trPr>
          <w:trHeight w:val="345"/>
        </w:trPr>
        <w:tc>
          <w:tcPr>
            <w:tcW w:w="1200" w:type="dxa"/>
            <w:tcBorders>
              <w:top w:val="nil"/>
              <w:left w:val="single" w:sz="4" w:space="0" w:color="000000"/>
              <w:bottom w:val="single" w:sz="4" w:space="0" w:color="000000"/>
              <w:right w:val="single" w:sz="4" w:space="0" w:color="000000"/>
            </w:tcBorders>
            <w:shd w:val="clear" w:color="D9D9D9" w:fill="D9D9D9"/>
            <w:vAlign w:val="center"/>
            <w:hideMark/>
          </w:tcPr>
          <w:p w14:paraId="09ACECC7"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motor</w:t>
            </w:r>
          </w:p>
        </w:tc>
        <w:tc>
          <w:tcPr>
            <w:tcW w:w="1760" w:type="dxa"/>
            <w:tcBorders>
              <w:top w:val="nil"/>
              <w:left w:val="nil"/>
              <w:bottom w:val="single" w:sz="4" w:space="0" w:color="000000"/>
              <w:right w:val="single" w:sz="4" w:space="0" w:color="000000"/>
            </w:tcBorders>
            <w:shd w:val="clear" w:color="D9D9D9" w:fill="D9D9D9"/>
            <w:vAlign w:val="center"/>
            <w:hideMark/>
          </w:tcPr>
          <w:p w14:paraId="4A043DCC"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0.0526</w:t>
            </w:r>
          </w:p>
        </w:tc>
        <w:tc>
          <w:tcPr>
            <w:tcW w:w="2020" w:type="dxa"/>
            <w:tcBorders>
              <w:top w:val="nil"/>
              <w:left w:val="nil"/>
              <w:bottom w:val="single" w:sz="4" w:space="0" w:color="000000"/>
              <w:right w:val="single" w:sz="4" w:space="0" w:color="000000"/>
            </w:tcBorders>
            <w:shd w:val="clear" w:color="D9D9D9" w:fill="D9D9D9"/>
            <w:vAlign w:val="center"/>
            <w:hideMark/>
          </w:tcPr>
          <w:p w14:paraId="1FC39B18"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0.0951</w:t>
            </w:r>
          </w:p>
        </w:tc>
        <w:tc>
          <w:tcPr>
            <w:tcW w:w="1720" w:type="dxa"/>
            <w:tcBorders>
              <w:top w:val="nil"/>
              <w:left w:val="nil"/>
              <w:bottom w:val="single" w:sz="4" w:space="0" w:color="000000"/>
              <w:right w:val="single" w:sz="4" w:space="0" w:color="000000"/>
            </w:tcBorders>
            <w:shd w:val="clear" w:color="D9D9D9" w:fill="D9D9D9"/>
            <w:vAlign w:val="center"/>
            <w:hideMark/>
          </w:tcPr>
          <w:p w14:paraId="2E21B559"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0.5764</w:t>
            </w:r>
          </w:p>
        </w:tc>
      </w:tr>
      <w:tr w:rsidR="00F860DE" w:rsidRPr="00F860DE" w14:paraId="2DBE2FED" w14:textId="77777777" w:rsidTr="00F860DE">
        <w:trPr>
          <w:trHeight w:val="345"/>
        </w:trPr>
        <w:tc>
          <w:tcPr>
            <w:tcW w:w="1200" w:type="dxa"/>
            <w:tcBorders>
              <w:top w:val="nil"/>
              <w:left w:val="single" w:sz="4" w:space="0" w:color="000000"/>
              <w:bottom w:val="single" w:sz="4" w:space="0" w:color="000000"/>
              <w:right w:val="single" w:sz="4" w:space="0" w:color="000000"/>
            </w:tcBorders>
            <w:vAlign w:val="center"/>
            <w:hideMark/>
          </w:tcPr>
          <w:p w14:paraId="7817ACF8"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bike</w:t>
            </w:r>
          </w:p>
        </w:tc>
        <w:tc>
          <w:tcPr>
            <w:tcW w:w="1760" w:type="dxa"/>
            <w:tcBorders>
              <w:top w:val="nil"/>
              <w:left w:val="nil"/>
              <w:bottom w:val="single" w:sz="4" w:space="0" w:color="000000"/>
              <w:right w:val="single" w:sz="4" w:space="0" w:color="000000"/>
            </w:tcBorders>
            <w:vAlign w:val="center"/>
            <w:hideMark/>
          </w:tcPr>
          <w:p w14:paraId="3F53AA58"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0.0472</w:t>
            </w:r>
          </w:p>
        </w:tc>
        <w:tc>
          <w:tcPr>
            <w:tcW w:w="2020" w:type="dxa"/>
            <w:tcBorders>
              <w:top w:val="nil"/>
              <w:left w:val="nil"/>
              <w:bottom w:val="single" w:sz="4" w:space="0" w:color="000000"/>
              <w:right w:val="single" w:sz="4" w:space="0" w:color="000000"/>
            </w:tcBorders>
            <w:vAlign w:val="center"/>
            <w:hideMark/>
          </w:tcPr>
          <w:p w14:paraId="07BABC60"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0.0932</w:t>
            </w:r>
          </w:p>
        </w:tc>
        <w:tc>
          <w:tcPr>
            <w:tcW w:w="1720" w:type="dxa"/>
            <w:tcBorders>
              <w:top w:val="nil"/>
              <w:left w:val="nil"/>
              <w:bottom w:val="single" w:sz="4" w:space="0" w:color="000000"/>
              <w:right w:val="single" w:sz="4" w:space="0" w:color="000000"/>
            </w:tcBorders>
            <w:vAlign w:val="center"/>
            <w:hideMark/>
          </w:tcPr>
          <w:p w14:paraId="21D97084"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0.5398</w:t>
            </w:r>
          </w:p>
        </w:tc>
      </w:tr>
      <w:tr w:rsidR="00F860DE" w:rsidRPr="00F860DE" w14:paraId="37510A1E" w14:textId="77777777" w:rsidTr="00F860DE">
        <w:trPr>
          <w:trHeight w:val="345"/>
        </w:trPr>
        <w:tc>
          <w:tcPr>
            <w:tcW w:w="1200" w:type="dxa"/>
            <w:tcBorders>
              <w:top w:val="nil"/>
              <w:left w:val="single" w:sz="4" w:space="0" w:color="000000"/>
              <w:bottom w:val="single" w:sz="4" w:space="0" w:color="000000"/>
              <w:right w:val="single" w:sz="4" w:space="0" w:color="000000"/>
            </w:tcBorders>
            <w:shd w:val="clear" w:color="D9D9D9" w:fill="D9D9D9"/>
            <w:vAlign w:val="center"/>
            <w:hideMark/>
          </w:tcPr>
          <w:p w14:paraId="744164DF"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rider</w:t>
            </w:r>
          </w:p>
        </w:tc>
        <w:tc>
          <w:tcPr>
            <w:tcW w:w="1760" w:type="dxa"/>
            <w:tcBorders>
              <w:top w:val="nil"/>
              <w:left w:val="nil"/>
              <w:bottom w:val="single" w:sz="4" w:space="0" w:color="000000"/>
              <w:right w:val="single" w:sz="4" w:space="0" w:color="000000"/>
            </w:tcBorders>
            <w:shd w:val="clear" w:color="D9D9D9" w:fill="D9D9D9"/>
            <w:vAlign w:val="center"/>
            <w:hideMark/>
          </w:tcPr>
          <w:p w14:paraId="0BC7ADAF"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0.0339</w:t>
            </w:r>
          </w:p>
        </w:tc>
        <w:tc>
          <w:tcPr>
            <w:tcW w:w="2020" w:type="dxa"/>
            <w:tcBorders>
              <w:top w:val="nil"/>
              <w:left w:val="nil"/>
              <w:bottom w:val="single" w:sz="4" w:space="0" w:color="000000"/>
              <w:right w:val="single" w:sz="4" w:space="0" w:color="000000"/>
            </w:tcBorders>
            <w:shd w:val="clear" w:color="D9D9D9" w:fill="D9D9D9"/>
            <w:vAlign w:val="center"/>
            <w:hideMark/>
          </w:tcPr>
          <w:p w14:paraId="065ED0FE"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0.1141</w:t>
            </w:r>
          </w:p>
        </w:tc>
        <w:tc>
          <w:tcPr>
            <w:tcW w:w="1720" w:type="dxa"/>
            <w:tcBorders>
              <w:top w:val="nil"/>
              <w:left w:val="nil"/>
              <w:bottom w:val="single" w:sz="4" w:space="0" w:color="000000"/>
              <w:right w:val="single" w:sz="4" w:space="0" w:color="000000"/>
            </w:tcBorders>
            <w:shd w:val="clear" w:color="D9D9D9" w:fill="D9D9D9"/>
            <w:vAlign w:val="center"/>
            <w:hideMark/>
          </w:tcPr>
          <w:p w14:paraId="7E845F82"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0.3287</w:t>
            </w:r>
          </w:p>
        </w:tc>
      </w:tr>
      <w:tr w:rsidR="00F860DE" w:rsidRPr="00F860DE" w14:paraId="0FE5E59E" w14:textId="77777777" w:rsidTr="00F860DE">
        <w:trPr>
          <w:trHeight w:val="690"/>
        </w:trPr>
        <w:tc>
          <w:tcPr>
            <w:tcW w:w="1200" w:type="dxa"/>
            <w:tcBorders>
              <w:top w:val="nil"/>
              <w:left w:val="single" w:sz="4" w:space="0" w:color="000000"/>
              <w:bottom w:val="single" w:sz="4" w:space="0" w:color="000000"/>
              <w:right w:val="single" w:sz="4" w:space="0" w:color="000000"/>
            </w:tcBorders>
            <w:vAlign w:val="center"/>
            <w:hideMark/>
          </w:tcPr>
          <w:p w14:paraId="3AFDFF89"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traffic sign</w:t>
            </w:r>
          </w:p>
        </w:tc>
        <w:tc>
          <w:tcPr>
            <w:tcW w:w="1760" w:type="dxa"/>
            <w:tcBorders>
              <w:top w:val="nil"/>
              <w:left w:val="nil"/>
              <w:bottom w:val="single" w:sz="4" w:space="0" w:color="000000"/>
              <w:right w:val="single" w:sz="4" w:space="0" w:color="000000"/>
            </w:tcBorders>
            <w:vAlign w:val="center"/>
            <w:hideMark/>
          </w:tcPr>
          <w:p w14:paraId="3D40EE0E"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0.0252</w:t>
            </w:r>
          </w:p>
        </w:tc>
        <w:tc>
          <w:tcPr>
            <w:tcW w:w="2020" w:type="dxa"/>
            <w:tcBorders>
              <w:top w:val="nil"/>
              <w:left w:val="nil"/>
              <w:bottom w:val="single" w:sz="4" w:space="0" w:color="000000"/>
              <w:right w:val="single" w:sz="4" w:space="0" w:color="000000"/>
            </w:tcBorders>
            <w:vAlign w:val="center"/>
            <w:hideMark/>
          </w:tcPr>
          <w:p w14:paraId="7EF96D44"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0.035</w:t>
            </w:r>
          </w:p>
        </w:tc>
        <w:tc>
          <w:tcPr>
            <w:tcW w:w="1720" w:type="dxa"/>
            <w:tcBorders>
              <w:top w:val="nil"/>
              <w:left w:val="nil"/>
              <w:bottom w:val="single" w:sz="4" w:space="0" w:color="000000"/>
              <w:right w:val="single" w:sz="4" w:space="0" w:color="000000"/>
            </w:tcBorders>
            <w:vAlign w:val="center"/>
            <w:hideMark/>
          </w:tcPr>
          <w:p w14:paraId="41E1D645"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0.8472</w:t>
            </w:r>
          </w:p>
        </w:tc>
      </w:tr>
      <w:tr w:rsidR="00F860DE" w:rsidRPr="00F860DE" w14:paraId="2A8EC58C" w14:textId="77777777" w:rsidTr="00F860DE">
        <w:trPr>
          <w:trHeight w:val="345"/>
        </w:trPr>
        <w:tc>
          <w:tcPr>
            <w:tcW w:w="1200" w:type="dxa"/>
            <w:tcBorders>
              <w:top w:val="nil"/>
              <w:left w:val="single" w:sz="4" w:space="0" w:color="000000"/>
              <w:bottom w:val="single" w:sz="4" w:space="0" w:color="000000"/>
              <w:right w:val="single" w:sz="4" w:space="0" w:color="000000"/>
            </w:tcBorders>
            <w:shd w:val="clear" w:color="D9D9D9" w:fill="D9D9D9"/>
            <w:vAlign w:val="center"/>
            <w:hideMark/>
          </w:tcPr>
          <w:p w14:paraId="01A69BFE"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person</w:t>
            </w:r>
          </w:p>
        </w:tc>
        <w:tc>
          <w:tcPr>
            <w:tcW w:w="1760" w:type="dxa"/>
            <w:tcBorders>
              <w:top w:val="nil"/>
              <w:left w:val="nil"/>
              <w:bottom w:val="single" w:sz="4" w:space="0" w:color="000000"/>
              <w:right w:val="single" w:sz="4" w:space="0" w:color="000000"/>
            </w:tcBorders>
            <w:shd w:val="clear" w:color="D9D9D9" w:fill="D9D9D9"/>
            <w:vAlign w:val="center"/>
            <w:hideMark/>
          </w:tcPr>
          <w:p w14:paraId="6FBB1E96"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0.0216</w:t>
            </w:r>
          </w:p>
        </w:tc>
        <w:tc>
          <w:tcPr>
            <w:tcW w:w="2020" w:type="dxa"/>
            <w:tcBorders>
              <w:top w:val="nil"/>
              <w:left w:val="nil"/>
              <w:bottom w:val="single" w:sz="4" w:space="0" w:color="000000"/>
              <w:right w:val="single" w:sz="4" w:space="0" w:color="000000"/>
            </w:tcBorders>
            <w:shd w:val="clear" w:color="D9D9D9" w:fill="D9D9D9"/>
            <w:vAlign w:val="center"/>
            <w:hideMark/>
          </w:tcPr>
          <w:p w14:paraId="78914CFD"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0.0925</w:t>
            </w:r>
          </w:p>
        </w:tc>
        <w:tc>
          <w:tcPr>
            <w:tcW w:w="1720" w:type="dxa"/>
            <w:tcBorders>
              <w:top w:val="nil"/>
              <w:left w:val="nil"/>
              <w:bottom w:val="single" w:sz="4" w:space="0" w:color="000000"/>
              <w:right w:val="single" w:sz="4" w:space="0" w:color="000000"/>
            </w:tcBorders>
            <w:shd w:val="clear" w:color="D9D9D9" w:fill="D9D9D9"/>
            <w:vAlign w:val="center"/>
            <w:hideMark/>
          </w:tcPr>
          <w:p w14:paraId="79436BE2"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0.259</w:t>
            </w:r>
          </w:p>
        </w:tc>
      </w:tr>
      <w:tr w:rsidR="00F860DE" w:rsidRPr="00F860DE" w14:paraId="321C154B" w14:textId="77777777" w:rsidTr="00F860DE">
        <w:trPr>
          <w:trHeight w:val="690"/>
        </w:trPr>
        <w:tc>
          <w:tcPr>
            <w:tcW w:w="1200" w:type="dxa"/>
            <w:tcBorders>
              <w:top w:val="nil"/>
              <w:left w:val="single" w:sz="4" w:space="0" w:color="000000"/>
              <w:bottom w:val="single" w:sz="4" w:space="0" w:color="000000"/>
              <w:right w:val="single" w:sz="4" w:space="0" w:color="000000"/>
            </w:tcBorders>
            <w:vAlign w:val="center"/>
            <w:hideMark/>
          </w:tcPr>
          <w:p w14:paraId="423D5CDB"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traffic light</w:t>
            </w:r>
          </w:p>
        </w:tc>
        <w:tc>
          <w:tcPr>
            <w:tcW w:w="1760" w:type="dxa"/>
            <w:tcBorders>
              <w:top w:val="nil"/>
              <w:left w:val="nil"/>
              <w:bottom w:val="single" w:sz="4" w:space="0" w:color="000000"/>
              <w:right w:val="single" w:sz="4" w:space="0" w:color="000000"/>
            </w:tcBorders>
            <w:vAlign w:val="center"/>
            <w:hideMark/>
          </w:tcPr>
          <w:p w14:paraId="472024F6"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0.0124</w:t>
            </w:r>
          </w:p>
        </w:tc>
        <w:tc>
          <w:tcPr>
            <w:tcW w:w="2020" w:type="dxa"/>
            <w:tcBorders>
              <w:top w:val="nil"/>
              <w:left w:val="nil"/>
              <w:bottom w:val="single" w:sz="4" w:space="0" w:color="000000"/>
              <w:right w:val="single" w:sz="4" w:space="0" w:color="000000"/>
            </w:tcBorders>
            <w:vAlign w:val="center"/>
            <w:hideMark/>
          </w:tcPr>
          <w:p w14:paraId="3736BE52"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0.0351</w:t>
            </w:r>
          </w:p>
        </w:tc>
        <w:tc>
          <w:tcPr>
            <w:tcW w:w="1720" w:type="dxa"/>
            <w:tcBorders>
              <w:top w:val="nil"/>
              <w:left w:val="nil"/>
              <w:bottom w:val="single" w:sz="4" w:space="0" w:color="000000"/>
              <w:right w:val="single" w:sz="4" w:space="0" w:color="000000"/>
            </w:tcBorders>
            <w:vAlign w:val="center"/>
            <w:hideMark/>
          </w:tcPr>
          <w:p w14:paraId="4A30182B" w14:textId="77777777" w:rsidR="00F860DE" w:rsidRPr="00F860DE" w:rsidRDefault="00F860DE" w:rsidP="00F860DE">
            <w:pPr>
              <w:spacing w:after="0" w:line="240" w:lineRule="auto"/>
              <w:jc w:val="center"/>
              <w:rPr>
                <w:rFonts w:ascii="Segoe UI" w:eastAsia="Times New Roman" w:hAnsi="Segoe UI" w:cs="Segoe UI"/>
                <w:sz w:val="24"/>
                <w:szCs w:val="24"/>
                <w:lang w:val="en-IN" w:eastAsia="en-IN"/>
              </w:rPr>
            </w:pPr>
            <w:r w:rsidRPr="00F860DE">
              <w:rPr>
                <w:rFonts w:ascii="Segoe UI" w:eastAsia="Times New Roman" w:hAnsi="Segoe UI" w:cs="Segoe UI"/>
                <w:sz w:val="24"/>
                <w:szCs w:val="24"/>
                <w:lang w:val="en-IN" w:eastAsia="en-IN"/>
              </w:rPr>
              <w:t>0.4019</w:t>
            </w:r>
          </w:p>
        </w:tc>
      </w:tr>
    </w:tbl>
    <w:p w14:paraId="6D076961" w14:textId="684DA9EA" w:rsidR="006C2400" w:rsidRDefault="00F860DE">
      <w:pPr>
        <w:pStyle w:val="Heading2"/>
      </w:pPr>
      <w:r>
        <w:br/>
      </w:r>
      <w:r w:rsidR="00000000">
        <w:t>6. Spatial Heatmaps &amp; Spatial Priors</w:t>
      </w:r>
    </w:p>
    <w:p w14:paraId="5062AB71" w14:textId="77777777" w:rsidR="006C2400" w:rsidRDefault="00000000">
      <w:r>
        <w:t>Spatial heatmaps reveal strong and consistent positional priors. Vehicles cluster at the lower-middle region (road lanes). Pedestrians appear along the lower left/right edges. Traffic lights and signs consistently appear near the upper corners.</w:t>
      </w:r>
    </w:p>
    <w:p w14:paraId="7457FBF8" w14:textId="77777777" w:rsidR="006C2400" w:rsidRDefault="00000000">
      <w:r>
        <w:t>Such regular spatial structure is highly beneficial for grid-based detectors like YOLO, which partition the image into spatial cells. These priors improve early-stage model convergence and reduce false-positive rates.</w:t>
      </w:r>
    </w:p>
    <w:p w14:paraId="7DDFCDBC" w14:textId="12CEF70F" w:rsidR="006C2400" w:rsidRDefault="00A1105C">
      <w:pPr>
        <w:pStyle w:val="Heading2"/>
      </w:pPr>
      <w:r w:rsidRPr="00A1105C">
        <w:rPr>
          <w:rFonts w:ascii="Calibri" w:eastAsiaTheme="minorEastAsia" w:hAnsi="Calibri" w:cstheme="minorBidi"/>
          <w:b w:val="0"/>
          <w:bCs w:val="0"/>
          <w:color w:val="auto"/>
          <w:sz w:val="22"/>
          <w:szCs w:val="22"/>
        </w:rPr>
        <w:lastRenderedPageBreak/>
        <w:drawing>
          <wp:inline distT="0" distB="0" distL="0" distR="0" wp14:anchorId="28E8BA97" wp14:editId="4F89A8E6">
            <wp:extent cx="5486400" cy="5511800"/>
            <wp:effectExtent l="0" t="0" r="0" b="0"/>
            <wp:docPr id="64463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634753" name=""/>
                    <pic:cNvPicPr/>
                  </pic:nvPicPr>
                  <pic:blipFill>
                    <a:blip r:embed="rId8"/>
                    <a:stretch>
                      <a:fillRect/>
                    </a:stretch>
                  </pic:blipFill>
                  <pic:spPr>
                    <a:xfrm>
                      <a:off x="0" y="0"/>
                      <a:ext cx="5486400" cy="5511800"/>
                    </a:xfrm>
                    <a:prstGeom prst="rect">
                      <a:avLst/>
                    </a:prstGeom>
                  </pic:spPr>
                </pic:pic>
              </a:graphicData>
            </a:graphic>
          </wp:inline>
        </w:drawing>
      </w:r>
      <w:r w:rsidR="00000000">
        <w:t>7. Metadata Distribution &amp; Domain Shifts</w:t>
      </w:r>
    </w:p>
    <w:p w14:paraId="0DE49937" w14:textId="77777777" w:rsidR="006C2400" w:rsidRDefault="00000000">
      <w:r>
        <w:t>Night-time images form a substantial portion of the dataset. Night scenes introduce low visibility, glare, headlight reflections, and degraded contrast. Models trained without brightness augmentation tend to collapse on night scenes.</w:t>
      </w:r>
    </w:p>
    <w:p w14:paraId="15D68676" w14:textId="77777777" w:rsidR="006C2400" w:rsidRDefault="00000000">
      <w:r>
        <w:t>Weather imbalance is also notable: clear and overcast dominate; snow, fog and rain are rare. Scene types show a strong leaning toward urban environments.</w:t>
      </w:r>
    </w:p>
    <w:p w14:paraId="61F1082D" w14:textId="77777777" w:rsidR="006C2400" w:rsidRDefault="00000000">
      <w:r>
        <w:t>These imbalances motivate augmentations such as brightness shifts, fog simulation, motion blur, and color jitter.</w:t>
      </w:r>
    </w:p>
    <w:p w14:paraId="2AD843E3" w14:textId="31289850" w:rsidR="006C2400" w:rsidRDefault="00D4479A">
      <w:pPr>
        <w:pStyle w:val="Heading2"/>
      </w:pPr>
      <w:r w:rsidRPr="00D4479A">
        <w:rPr>
          <w:rFonts w:ascii="Calibri" w:eastAsiaTheme="minorEastAsia" w:hAnsi="Calibri" w:cstheme="minorBidi"/>
          <w:b w:val="0"/>
          <w:bCs w:val="0"/>
          <w:color w:val="auto"/>
          <w:sz w:val="22"/>
          <w:szCs w:val="22"/>
        </w:rPr>
        <w:lastRenderedPageBreak/>
        <w:drawing>
          <wp:inline distT="0" distB="0" distL="0" distR="0" wp14:anchorId="538125D8" wp14:editId="2D8EB7E2">
            <wp:extent cx="5486400" cy="3387090"/>
            <wp:effectExtent l="0" t="0" r="0" b="3810"/>
            <wp:docPr id="145400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02945" name=""/>
                    <pic:cNvPicPr/>
                  </pic:nvPicPr>
                  <pic:blipFill>
                    <a:blip r:embed="rId9"/>
                    <a:stretch>
                      <a:fillRect/>
                    </a:stretch>
                  </pic:blipFill>
                  <pic:spPr>
                    <a:xfrm>
                      <a:off x="0" y="0"/>
                      <a:ext cx="5486400" cy="3387090"/>
                    </a:xfrm>
                    <a:prstGeom prst="rect">
                      <a:avLst/>
                    </a:prstGeom>
                  </pic:spPr>
                </pic:pic>
              </a:graphicData>
            </a:graphic>
          </wp:inline>
        </w:drawing>
      </w:r>
      <w:r w:rsidR="00D24394">
        <w:br/>
      </w:r>
      <w:r w:rsidR="00000000">
        <w:t>8. Annotation Quality &amp; Integrity Checks</w:t>
      </w:r>
    </w:p>
    <w:p w14:paraId="45B12738" w14:textId="77777777" w:rsidR="006C2400" w:rsidRDefault="00000000">
      <w:r>
        <w:t>A small fraction of annotations contain malformed bounding boxes (negative widths/heights), missing labels, incomplete metadata or empty 'labels' fields. Occlusion and truncation flags appear frequently, particularly in pedestrian-heavy scenes.</w:t>
      </w:r>
    </w:p>
    <w:p w14:paraId="383A5B52" w14:textId="77777777" w:rsidR="006C2400" w:rsidRDefault="00000000">
      <w:r>
        <w:t>These inconsistencies require preprocessing checks and filtering strategies to avoid training instability.</w:t>
      </w:r>
    </w:p>
    <w:p w14:paraId="31CE39AC" w14:textId="77777777" w:rsidR="006C2400" w:rsidRDefault="00000000">
      <w:pPr>
        <w:pStyle w:val="Heading2"/>
      </w:pPr>
      <w:r>
        <w:t>9. Implications of EDA for Model Selection</w:t>
      </w:r>
    </w:p>
    <w:p w14:paraId="4F875001" w14:textId="77777777" w:rsidR="006C2400" w:rsidRDefault="00000000">
      <w:r>
        <w:t>The EDA reveals critical requirements:</w:t>
      </w:r>
      <w:r>
        <w:br/>
        <w:t>• Multi-scale detection is essential (due to small objects).</w:t>
      </w:r>
      <w:r>
        <w:br/>
        <w:t>• Robustness to night scenes is mandatory.</w:t>
      </w:r>
      <w:r>
        <w:br/>
        <w:t>• Detector should leverage spatial priors.</w:t>
      </w:r>
      <w:r>
        <w:br/>
        <w:t>• Must handle extreme class imbalance.</w:t>
      </w:r>
      <w:r>
        <w:br/>
        <w:t>• Must be fast enough for production deployment.</w:t>
      </w:r>
      <w:r>
        <w:br/>
      </w:r>
    </w:p>
    <w:p w14:paraId="15150C02" w14:textId="77777777" w:rsidR="006C2400" w:rsidRDefault="00000000">
      <w:r>
        <w:t>YOLO-based detectors meet all these requirements, making them ideal candidates.</w:t>
      </w:r>
    </w:p>
    <w:p w14:paraId="637A73CE" w14:textId="77777777" w:rsidR="006C2400" w:rsidRDefault="00000000">
      <w:pPr>
        <w:pStyle w:val="Heading2"/>
      </w:pPr>
      <w:r>
        <w:t>10. Final Summary</w:t>
      </w:r>
    </w:p>
    <w:p w14:paraId="6BB97FD3" w14:textId="1B8B2A1B" w:rsidR="006C2400" w:rsidRDefault="001D17EC" w:rsidP="001D17EC">
      <w:r w:rsidRPr="001D17EC">
        <w:t xml:space="preserve">This production-grade exploratory analysis of the BDD100K object detection dataset reveals a complex, highly imbalanced, and heavily biased real-world distribution shaped by long-tailed class frequencies, extreme small-object prevalence, strong spatial priors, significant night/day and weather-driven domain shifts, and nontrivial annotation inconsistencies. The dataset’s geometric characteristics—ranging from consistent aspect-ratio patterns to wide intra-class </w:t>
      </w:r>
      <w:r w:rsidRPr="001D17EC">
        <w:lastRenderedPageBreak/>
        <w:t>scale variability—coupled with metadata-conditioned visibility constraints, collectively shape the learning dynamics of modern detectors. These insights directly inform downstream modeling decisions: emphasizing multi-scale architectures, robust illumination and weather augmentations, anchor-free or spatially aware detection heads, preprocessing for annotation integrity, and techniques to mitigate rare-class underperformance. Overall, the EDA provides a principled foundation for selecting, training, and deploying reliable detection models in safety-critical autonomous driving pipelines.</w:t>
      </w:r>
    </w:p>
    <w:sectPr w:rsidR="006C24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6091960">
    <w:abstractNumId w:val="8"/>
  </w:num>
  <w:num w:numId="2" w16cid:durableId="1139495268">
    <w:abstractNumId w:val="6"/>
  </w:num>
  <w:num w:numId="3" w16cid:durableId="1850829480">
    <w:abstractNumId w:val="5"/>
  </w:num>
  <w:num w:numId="4" w16cid:durableId="1725443050">
    <w:abstractNumId w:val="4"/>
  </w:num>
  <w:num w:numId="5" w16cid:durableId="1418400401">
    <w:abstractNumId w:val="7"/>
  </w:num>
  <w:num w:numId="6" w16cid:durableId="485365723">
    <w:abstractNumId w:val="3"/>
  </w:num>
  <w:num w:numId="7" w16cid:durableId="1916275934">
    <w:abstractNumId w:val="2"/>
  </w:num>
  <w:num w:numId="8" w16cid:durableId="114175520">
    <w:abstractNumId w:val="1"/>
  </w:num>
  <w:num w:numId="9" w16cid:durableId="156174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7EC"/>
    <w:rsid w:val="0029639D"/>
    <w:rsid w:val="002F12A2"/>
    <w:rsid w:val="00326F90"/>
    <w:rsid w:val="003678A4"/>
    <w:rsid w:val="003E1070"/>
    <w:rsid w:val="006C2400"/>
    <w:rsid w:val="007B16E0"/>
    <w:rsid w:val="0096700F"/>
    <w:rsid w:val="00A1105C"/>
    <w:rsid w:val="00A3006D"/>
    <w:rsid w:val="00A664C4"/>
    <w:rsid w:val="00AA1D8D"/>
    <w:rsid w:val="00B47730"/>
    <w:rsid w:val="00B65809"/>
    <w:rsid w:val="00CB0664"/>
    <w:rsid w:val="00D24394"/>
    <w:rsid w:val="00D4479A"/>
    <w:rsid w:val="00D50959"/>
    <w:rsid w:val="00F608C9"/>
    <w:rsid w:val="00F860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85D4AD"/>
  <w14:defaultImageDpi w14:val="300"/>
  <w15:docId w15:val="{4CD255D0-5AB1-43AA-8C13-B1194EC7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TotalTime>
  <Pages>7</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Niranjan Adhyapak</cp:lastModifiedBy>
  <cp:revision>18</cp:revision>
  <dcterms:created xsi:type="dcterms:W3CDTF">2013-12-23T23:15:00Z</dcterms:created>
  <dcterms:modified xsi:type="dcterms:W3CDTF">2025-11-15T13:40:00Z</dcterms:modified>
  <cp:category/>
</cp:coreProperties>
</file>